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8BC44">
      <w:pPr>
        <w:autoSpaceDE w:val="0"/>
        <w:autoSpaceDN w:val="0"/>
        <w:spacing w:before="55"/>
        <w:ind w:left="408"/>
        <w:jc w:val="left"/>
        <w:rPr>
          <w:rFonts w:hint="eastAsia" w:ascii="黑体" w:hAnsi="宋体" w:eastAsia="黑体" w:cs="宋体"/>
          <w:kern w:val="0"/>
          <w:sz w:val="32"/>
        </w:rPr>
      </w:pPr>
    </w:p>
    <w:p w14:paraId="790B3712">
      <w:pPr>
        <w:autoSpaceDE w:val="0"/>
        <w:autoSpaceDN w:val="0"/>
        <w:jc w:val="left"/>
        <w:rPr>
          <w:rFonts w:hint="eastAsia" w:ascii="黑体" w:hAnsi="宋体" w:eastAsia="宋体" w:cs="宋体"/>
          <w:kern w:val="0"/>
          <w:sz w:val="32"/>
          <w:szCs w:val="21"/>
        </w:rPr>
      </w:pPr>
    </w:p>
    <w:p w14:paraId="3E4C9A7C">
      <w:pPr>
        <w:autoSpaceDE w:val="0"/>
        <w:autoSpaceDN w:val="0"/>
        <w:jc w:val="left"/>
        <w:rPr>
          <w:rFonts w:hint="eastAsia" w:ascii="黑体" w:hAnsi="宋体" w:eastAsia="宋体" w:cs="宋体"/>
          <w:kern w:val="0"/>
          <w:sz w:val="32"/>
          <w:szCs w:val="21"/>
        </w:rPr>
      </w:pPr>
    </w:p>
    <w:p w14:paraId="1BCF6516">
      <w:pPr>
        <w:autoSpaceDE w:val="0"/>
        <w:autoSpaceDN w:val="0"/>
        <w:jc w:val="left"/>
        <w:rPr>
          <w:rFonts w:hint="eastAsia" w:ascii="黑体" w:hAnsi="宋体" w:eastAsia="宋体" w:cs="宋体"/>
          <w:kern w:val="0"/>
          <w:sz w:val="32"/>
          <w:szCs w:val="21"/>
        </w:rPr>
      </w:pPr>
    </w:p>
    <w:p w14:paraId="7E65AEE4">
      <w:pPr>
        <w:autoSpaceDE w:val="0"/>
        <w:autoSpaceDN w:val="0"/>
        <w:jc w:val="left"/>
        <w:rPr>
          <w:rFonts w:hint="eastAsia" w:ascii="黑体" w:hAnsi="宋体" w:eastAsia="宋体" w:cs="宋体"/>
          <w:kern w:val="0"/>
          <w:sz w:val="32"/>
          <w:szCs w:val="21"/>
        </w:rPr>
      </w:pPr>
    </w:p>
    <w:p w14:paraId="1DF35FFC">
      <w:pPr>
        <w:autoSpaceDE w:val="0"/>
        <w:autoSpaceDN w:val="0"/>
        <w:jc w:val="left"/>
        <w:rPr>
          <w:rFonts w:hint="eastAsia" w:ascii="黑体" w:hAnsi="宋体" w:eastAsia="宋体" w:cs="宋体"/>
          <w:kern w:val="0"/>
          <w:sz w:val="32"/>
          <w:szCs w:val="21"/>
        </w:rPr>
      </w:pPr>
    </w:p>
    <w:p w14:paraId="1CB60377">
      <w:pPr>
        <w:autoSpaceDE w:val="0"/>
        <w:autoSpaceDN w:val="0"/>
        <w:jc w:val="left"/>
        <w:rPr>
          <w:rFonts w:hint="eastAsia" w:ascii="黑体" w:hAnsi="宋体" w:eastAsia="宋体" w:cs="宋体"/>
          <w:kern w:val="0"/>
          <w:sz w:val="32"/>
          <w:szCs w:val="21"/>
        </w:rPr>
      </w:pPr>
    </w:p>
    <w:p w14:paraId="0DAFB98F">
      <w:pPr>
        <w:autoSpaceDE w:val="0"/>
        <w:autoSpaceDN w:val="0"/>
        <w:jc w:val="left"/>
        <w:rPr>
          <w:rFonts w:hint="eastAsia" w:ascii="黑体" w:hAnsi="宋体" w:eastAsia="宋体" w:cs="宋体"/>
          <w:kern w:val="0"/>
          <w:sz w:val="32"/>
          <w:szCs w:val="21"/>
        </w:rPr>
      </w:pPr>
    </w:p>
    <w:p w14:paraId="296E67CF">
      <w:pPr>
        <w:keepNext w:val="0"/>
        <w:keepLines w:val="0"/>
        <w:pageBreakBefore w:val="0"/>
        <w:widowControl w:val="0"/>
        <w:kinsoku/>
        <w:wordWrap/>
        <w:overflowPunct/>
        <w:topLinePunct w:val="0"/>
        <w:autoSpaceDE w:val="0"/>
        <w:autoSpaceDN w:val="0"/>
        <w:bidi w:val="0"/>
        <w:adjustRightInd/>
        <w:snapToGrid w:val="0"/>
        <w:ind w:right="0"/>
        <w:jc w:val="center"/>
        <w:textAlignment w:val="auto"/>
        <w:rPr>
          <w:rFonts w:hint="default" w:ascii="黑体" w:hAnsi="黑体" w:eastAsia="黑体" w:cs="黑体"/>
          <w:b w:val="0"/>
          <w:bCs w:val="0"/>
          <w:kern w:val="0"/>
          <w:sz w:val="52"/>
          <w:szCs w:val="52"/>
          <w:lang w:val="en-US" w:eastAsia="zh-CN"/>
        </w:rPr>
      </w:pPr>
      <w:r>
        <w:rPr>
          <w:rFonts w:hint="eastAsia" w:ascii="黑体" w:hAnsi="黑体" w:eastAsia="黑体" w:cs="黑体"/>
          <w:b w:val="0"/>
          <w:bCs w:val="0"/>
          <w:w w:val="95"/>
          <w:kern w:val="0"/>
          <w:sz w:val="52"/>
          <w:szCs w:val="52"/>
        </w:rPr>
        <w:t>南京市</w:t>
      </w:r>
      <w:r>
        <w:rPr>
          <w:rFonts w:hint="eastAsia" w:ascii="黑体" w:hAnsi="黑体" w:eastAsia="黑体" w:cs="黑体"/>
          <w:b w:val="0"/>
          <w:bCs w:val="0"/>
          <w:w w:val="95"/>
          <w:kern w:val="0"/>
          <w:sz w:val="52"/>
          <w:szCs w:val="52"/>
          <w:lang w:val="en-US" w:eastAsia="zh-CN"/>
        </w:rPr>
        <w:t>分布式光伏发电项目运行</w:t>
      </w:r>
      <w:r>
        <w:rPr>
          <w:rFonts w:hint="eastAsia" w:ascii="黑体" w:hAnsi="黑体" w:eastAsia="黑体" w:cs="黑体"/>
          <w:b w:val="0"/>
          <w:bCs w:val="0"/>
          <w:spacing w:val="-2"/>
          <w:w w:val="95"/>
          <w:kern w:val="0"/>
          <w:sz w:val="52"/>
          <w:szCs w:val="52"/>
          <w:lang w:val="en-US" w:eastAsia="zh-CN"/>
        </w:rPr>
        <w:t>碳普惠方法学</w:t>
      </w:r>
    </w:p>
    <w:p w14:paraId="2DD9C2C6">
      <w:pPr>
        <w:autoSpaceDE w:val="0"/>
        <w:autoSpaceDN w:val="0"/>
        <w:jc w:val="center"/>
        <w:rPr>
          <w:rFonts w:hint="eastAsia" w:ascii="方正楷体_GBK" w:hAnsi="方正楷体_GBK" w:eastAsia="方正楷体_GBK" w:cs="方正楷体_GBK"/>
          <w:b/>
          <w:kern w:val="0"/>
          <w:sz w:val="40"/>
          <w:szCs w:val="21"/>
          <w:lang w:eastAsia="zh-CN"/>
        </w:rPr>
      </w:pPr>
      <w:r>
        <w:rPr>
          <w:rFonts w:hint="eastAsia" w:ascii="方正楷体_GBK" w:hAnsi="方正楷体_GBK" w:eastAsia="方正楷体_GBK" w:cs="方正楷体_GBK"/>
          <w:b/>
          <w:kern w:val="0"/>
          <w:sz w:val="40"/>
          <w:szCs w:val="21"/>
          <w:lang w:eastAsia="zh-CN"/>
        </w:rPr>
        <w:t>（</w:t>
      </w:r>
      <w:r>
        <w:rPr>
          <w:rFonts w:hint="eastAsia" w:ascii="方正楷体_GBK" w:hAnsi="方正楷体_GBK" w:eastAsia="方正楷体_GBK" w:cs="方正楷体_GBK"/>
          <w:b/>
          <w:kern w:val="0"/>
          <w:sz w:val="40"/>
          <w:szCs w:val="21"/>
          <w:lang w:val="en-US" w:eastAsia="zh-CN"/>
        </w:rPr>
        <w:t>公示稿</w:t>
      </w:r>
      <w:r>
        <w:rPr>
          <w:rFonts w:hint="eastAsia" w:ascii="方正楷体_GBK" w:hAnsi="方正楷体_GBK" w:eastAsia="方正楷体_GBK" w:cs="方正楷体_GBK"/>
          <w:b/>
          <w:kern w:val="0"/>
          <w:sz w:val="40"/>
          <w:szCs w:val="21"/>
          <w:lang w:eastAsia="zh-CN"/>
        </w:rPr>
        <w:t>）</w:t>
      </w:r>
    </w:p>
    <w:p w14:paraId="1611E64C">
      <w:pPr>
        <w:autoSpaceDE w:val="0"/>
        <w:autoSpaceDN w:val="0"/>
        <w:jc w:val="left"/>
        <w:rPr>
          <w:rFonts w:hint="eastAsia" w:ascii="黑体" w:hAnsi="宋体" w:eastAsia="宋体" w:cs="宋体"/>
          <w:b/>
          <w:kern w:val="0"/>
          <w:sz w:val="40"/>
          <w:szCs w:val="21"/>
        </w:rPr>
      </w:pPr>
    </w:p>
    <w:p w14:paraId="47BCA635">
      <w:pPr>
        <w:autoSpaceDE w:val="0"/>
        <w:autoSpaceDN w:val="0"/>
        <w:jc w:val="left"/>
        <w:rPr>
          <w:rFonts w:hint="eastAsia" w:ascii="黑体" w:hAnsi="宋体" w:eastAsia="宋体" w:cs="宋体"/>
          <w:b/>
          <w:kern w:val="0"/>
          <w:sz w:val="40"/>
          <w:szCs w:val="21"/>
        </w:rPr>
      </w:pPr>
    </w:p>
    <w:p w14:paraId="2B412CBA">
      <w:pPr>
        <w:autoSpaceDE w:val="0"/>
        <w:autoSpaceDN w:val="0"/>
        <w:jc w:val="left"/>
        <w:rPr>
          <w:rFonts w:hint="eastAsia" w:ascii="黑体" w:hAnsi="宋体" w:eastAsia="宋体" w:cs="宋体"/>
          <w:b/>
          <w:kern w:val="0"/>
          <w:sz w:val="40"/>
          <w:szCs w:val="21"/>
        </w:rPr>
      </w:pPr>
    </w:p>
    <w:p w14:paraId="7E5D9D81">
      <w:pPr>
        <w:autoSpaceDE w:val="0"/>
        <w:autoSpaceDN w:val="0"/>
        <w:jc w:val="left"/>
        <w:rPr>
          <w:rFonts w:hint="eastAsia" w:ascii="黑体" w:hAnsi="宋体" w:eastAsia="宋体" w:cs="宋体"/>
          <w:b/>
          <w:kern w:val="0"/>
          <w:sz w:val="40"/>
          <w:szCs w:val="21"/>
        </w:rPr>
      </w:pPr>
    </w:p>
    <w:p w14:paraId="68705812">
      <w:pPr>
        <w:autoSpaceDE w:val="0"/>
        <w:autoSpaceDN w:val="0"/>
        <w:jc w:val="left"/>
        <w:rPr>
          <w:rFonts w:hint="eastAsia" w:ascii="黑体" w:hAnsi="宋体" w:eastAsia="宋体" w:cs="宋体"/>
          <w:b/>
          <w:kern w:val="0"/>
          <w:sz w:val="40"/>
          <w:szCs w:val="21"/>
        </w:rPr>
      </w:pPr>
    </w:p>
    <w:p w14:paraId="7AA94EE8">
      <w:pPr>
        <w:autoSpaceDE w:val="0"/>
        <w:autoSpaceDN w:val="0"/>
        <w:jc w:val="left"/>
        <w:rPr>
          <w:rFonts w:hint="eastAsia" w:ascii="黑体" w:hAnsi="宋体" w:eastAsia="宋体" w:cs="宋体"/>
          <w:b/>
          <w:kern w:val="0"/>
          <w:sz w:val="40"/>
          <w:szCs w:val="21"/>
        </w:rPr>
      </w:pPr>
    </w:p>
    <w:p w14:paraId="51157630">
      <w:pPr>
        <w:autoSpaceDE w:val="0"/>
        <w:autoSpaceDN w:val="0"/>
        <w:jc w:val="left"/>
        <w:rPr>
          <w:rFonts w:hint="eastAsia" w:ascii="黑体" w:hAnsi="宋体" w:eastAsia="宋体" w:cs="宋体"/>
          <w:b/>
          <w:kern w:val="0"/>
          <w:sz w:val="40"/>
          <w:szCs w:val="21"/>
        </w:rPr>
      </w:pPr>
    </w:p>
    <w:p w14:paraId="04241F3A">
      <w:pPr>
        <w:autoSpaceDE w:val="0"/>
        <w:autoSpaceDN w:val="0"/>
        <w:jc w:val="left"/>
        <w:rPr>
          <w:rFonts w:hint="eastAsia" w:ascii="黑体" w:hAnsi="宋体" w:eastAsia="宋体" w:cs="宋体"/>
          <w:b/>
          <w:kern w:val="0"/>
          <w:sz w:val="40"/>
          <w:szCs w:val="21"/>
        </w:rPr>
      </w:pPr>
    </w:p>
    <w:p w14:paraId="5931BDD7">
      <w:pPr>
        <w:autoSpaceDE w:val="0"/>
        <w:autoSpaceDN w:val="0"/>
        <w:spacing w:before="7"/>
        <w:jc w:val="left"/>
        <w:rPr>
          <w:rFonts w:hint="eastAsia" w:ascii="黑体" w:hAnsi="宋体" w:eastAsia="宋体" w:cs="宋体"/>
          <w:b/>
          <w:kern w:val="0"/>
          <w:sz w:val="40"/>
          <w:szCs w:val="21"/>
        </w:rPr>
      </w:pPr>
    </w:p>
    <w:p w14:paraId="644CB39A">
      <w:pPr>
        <w:keepNext w:val="0"/>
        <w:keepLines w:val="0"/>
        <w:pageBreakBefore w:val="0"/>
        <w:widowControl w:val="0"/>
        <w:kinsoku/>
        <w:wordWrap/>
        <w:overflowPunct/>
        <w:topLinePunct w:val="0"/>
        <w:autoSpaceDE w:val="0"/>
        <w:autoSpaceDN w:val="0"/>
        <w:bidi w:val="0"/>
        <w:adjustRightInd/>
        <w:snapToGrid w:val="0"/>
        <w:ind w:right="0"/>
        <w:jc w:val="center"/>
        <w:textAlignment w:val="auto"/>
        <w:rPr>
          <w:rFonts w:hint="eastAsia" w:ascii="黑体" w:hAnsi="宋体" w:eastAsia="黑体" w:cs="宋体"/>
          <w:spacing w:val="-2"/>
          <w:kern w:val="0"/>
          <w:sz w:val="28"/>
        </w:rPr>
      </w:pPr>
      <w:r>
        <w:rPr>
          <w:rFonts w:hint="eastAsia" w:ascii="Times New Roman" w:hAnsi="Times New Roman" w:eastAsia="黑体" w:cs="宋体"/>
          <w:spacing w:val="-2"/>
          <w:kern w:val="0"/>
          <w:sz w:val="28"/>
        </w:rPr>
        <w:t>202</w:t>
      </w:r>
      <w:r>
        <w:rPr>
          <w:rFonts w:hint="eastAsia" w:ascii="Times New Roman" w:hAnsi="Times New Roman" w:eastAsia="黑体" w:cs="宋体"/>
          <w:spacing w:val="-2"/>
          <w:kern w:val="0"/>
          <w:sz w:val="28"/>
          <w:lang w:val="en-US" w:eastAsia="zh-CN"/>
        </w:rPr>
        <w:t>6</w:t>
      </w:r>
      <w:r>
        <w:rPr>
          <w:rFonts w:hint="eastAsia" w:ascii="黑体" w:hAnsi="宋体" w:eastAsia="黑体" w:cs="宋体"/>
          <w:spacing w:val="-2"/>
          <w:kern w:val="0"/>
          <w:sz w:val="28"/>
        </w:rPr>
        <w:t>年</w:t>
      </w:r>
      <w:r>
        <w:rPr>
          <w:rFonts w:hint="eastAsia" w:ascii="Times New Roman" w:hAnsi="Times New Roman" w:eastAsia="黑体" w:cs="宋体"/>
          <w:spacing w:val="-2"/>
          <w:kern w:val="0"/>
          <w:sz w:val="28"/>
          <w:lang w:val="en-US" w:eastAsia="zh-CN"/>
        </w:rPr>
        <w:t>9</w:t>
      </w:r>
      <w:r>
        <w:rPr>
          <w:rFonts w:hint="eastAsia" w:ascii="黑体" w:hAnsi="宋体" w:eastAsia="黑体" w:cs="宋体"/>
          <w:spacing w:val="-2"/>
          <w:kern w:val="0"/>
          <w:sz w:val="28"/>
        </w:rPr>
        <w:t>月</w:t>
      </w:r>
    </w:p>
    <w:p w14:paraId="5F8DAE76">
      <w:pPr>
        <w:autoSpaceDE w:val="0"/>
        <w:autoSpaceDN w:val="0"/>
        <w:ind w:right="814"/>
        <w:jc w:val="center"/>
        <w:rPr>
          <w:rFonts w:hint="eastAsia" w:ascii="黑体" w:hAnsi="宋体" w:eastAsia="黑体" w:cs="宋体"/>
          <w:spacing w:val="-40"/>
          <w:kern w:val="0"/>
          <w:sz w:val="28"/>
        </w:rPr>
        <w:sectPr>
          <w:footerReference r:id="rId3" w:type="default"/>
          <w:pgSz w:w="11906" w:h="16838"/>
          <w:pgMar w:top="1440" w:right="1800" w:bottom="1440" w:left="1800" w:header="851" w:footer="992" w:gutter="0"/>
          <w:cols w:space="425" w:num="1"/>
          <w:docGrid w:type="lines" w:linePitch="312" w:charSpace="0"/>
        </w:sectPr>
      </w:pPr>
    </w:p>
    <w:p w14:paraId="39B17599">
      <w:pPr>
        <w:keepNext w:val="0"/>
        <w:keepLines w:val="0"/>
        <w:pageBreakBefore w:val="0"/>
        <w:widowControl w:val="0"/>
        <w:tabs>
          <w:tab w:val="left" w:pos="803"/>
        </w:tabs>
        <w:kinsoku/>
        <w:wordWrap/>
        <w:overflowPunct/>
        <w:topLinePunct w:val="0"/>
        <w:autoSpaceDE w:val="0"/>
        <w:autoSpaceDN w:val="0"/>
        <w:bidi w:val="0"/>
        <w:adjustRightInd/>
        <w:snapToGrid w:val="0"/>
        <w:spacing w:line="360" w:lineRule="auto"/>
        <w:ind w:right="0"/>
        <w:jc w:val="center"/>
        <w:textAlignment w:val="auto"/>
        <w:rPr>
          <w:rFonts w:hint="eastAsia" w:ascii="黑体" w:hAnsi="宋体" w:eastAsia="黑体" w:cs="宋体"/>
          <w:b w:val="0"/>
          <w:bCs/>
          <w:spacing w:val="-10"/>
          <w:kern w:val="0"/>
          <w:sz w:val="32"/>
        </w:rPr>
      </w:pPr>
      <w:r>
        <w:rPr>
          <w:rFonts w:hint="eastAsia" w:ascii="黑体" w:hAnsi="宋体" w:eastAsia="黑体" w:cs="宋体"/>
          <w:b w:val="0"/>
          <w:bCs/>
          <w:spacing w:val="-10"/>
          <w:kern w:val="0"/>
          <w:sz w:val="32"/>
        </w:rPr>
        <w:t>目</w:t>
      </w:r>
      <w:r>
        <w:rPr>
          <w:rFonts w:hint="eastAsia" w:ascii="黑体" w:hAnsi="宋体" w:eastAsia="黑体" w:cs="宋体"/>
          <w:b w:val="0"/>
          <w:bCs/>
          <w:kern w:val="0"/>
          <w:sz w:val="32"/>
        </w:rPr>
        <w:tab/>
      </w:r>
      <w:r>
        <w:rPr>
          <w:rFonts w:hint="eastAsia" w:ascii="黑体" w:hAnsi="宋体" w:eastAsia="黑体" w:cs="宋体"/>
          <w:b w:val="0"/>
          <w:bCs/>
          <w:spacing w:val="-10"/>
          <w:kern w:val="0"/>
          <w:sz w:val="32"/>
        </w:rPr>
        <w:t>录</w:t>
      </w:r>
    </w:p>
    <w:p w14:paraId="4DA47C70">
      <w:pPr>
        <w:pStyle w:val="8"/>
        <w:tabs>
          <w:tab w:val="right" w:leader="dot" w:pos="8306"/>
        </w:tabs>
      </w:pPr>
      <w:r>
        <w:rPr>
          <w:b w:val="0"/>
          <w:bCs/>
          <w:sz w:val="32"/>
        </w:rPr>
        <w:fldChar w:fldCharType="begin"/>
      </w:r>
      <w:r>
        <w:rPr>
          <w:b w:val="0"/>
          <w:bCs/>
          <w:sz w:val="32"/>
        </w:rPr>
        <w:instrText xml:space="preserve"> TOC \o "1-1" \h \z \u </w:instrText>
      </w:r>
      <w:r>
        <w:rPr>
          <w:b w:val="0"/>
          <w:bCs/>
          <w:sz w:val="32"/>
        </w:rPr>
        <w:fldChar w:fldCharType="separate"/>
      </w: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_Toc21645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eastAsia="en-US"/>
        </w:rPr>
        <w:t xml:space="preserve">1 </w:t>
      </w:r>
      <w:r>
        <w:rPr>
          <w:rFonts w:hint="eastAsia" w:ascii="黑体" w:hAnsi="黑体" w:eastAsia="黑体" w:cs="黑体"/>
          <w:bCs w:val="0"/>
          <w:spacing w:val="-2"/>
          <w:w w:val="95"/>
          <w:kern w:val="0"/>
          <w:szCs w:val="28"/>
          <w:lang w:val="en-US" w:eastAsia="zh-CN"/>
        </w:rPr>
        <w:t>引言</w:t>
      </w:r>
      <w:r>
        <w:tab/>
      </w:r>
      <w:r>
        <w:fldChar w:fldCharType="begin"/>
      </w:r>
      <w:r>
        <w:instrText xml:space="preserve"> PAGEREF _Toc21645 \h </w:instrText>
      </w:r>
      <w:r>
        <w:fldChar w:fldCharType="separate"/>
      </w:r>
      <w:r>
        <w:t>1</w:t>
      </w:r>
      <w:r>
        <w:fldChar w:fldCharType="end"/>
      </w:r>
      <w:r>
        <w:rPr>
          <w:rFonts w:ascii="Times New Roman" w:hAnsi="Times New Roman" w:eastAsia="宋体" w:cs="Times New Roman"/>
          <w:bCs/>
          <w:kern w:val="0"/>
        </w:rPr>
        <w:fldChar w:fldCharType="end"/>
      </w:r>
    </w:p>
    <w:p w14:paraId="6A36AE8C">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_Toc13623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2 </w:t>
      </w:r>
      <w:r>
        <w:rPr>
          <w:rFonts w:hint="eastAsia" w:ascii="黑体" w:hAnsi="黑体" w:eastAsia="黑体" w:cs="黑体"/>
          <w:bCs w:val="0"/>
          <w:spacing w:val="-2"/>
          <w:w w:val="95"/>
          <w:kern w:val="0"/>
          <w:szCs w:val="28"/>
          <w:lang w:val="en-US" w:eastAsia="en-US"/>
        </w:rPr>
        <w:t>适用</w:t>
      </w:r>
      <w:r>
        <w:rPr>
          <w:rFonts w:hint="eastAsia" w:ascii="黑体" w:hAnsi="黑体" w:eastAsia="黑体" w:cs="黑体"/>
          <w:bCs w:val="0"/>
          <w:spacing w:val="-2"/>
          <w:w w:val="95"/>
          <w:kern w:val="0"/>
          <w:szCs w:val="28"/>
          <w:lang w:val="en-US" w:eastAsia="zh-CN"/>
        </w:rPr>
        <w:t>范围</w:t>
      </w:r>
      <w:r>
        <w:tab/>
      </w:r>
      <w:r>
        <w:fldChar w:fldCharType="begin"/>
      </w:r>
      <w:r>
        <w:instrText xml:space="preserve"> PAGEREF _Toc13623 \h </w:instrText>
      </w:r>
      <w:r>
        <w:fldChar w:fldCharType="separate"/>
      </w:r>
      <w:r>
        <w:t>1</w:t>
      </w:r>
      <w:r>
        <w:fldChar w:fldCharType="end"/>
      </w:r>
      <w:r>
        <w:rPr>
          <w:rFonts w:ascii="Times New Roman" w:hAnsi="Times New Roman" w:eastAsia="宋体" w:cs="Times New Roman"/>
          <w:bCs/>
          <w:kern w:val="0"/>
        </w:rPr>
        <w:fldChar w:fldCharType="end"/>
      </w:r>
    </w:p>
    <w:p w14:paraId="41E96608">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_Toc29500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3 </w:t>
      </w:r>
      <w:r>
        <w:rPr>
          <w:rFonts w:hint="eastAsia" w:ascii="黑体" w:hAnsi="黑体" w:eastAsia="黑体" w:cs="黑体"/>
          <w:bCs w:val="0"/>
          <w:spacing w:val="-2"/>
          <w:w w:val="95"/>
          <w:kern w:val="0"/>
          <w:szCs w:val="28"/>
          <w:lang w:val="en-US" w:eastAsia="en-US"/>
        </w:rPr>
        <w:t>引用文件</w:t>
      </w:r>
      <w:r>
        <w:tab/>
      </w:r>
      <w:r>
        <w:fldChar w:fldCharType="begin"/>
      </w:r>
      <w:r>
        <w:instrText xml:space="preserve"> PAGEREF _Toc29500 \h </w:instrText>
      </w:r>
      <w:r>
        <w:fldChar w:fldCharType="separate"/>
      </w:r>
      <w:r>
        <w:t>2</w:t>
      </w:r>
      <w:r>
        <w:fldChar w:fldCharType="end"/>
      </w:r>
      <w:r>
        <w:rPr>
          <w:rFonts w:ascii="Times New Roman" w:hAnsi="Times New Roman" w:eastAsia="宋体" w:cs="Times New Roman"/>
          <w:bCs/>
          <w:kern w:val="0"/>
        </w:rPr>
        <w:fldChar w:fldCharType="end"/>
      </w:r>
    </w:p>
    <w:p w14:paraId="68D362DA">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_Toc4498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4 </w:t>
      </w:r>
      <w:r>
        <w:rPr>
          <w:rFonts w:hint="eastAsia" w:ascii="黑体" w:hAnsi="黑体" w:eastAsia="黑体" w:cs="黑体"/>
          <w:bCs w:val="0"/>
          <w:spacing w:val="-2"/>
          <w:w w:val="95"/>
          <w:kern w:val="0"/>
          <w:szCs w:val="28"/>
          <w:lang w:val="en-US" w:eastAsia="en-US"/>
        </w:rPr>
        <w:t>术语和定义</w:t>
      </w:r>
      <w:r>
        <w:tab/>
      </w:r>
      <w:r>
        <w:fldChar w:fldCharType="begin"/>
      </w:r>
      <w:r>
        <w:instrText xml:space="preserve"> PAGEREF _Toc4498 \h </w:instrText>
      </w:r>
      <w:r>
        <w:fldChar w:fldCharType="separate"/>
      </w:r>
      <w:r>
        <w:t>2</w:t>
      </w:r>
      <w:r>
        <w:fldChar w:fldCharType="end"/>
      </w:r>
      <w:r>
        <w:rPr>
          <w:rFonts w:ascii="Times New Roman" w:hAnsi="Times New Roman" w:eastAsia="宋体" w:cs="Times New Roman"/>
          <w:bCs/>
          <w:kern w:val="0"/>
        </w:rPr>
        <w:fldChar w:fldCharType="end"/>
      </w:r>
    </w:p>
    <w:p w14:paraId="6D220F6F">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_Toc1037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5 </w:t>
      </w:r>
      <w:r>
        <w:rPr>
          <w:rFonts w:hint="eastAsia" w:ascii="黑体" w:hAnsi="黑体" w:eastAsia="黑体" w:cs="黑体"/>
          <w:bCs w:val="0"/>
          <w:spacing w:val="-2"/>
          <w:w w:val="95"/>
          <w:kern w:val="0"/>
          <w:szCs w:val="28"/>
          <w:lang w:val="en-US" w:eastAsia="zh-CN"/>
        </w:rPr>
        <w:t>基本要求</w:t>
      </w:r>
      <w:r>
        <w:tab/>
      </w:r>
      <w:r>
        <w:fldChar w:fldCharType="begin"/>
      </w:r>
      <w:r>
        <w:instrText xml:space="preserve"> PAGEREF _Toc1037 \h </w:instrText>
      </w:r>
      <w:r>
        <w:fldChar w:fldCharType="separate"/>
      </w:r>
      <w:r>
        <w:t>3</w:t>
      </w:r>
      <w:r>
        <w:fldChar w:fldCharType="end"/>
      </w:r>
      <w:r>
        <w:rPr>
          <w:rFonts w:ascii="Times New Roman" w:hAnsi="Times New Roman" w:eastAsia="宋体" w:cs="Times New Roman"/>
          <w:bCs/>
          <w:kern w:val="0"/>
        </w:rPr>
        <w:fldChar w:fldCharType="end"/>
      </w:r>
    </w:p>
    <w:p w14:paraId="0949B9CD">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_Toc18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6 </w:t>
      </w:r>
      <w:r>
        <w:rPr>
          <w:rFonts w:hint="eastAsia" w:ascii="黑体" w:hAnsi="黑体" w:eastAsia="黑体" w:cs="黑体"/>
          <w:bCs w:val="0"/>
          <w:spacing w:val="-2"/>
          <w:w w:val="95"/>
          <w:kern w:val="0"/>
          <w:szCs w:val="28"/>
          <w:lang w:val="en-US" w:eastAsia="zh-CN"/>
        </w:rPr>
        <w:t>核算边界及排放源</w:t>
      </w:r>
      <w:r>
        <w:tab/>
      </w:r>
      <w:r>
        <w:fldChar w:fldCharType="begin"/>
      </w:r>
      <w:r>
        <w:instrText xml:space="preserve"> PAGEREF _Toc18 \h </w:instrText>
      </w:r>
      <w:r>
        <w:fldChar w:fldCharType="separate"/>
      </w:r>
      <w:r>
        <w:t>4</w:t>
      </w:r>
      <w:r>
        <w:fldChar w:fldCharType="end"/>
      </w:r>
      <w:r>
        <w:rPr>
          <w:rFonts w:ascii="Times New Roman" w:hAnsi="Times New Roman" w:eastAsia="宋体" w:cs="Times New Roman"/>
          <w:bCs/>
          <w:kern w:val="0"/>
        </w:rPr>
        <w:fldChar w:fldCharType="end"/>
      </w:r>
    </w:p>
    <w:p w14:paraId="5BC5FBC7">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_Toc7636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en-US"/>
        </w:rPr>
        <w:t xml:space="preserve">7 </w:t>
      </w:r>
      <w:r>
        <w:rPr>
          <w:rFonts w:hint="eastAsia" w:ascii="黑体" w:hAnsi="黑体" w:eastAsia="黑体" w:cs="黑体"/>
          <w:bCs w:val="0"/>
          <w:spacing w:val="-2"/>
          <w:w w:val="95"/>
          <w:kern w:val="0"/>
          <w:szCs w:val="28"/>
          <w:lang w:val="en-US" w:eastAsia="zh-CN"/>
        </w:rPr>
        <w:t>减排量计算</w:t>
      </w:r>
      <w:r>
        <w:tab/>
      </w:r>
      <w:r>
        <w:fldChar w:fldCharType="begin"/>
      </w:r>
      <w:r>
        <w:instrText xml:space="preserve"> PAGEREF _Toc7636 \h </w:instrText>
      </w:r>
      <w:r>
        <w:fldChar w:fldCharType="separate"/>
      </w:r>
      <w:r>
        <w:t>5</w:t>
      </w:r>
      <w:r>
        <w:fldChar w:fldCharType="end"/>
      </w:r>
      <w:r>
        <w:rPr>
          <w:rFonts w:ascii="Times New Roman" w:hAnsi="Times New Roman" w:eastAsia="宋体" w:cs="Times New Roman"/>
          <w:bCs/>
          <w:kern w:val="0"/>
        </w:rPr>
        <w:fldChar w:fldCharType="end"/>
      </w:r>
    </w:p>
    <w:p w14:paraId="4051FD1A">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_Toc10893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8 </w:t>
      </w:r>
      <w:r>
        <w:rPr>
          <w:rFonts w:hint="eastAsia" w:ascii="黑体" w:hAnsi="黑体" w:eastAsia="黑体" w:cs="黑体"/>
          <w:bCs w:val="0"/>
          <w:spacing w:val="-2"/>
          <w:w w:val="95"/>
          <w:kern w:val="0"/>
          <w:szCs w:val="28"/>
          <w:lang w:val="en-US" w:eastAsia="zh-CN"/>
        </w:rPr>
        <w:t>数据来源及监测</w:t>
      </w:r>
      <w:r>
        <w:tab/>
      </w:r>
      <w:r>
        <w:fldChar w:fldCharType="begin"/>
      </w:r>
      <w:r>
        <w:instrText xml:space="preserve"> PAGEREF _Toc10893 \h </w:instrText>
      </w:r>
      <w:r>
        <w:fldChar w:fldCharType="separate"/>
      </w:r>
      <w:r>
        <w:t>6</w:t>
      </w:r>
      <w:r>
        <w:fldChar w:fldCharType="end"/>
      </w:r>
      <w:r>
        <w:rPr>
          <w:rFonts w:ascii="Times New Roman" w:hAnsi="Times New Roman" w:eastAsia="宋体" w:cs="Times New Roman"/>
          <w:bCs/>
          <w:kern w:val="0"/>
        </w:rPr>
        <w:fldChar w:fldCharType="end"/>
      </w:r>
    </w:p>
    <w:p w14:paraId="20F1D1FF">
      <w:pPr>
        <w:pStyle w:val="8"/>
        <w:tabs>
          <w:tab w:val="right" w:leader="dot" w:pos="8306"/>
        </w:tabs>
      </w:pPr>
      <w:r>
        <w:rPr>
          <w:rFonts w:ascii="Times New Roman" w:hAnsi="Times New Roman" w:eastAsia="宋体" w:cs="Times New Roman"/>
          <w:bCs/>
          <w:kern w:val="0"/>
        </w:rPr>
        <w:fldChar w:fldCharType="begin"/>
      </w:r>
      <w:r>
        <w:rPr>
          <w:rFonts w:ascii="Times New Roman" w:hAnsi="Times New Roman" w:eastAsia="宋体" w:cs="Times New Roman"/>
          <w:bCs/>
          <w:kern w:val="0"/>
        </w:rPr>
        <w:instrText xml:space="preserve"> HYPERLINK \l _Toc16403 </w:instrText>
      </w:r>
      <w:r>
        <w:rPr>
          <w:rFonts w:ascii="Times New Roman" w:hAnsi="Times New Roman" w:eastAsia="宋体" w:cs="Times New Roman"/>
          <w:bCs/>
          <w:kern w:val="0"/>
        </w:rPr>
        <w:fldChar w:fldCharType="separate"/>
      </w:r>
      <w:r>
        <w:rPr>
          <w:rFonts w:hint="default" w:ascii="黑体" w:hAnsi="黑体" w:eastAsia="黑体" w:cs="黑体"/>
          <w:bCs w:val="0"/>
          <w:i w:val="0"/>
          <w:iCs w:val="0"/>
          <w:spacing w:val="-2"/>
          <w:w w:val="98"/>
          <w:kern w:val="0"/>
          <w:szCs w:val="28"/>
          <w:lang w:val="en-US" w:eastAsia="zh-CN"/>
        </w:rPr>
        <w:t xml:space="preserve">9 </w:t>
      </w:r>
      <w:r>
        <w:rPr>
          <w:rFonts w:hint="eastAsia" w:ascii="黑体" w:hAnsi="黑体" w:eastAsia="黑体" w:cs="黑体"/>
          <w:bCs w:val="0"/>
          <w:spacing w:val="-2"/>
          <w:w w:val="95"/>
          <w:kern w:val="0"/>
          <w:szCs w:val="28"/>
          <w:lang w:val="en-US" w:eastAsia="zh-CN"/>
        </w:rPr>
        <w:t>项目审定与核查要点</w:t>
      </w:r>
      <w:r>
        <w:tab/>
      </w:r>
      <w:r>
        <w:fldChar w:fldCharType="begin"/>
      </w:r>
      <w:r>
        <w:instrText xml:space="preserve"> PAGEREF _Toc16403 \h </w:instrText>
      </w:r>
      <w:r>
        <w:fldChar w:fldCharType="separate"/>
      </w:r>
      <w:r>
        <w:t>8</w:t>
      </w:r>
      <w:r>
        <w:fldChar w:fldCharType="end"/>
      </w:r>
      <w:r>
        <w:rPr>
          <w:rFonts w:ascii="Times New Roman" w:hAnsi="Times New Roman" w:eastAsia="宋体" w:cs="Times New Roman"/>
          <w:bCs/>
          <w:kern w:val="0"/>
        </w:rPr>
        <w:fldChar w:fldCharType="end"/>
      </w:r>
    </w:p>
    <w:p w14:paraId="07681C9F">
      <w:pPr>
        <w:tabs>
          <w:tab w:val="left" w:pos="803"/>
        </w:tabs>
        <w:autoSpaceDE w:val="0"/>
        <w:autoSpaceDN w:val="0"/>
        <w:spacing w:before="54"/>
        <w:ind w:right="1100"/>
        <w:jc w:val="center"/>
        <w:rPr>
          <w:rFonts w:hint="eastAsia" w:ascii="黑体" w:hAnsi="宋体" w:eastAsia="黑体" w:cs="宋体"/>
          <w:b/>
          <w:kern w:val="0"/>
          <w:sz w:val="32"/>
        </w:rPr>
      </w:pPr>
      <w:r>
        <w:rPr>
          <w:rFonts w:ascii="Times New Roman" w:hAnsi="Times New Roman" w:eastAsia="宋体" w:cs="Times New Roman"/>
          <w:bCs/>
          <w:kern w:val="0"/>
        </w:rPr>
        <w:fldChar w:fldCharType="end"/>
      </w:r>
    </w:p>
    <w:p w14:paraId="0FE790FB">
      <w:pPr>
        <w:tabs>
          <w:tab w:val="left" w:pos="563"/>
          <w:tab w:val="left" w:pos="564"/>
          <w:tab w:val="right" w:leader="dot" w:pos="8427"/>
        </w:tabs>
        <w:autoSpaceDE w:val="0"/>
        <w:autoSpaceDN w:val="0"/>
        <w:spacing w:before="855"/>
        <w:jc w:val="left"/>
        <w:rPr>
          <w:rFonts w:hint="eastAsia" w:ascii="黑体" w:hAnsi="宋体" w:eastAsia="黑体" w:cs="宋体"/>
          <w:kern w:val="0"/>
          <w:sz w:val="28"/>
          <w:lang w:eastAsia="en-US"/>
        </w:rPr>
        <w:sectPr>
          <w:footerReference r:id="rId4" w:type="default"/>
          <w:pgSz w:w="11906" w:h="16838"/>
          <w:pgMar w:top="1440" w:right="1800" w:bottom="1440" w:left="1800" w:header="851" w:footer="992" w:gutter="0"/>
          <w:cols w:space="425" w:num="1"/>
          <w:docGrid w:type="lines" w:linePitch="312" w:charSpace="0"/>
        </w:sectPr>
      </w:pPr>
    </w:p>
    <w:p w14:paraId="52C7CF68">
      <w:pPr>
        <w:keepNext w:val="0"/>
        <w:keepLines w:val="0"/>
        <w:pageBreakBefore w:val="0"/>
        <w:widowControl w:val="0"/>
        <w:numPr>
          <w:ilvl w:val="0"/>
          <w:numId w:val="0"/>
        </w:numPr>
        <w:tabs>
          <w:tab w:val="left" w:pos="847"/>
          <w:tab w:val="left" w:pos="848"/>
        </w:tabs>
        <w:kinsoku/>
        <w:wordWrap/>
        <w:overflowPunct/>
        <w:topLinePunct w:val="0"/>
        <w:autoSpaceDE w:val="0"/>
        <w:autoSpaceDN w:val="0"/>
        <w:bidi w:val="0"/>
        <w:adjustRightInd/>
        <w:snapToGrid w:val="0"/>
        <w:ind w:leftChars="0"/>
        <w:jc w:val="center"/>
        <w:textAlignment w:val="auto"/>
        <w:outlineLvl w:val="9"/>
        <w:rPr>
          <w:rFonts w:hint="default" w:ascii="黑体" w:hAnsi="黑体" w:eastAsia="黑体" w:cs="黑体"/>
          <w:b w:val="0"/>
          <w:bCs w:val="0"/>
          <w:spacing w:val="-2"/>
          <w:w w:val="95"/>
          <w:kern w:val="0"/>
          <w:sz w:val="52"/>
          <w:szCs w:val="52"/>
          <w:lang w:val="en-US" w:eastAsia="zh-CN"/>
        </w:rPr>
      </w:pPr>
      <w:bookmarkStart w:id="0" w:name="_Toc170134103"/>
      <w:r>
        <w:rPr>
          <w:rFonts w:hint="eastAsia" w:ascii="黑体" w:hAnsi="黑体" w:eastAsia="黑体" w:cs="黑体"/>
          <w:b w:val="0"/>
          <w:bCs w:val="0"/>
          <w:spacing w:val="-2"/>
          <w:w w:val="95"/>
          <w:kern w:val="0"/>
          <w:sz w:val="52"/>
          <w:szCs w:val="52"/>
          <w:lang w:eastAsia="en-US"/>
        </w:rPr>
        <w:t>南京市</w:t>
      </w:r>
      <w:r>
        <w:rPr>
          <w:rFonts w:hint="eastAsia" w:ascii="黑体" w:hAnsi="黑体" w:eastAsia="黑体" w:cs="黑体"/>
          <w:b w:val="0"/>
          <w:bCs w:val="0"/>
          <w:spacing w:val="-2"/>
          <w:w w:val="95"/>
          <w:kern w:val="0"/>
          <w:sz w:val="52"/>
          <w:szCs w:val="52"/>
          <w:lang w:eastAsia="zh-CN"/>
        </w:rPr>
        <w:t>分布式</w:t>
      </w:r>
      <w:r>
        <w:rPr>
          <w:rFonts w:hint="eastAsia" w:ascii="黑体" w:hAnsi="黑体" w:eastAsia="黑体" w:cs="黑体"/>
          <w:b w:val="0"/>
          <w:bCs w:val="0"/>
          <w:spacing w:val="-2"/>
          <w:w w:val="95"/>
          <w:kern w:val="0"/>
          <w:sz w:val="52"/>
          <w:szCs w:val="52"/>
          <w:lang w:val="en-US" w:eastAsia="zh-CN"/>
        </w:rPr>
        <w:t>光伏发电项目运行碳普惠方法学</w:t>
      </w:r>
    </w:p>
    <w:p w14:paraId="674A43B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eastAsia="en-US"/>
        </w:rPr>
      </w:pPr>
      <w:bookmarkStart w:id="1" w:name="_Toc31530"/>
      <w:bookmarkStart w:id="2" w:name="_Toc21645"/>
      <w:r>
        <w:rPr>
          <w:rFonts w:hint="eastAsia" w:ascii="黑体" w:hAnsi="黑体" w:eastAsia="黑体" w:cs="黑体"/>
          <w:b w:val="0"/>
          <w:bCs w:val="0"/>
          <w:spacing w:val="-2"/>
          <w:w w:val="95"/>
          <w:kern w:val="0"/>
          <w:sz w:val="28"/>
          <w:szCs w:val="28"/>
          <w:lang w:val="en-US" w:eastAsia="zh-CN"/>
        </w:rPr>
        <w:t>引言</w:t>
      </w:r>
      <w:bookmarkEnd w:id="1"/>
      <w:bookmarkEnd w:id="2"/>
    </w:p>
    <w:p w14:paraId="247377D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为落实《南京市碳普惠管理实施方案》相关工作要求，规范本市光伏发电项目发电减碳行为的碳减排量化核算流程，持续推动能源领域绿色低碳转型，引导机关、企事业单位、社会团体及居民家庭主动发展清洁能源，特编制《南京市分布式光伏发电项目运行碳普惠方法学》。</w:t>
      </w:r>
    </w:p>
    <w:p w14:paraId="7BE568C2">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光伏发电通过清洁能源就地发电供给用电需求，显著减少电力生产环节二氧化碳排放，是面向社会各类主体、普及度高、参与门槛低的典型低碳项目。本方法学结合南京本地电力运行特征制定，清晰界定分布式光伏发电项目的减排量化规则、数据监测规范与项目核查管理要求。</w:t>
      </w:r>
    </w:p>
    <w:p w14:paraId="10CB002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方法学为南京市碳普惠项目方法学（Ⅰ类），新开发版本，无需额外性论证。通过标准化的核算规则量化光伏项目实际减碳成效，依托碳普惠正向激励机制充分调动各类社会主体投建光伏的主动性，持续扩大本地清洁能源供给规模，优化城市用能结构，为南京市稳步推进碳达峰碳中和工作、构建全民参与的低碳发展格局提供标准化技术支撑。</w:t>
      </w:r>
    </w:p>
    <w:p w14:paraId="75F42FA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3" w:name="_Toc7745"/>
      <w:bookmarkStart w:id="4" w:name="_Toc13623"/>
      <w:r>
        <w:rPr>
          <w:rFonts w:hint="eastAsia" w:ascii="黑体" w:hAnsi="黑体" w:eastAsia="黑体" w:cs="黑体"/>
          <w:b w:val="0"/>
          <w:bCs w:val="0"/>
          <w:spacing w:val="-2"/>
          <w:w w:val="95"/>
          <w:kern w:val="0"/>
          <w:sz w:val="28"/>
          <w:szCs w:val="28"/>
          <w:lang w:val="en-US" w:eastAsia="en-US"/>
        </w:rPr>
        <w:t>适用</w:t>
      </w:r>
      <w:bookmarkEnd w:id="0"/>
      <w:r>
        <w:rPr>
          <w:rFonts w:hint="eastAsia" w:ascii="黑体" w:hAnsi="黑体" w:eastAsia="黑体" w:cs="黑体"/>
          <w:b w:val="0"/>
          <w:bCs w:val="0"/>
          <w:spacing w:val="-2"/>
          <w:w w:val="95"/>
          <w:kern w:val="0"/>
          <w:sz w:val="28"/>
          <w:szCs w:val="28"/>
          <w:lang w:val="en-US" w:eastAsia="zh-CN"/>
        </w:rPr>
        <w:t>范围</w:t>
      </w:r>
      <w:bookmarkEnd w:id="3"/>
      <w:bookmarkEnd w:id="4"/>
    </w:p>
    <w:p w14:paraId="3E77EE3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本方法学适用于南京市行政区域内，在南京市碳普惠</w:t>
      </w:r>
      <w:r>
        <w:rPr>
          <w:rFonts w:hint="default" w:ascii="Times New Roman" w:hAnsi="Times New Roman" w:eastAsia="宋体" w:cs="Times New Roman"/>
          <w:kern w:val="0"/>
          <w:sz w:val="28"/>
          <w:szCs w:val="28"/>
          <w:lang w:eastAsia="zh-CN"/>
        </w:rPr>
        <w:t>综合管理</w:t>
      </w:r>
      <w:r>
        <w:rPr>
          <w:rFonts w:hint="default" w:ascii="Times New Roman" w:hAnsi="Times New Roman" w:eastAsia="宋体" w:cs="Times New Roman"/>
          <w:kern w:val="0"/>
          <w:sz w:val="28"/>
          <w:szCs w:val="28"/>
        </w:rPr>
        <w:t>平台完成注册、自愿参与碳普惠机制的机关、企事业单位、社会团体、其他社会组织或个人名下的</w:t>
      </w:r>
      <w:r>
        <w:rPr>
          <w:rFonts w:hint="eastAsia" w:ascii="Times New Roman" w:hAnsi="Times New Roman" w:eastAsia="宋体" w:cs="Times New Roman"/>
          <w:kern w:val="0"/>
          <w:sz w:val="28"/>
          <w:szCs w:val="28"/>
          <w:lang w:val="en-US" w:eastAsia="zh-CN"/>
        </w:rPr>
        <w:t>分布式</w:t>
      </w:r>
      <w:r>
        <w:rPr>
          <w:rFonts w:hint="default" w:ascii="Times New Roman" w:hAnsi="Times New Roman" w:eastAsia="宋体" w:cs="Times New Roman"/>
          <w:kern w:val="0"/>
          <w:sz w:val="28"/>
          <w:szCs w:val="28"/>
        </w:rPr>
        <w:t>光伏发电项目，项目可核算的减排量起始时间为项目并网备案完成之日，申报项目应当同时符合以下条件：</w:t>
      </w:r>
    </w:p>
    <w:p w14:paraId="3636C53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rPr>
      </w:pPr>
      <w:r>
        <w:rPr>
          <w:rFonts w:hint="eastAsia" w:ascii="Times New Roman" w:hAnsi="Times New Roman" w:eastAsia="宋体" w:cs="Times New Roman"/>
          <w:kern w:val="0"/>
          <w:sz w:val="28"/>
          <w:szCs w:val="28"/>
          <w:lang w:val="en-US" w:eastAsia="zh-CN"/>
        </w:rPr>
        <w:t>a</w:t>
      </w:r>
      <w:r>
        <w:rPr>
          <w:rFonts w:hint="eastAsia" w:ascii="Times New Roman" w:hAnsi="Times New Roman" w:eastAsia="宋体" w:cs="Times New Roman"/>
          <w:kern w:val="0"/>
          <w:sz w:val="28"/>
          <w:szCs w:val="28"/>
          <w:lang w:eastAsia="zh-CN"/>
        </w:rPr>
        <w:t>）</w:t>
      </w:r>
      <w:r>
        <w:rPr>
          <w:rFonts w:hint="default" w:ascii="Times New Roman" w:hAnsi="Times New Roman" w:eastAsia="宋体" w:cs="Times New Roman"/>
          <w:kern w:val="0"/>
          <w:sz w:val="28"/>
          <w:szCs w:val="28"/>
        </w:rPr>
        <w:t xml:space="preserve"> 项目已完成电网备案、并网验收，配备独立计量装置，分时段</w:t>
      </w:r>
      <w:r>
        <w:rPr>
          <w:rFonts w:hint="eastAsia" w:ascii="Times New Roman" w:hAnsi="Times New Roman" w:eastAsia="宋体" w:cs="Times New Roman"/>
          <w:kern w:val="0"/>
          <w:sz w:val="28"/>
          <w:szCs w:val="28"/>
          <w:lang w:eastAsia="zh-CN"/>
        </w:rPr>
        <w:t>上网电量</w:t>
      </w:r>
      <w:r>
        <w:rPr>
          <w:rFonts w:hint="default" w:ascii="Times New Roman" w:hAnsi="Times New Roman" w:eastAsia="宋体" w:cs="Times New Roman"/>
          <w:kern w:val="0"/>
          <w:sz w:val="28"/>
          <w:szCs w:val="28"/>
        </w:rPr>
        <w:t>数据完整、可追溯；</w:t>
      </w:r>
    </w:p>
    <w:p w14:paraId="08EDBE3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rPr>
      </w:pPr>
      <w:r>
        <w:rPr>
          <w:rFonts w:hint="eastAsia" w:ascii="Times New Roman" w:hAnsi="Times New Roman" w:eastAsia="宋体" w:cs="Times New Roman"/>
          <w:kern w:val="0"/>
          <w:sz w:val="28"/>
          <w:szCs w:val="28"/>
          <w:lang w:val="en-US" w:eastAsia="zh-CN"/>
        </w:rPr>
        <w:t>b</w:t>
      </w:r>
      <w:r>
        <w:rPr>
          <w:rFonts w:hint="eastAsia" w:ascii="Times New Roman" w:hAnsi="Times New Roman" w:eastAsia="宋体" w:cs="Times New Roman"/>
          <w:kern w:val="0"/>
          <w:sz w:val="28"/>
          <w:szCs w:val="28"/>
          <w:lang w:eastAsia="zh-CN"/>
        </w:rPr>
        <w:t>）</w:t>
      </w:r>
      <w:r>
        <w:rPr>
          <w:rFonts w:hint="default" w:ascii="Times New Roman" w:hAnsi="Times New Roman" w:eastAsia="宋体" w:cs="Times New Roman"/>
          <w:kern w:val="0"/>
          <w:sz w:val="28"/>
          <w:szCs w:val="28"/>
        </w:rPr>
        <w:t xml:space="preserve"> 项目发电电量对应的绿色电力证书、外地碳普惠减排凭证、绿电交易权益仅可择一申领，严禁多重确权、重复申报；</w:t>
      </w:r>
    </w:p>
    <w:p w14:paraId="62141EC0">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rPr>
      </w:pPr>
      <w:r>
        <w:rPr>
          <w:rFonts w:hint="eastAsia" w:ascii="Times New Roman" w:hAnsi="Times New Roman" w:eastAsia="宋体" w:cs="Times New Roman"/>
          <w:kern w:val="0"/>
          <w:sz w:val="28"/>
          <w:szCs w:val="28"/>
          <w:lang w:val="en-US" w:eastAsia="zh-CN"/>
        </w:rPr>
        <w:t>c</w:t>
      </w:r>
      <w:r>
        <w:rPr>
          <w:rFonts w:hint="eastAsia" w:ascii="Times New Roman" w:hAnsi="Times New Roman" w:eastAsia="宋体" w:cs="Times New Roman"/>
          <w:kern w:val="0"/>
          <w:sz w:val="28"/>
          <w:szCs w:val="28"/>
          <w:lang w:eastAsia="zh-CN"/>
        </w:rPr>
        <w:t>）</w:t>
      </w:r>
      <w:r>
        <w:rPr>
          <w:rFonts w:hint="default" w:ascii="Times New Roman" w:hAnsi="Times New Roman" w:eastAsia="宋体" w:cs="Times New Roman"/>
          <w:kern w:val="0"/>
          <w:sz w:val="28"/>
          <w:szCs w:val="28"/>
        </w:rPr>
        <w:t xml:space="preserve"> 不含无并网计量的离网独立光伏储能系统、仅配套小型设备自用的简易光伏组件。</w:t>
      </w:r>
    </w:p>
    <w:p w14:paraId="5CE3C2F9">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5" w:name="_Toc170134104"/>
      <w:bookmarkStart w:id="6" w:name="_Toc29500"/>
      <w:bookmarkStart w:id="7" w:name="_Toc599"/>
      <w:r>
        <w:rPr>
          <w:rFonts w:hint="eastAsia" w:ascii="黑体" w:hAnsi="黑体" w:eastAsia="黑体" w:cs="黑体"/>
          <w:b w:val="0"/>
          <w:bCs w:val="0"/>
          <w:spacing w:val="-2"/>
          <w:w w:val="95"/>
          <w:kern w:val="0"/>
          <w:sz w:val="28"/>
          <w:szCs w:val="28"/>
          <w:lang w:val="en-US" w:eastAsia="en-US"/>
        </w:rPr>
        <w:t>引用文件</w:t>
      </w:r>
      <w:bookmarkEnd w:id="5"/>
      <w:bookmarkEnd w:id="6"/>
      <w:bookmarkEnd w:id="7"/>
    </w:p>
    <w:p w14:paraId="28BBB8E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本方法学引用了下列文件或其中的条款。凡是注日期的引用文件，仅注日期的版本适用于本方法学。凡是未注日期的引用文件，其有效版本（包括所有的修改单）适用于本方法学。</w:t>
      </w:r>
    </w:p>
    <w:p w14:paraId="10DC042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‌GB/T 33760  基于项目的温室气体减排量评估技术规范 通用要求</w:t>
      </w:r>
    </w:p>
    <w:p w14:paraId="5B22591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GB/T 50796  光伏发电工程验收规范</w:t>
      </w:r>
    </w:p>
    <w:p w14:paraId="638C10A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DL/T 448  电能计量装置技术管理规程</w:t>
      </w:r>
    </w:p>
    <w:p w14:paraId="64125E4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DL/T 1664  电能计量装置现场校验规程</w:t>
      </w:r>
    </w:p>
    <w:p w14:paraId="202FF2A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JJG 596  电子式交流电能表检定规程</w:t>
      </w:r>
    </w:p>
    <w:p w14:paraId="1D3CBEA3">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8" w:name="_Toc25339"/>
      <w:bookmarkStart w:id="9" w:name="_Toc170134105"/>
      <w:bookmarkStart w:id="10" w:name="_Toc4498"/>
      <w:r>
        <w:rPr>
          <w:rFonts w:hint="eastAsia" w:ascii="黑体" w:hAnsi="黑体" w:eastAsia="黑体" w:cs="黑体"/>
          <w:b w:val="0"/>
          <w:bCs w:val="0"/>
          <w:spacing w:val="-2"/>
          <w:w w:val="95"/>
          <w:kern w:val="0"/>
          <w:sz w:val="28"/>
          <w:szCs w:val="28"/>
          <w:lang w:val="en-US" w:eastAsia="en-US"/>
        </w:rPr>
        <w:t>术语和定义</w:t>
      </w:r>
      <w:bookmarkEnd w:id="8"/>
      <w:bookmarkEnd w:id="9"/>
      <w:bookmarkEnd w:id="10"/>
    </w:p>
    <w:p w14:paraId="1E37C71B">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ascii="Times New Roman" w:hAnsi="Times New Roman" w:cs="Times New Roman"/>
          <w:b w:val="0"/>
          <w:bCs/>
          <w:spacing w:val="-5"/>
          <w:sz w:val="28"/>
          <w:szCs w:val="28"/>
          <w:lang w:val="en-US" w:eastAsia="zh-CN"/>
        </w:rPr>
      </w:pPr>
      <w:bookmarkStart w:id="11" w:name="3.1"/>
      <w:bookmarkEnd w:id="11"/>
      <w:bookmarkStart w:id="12" w:name="_Toc960204844"/>
      <w:bookmarkStart w:id="13" w:name="_Toc1310109466"/>
      <w:bookmarkStart w:id="14" w:name="_Toc1322001721"/>
      <w:bookmarkStart w:id="15" w:name="_Toc9005"/>
      <w:r>
        <w:rPr>
          <w:rFonts w:hint="default" w:ascii="Times New Roman" w:hAnsi="Times New Roman" w:cs="Times New Roman"/>
          <w:b w:val="0"/>
          <w:bCs/>
          <w:spacing w:val="-5"/>
          <w:sz w:val="28"/>
          <w:szCs w:val="28"/>
          <w:lang w:val="en-US" w:eastAsia="zh-CN"/>
        </w:rPr>
        <w:t xml:space="preserve">4.1 </w:t>
      </w:r>
      <w:r>
        <w:rPr>
          <w:rFonts w:hint="eastAsia" w:ascii="Times New Roman" w:hAnsi="Times New Roman" w:cs="Times New Roman"/>
          <w:b w:val="0"/>
          <w:bCs/>
          <w:spacing w:val="-5"/>
          <w:sz w:val="28"/>
          <w:szCs w:val="28"/>
          <w:lang w:val="en-US" w:eastAsia="zh-CN"/>
        </w:rPr>
        <w:t>分布式光伏发电项目</w:t>
      </w:r>
      <w:r>
        <w:rPr>
          <w:rFonts w:hint="default" w:ascii="Times New Roman" w:hAnsi="Times New Roman" w:cs="Times New Roman"/>
          <w:b w:val="0"/>
          <w:bCs/>
          <w:spacing w:val="-5"/>
          <w:sz w:val="28"/>
          <w:szCs w:val="28"/>
          <w:lang w:val="en-US" w:eastAsia="zh-CN"/>
        </w:rPr>
        <w:t xml:space="preserve">  </w:t>
      </w:r>
    </w:p>
    <w:p w14:paraId="7C98C48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在用户所在场地建设运行，接入配电网系统，具备自发自用、多余电量上网运行特征，并在配电网系统内完成电力平衡调节的光伏发电设施</w:t>
      </w:r>
      <w:r>
        <w:rPr>
          <w:rFonts w:hint="default" w:ascii="Times New Roman" w:hAnsi="Times New Roman" w:eastAsia="宋体" w:cs="Times New Roman"/>
          <w:kern w:val="0"/>
          <w:sz w:val="28"/>
          <w:szCs w:val="28"/>
          <w:lang w:val="en-US" w:eastAsia="zh-CN"/>
        </w:rPr>
        <w:t>。</w:t>
      </w:r>
    </w:p>
    <w:p w14:paraId="41E39DBC">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ascii="Times New Roman" w:hAnsi="Times New Roman" w:cs="Times New Roman"/>
          <w:b w:val="0"/>
          <w:bCs/>
          <w:spacing w:val="-5"/>
          <w:sz w:val="28"/>
          <w:szCs w:val="28"/>
          <w:lang w:val="en-US" w:eastAsia="zh-CN"/>
        </w:rPr>
      </w:pPr>
      <w:r>
        <w:rPr>
          <w:rFonts w:hint="eastAsia" w:ascii="Times New Roman" w:hAnsi="Times New Roman" w:cs="Times New Roman"/>
          <w:b w:val="0"/>
          <w:bCs/>
          <w:spacing w:val="-5"/>
          <w:sz w:val="28"/>
          <w:szCs w:val="28"/>
          <w:lang w:val="en-US" w:eastAsia="zh-CN"/>
        </w:rPr>
        <w:t xml:space="preserve">4.2 </w:t>
      </w:r>
      <w:r>
        <w:rPr>
          <w:rFonts w:hint="default" w:ascii="Times New Roman" w:hAnsi="Times New Roman" w:cs="Times New Roman"/>
          <w:b w:val="0"/>
          <w:bCs/>
          <w:spacing w:val="-5"/>
          <w:sz w:val="28"/>
          <w:szCs w:val="28"/>
          <w:lang w:val="en-US" w:eastAsia="zh-CN"/>
        </w:rPr>
        <w:t>基准线情景</w:t>
      </w:r>
    </w:p>
    <w:p w14:paraId="3B89096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用来提供参照的</w:t>
      </w:r>
      <w:r>
        <w:rPr>
          <w:rFonts w:hint="eastAsia" w:ascii="Times New Roman" w:hAnsi="Times New Roman" w:eastAsia="宋体" w:cs="Times New Roman"/>
          <w:kern w:val="0"/>
          <w:sz w:val="28"/>
          <w:szCs w:val="28"/>
          <w:lang w:val="en-US" w:eastAsia="zh-CN"/>
        </w:rPr>
        <w:t>，</w:t>
      </w:r>
      <w:r>
        <w:rPr>
          <w:rFonts w:hint="default" w:ascii="Times New Roman" w:hAnsi="Times New Roman" w:eastAsia="宋体" w:cs="Times New Roman"/>
          <w:kern w:val="0"/>
          <w:sz w:val="28"/>
          <w:szCs w:val="28"/>
          <w:lang w:val="en-US" w:eastAsia="zh-CN"/>
        </w:rPr>
        <w:t>在不实施项目的情景下可能发生的假定情景。</w:t>
      </w:r>
    </w:p>
    <w:p w14:paraId="6C02D3E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[来源：GB/T 33760-2017，3.4]</w:t>
      </w:r>
    </w:p>
    <w:p w14:paraId="06C9B500">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ascii="Times New Roman" w:hAnsi="Times New Roman" w:cs="Times New Roman"/>
          <w:b w:val="0"/>
          <w:bCs/>
          <w:spacing w:val="-5"/>
          <w:sz w:val="28"/>
          <w:szCs w:val="28"/>
          <w:lang w:val="en-US" w:eastAsia="zh-CN"/>
        </w:rPr>
      </w:pPr>
      <w:r>
        <w:rPr>
          <w:rFonts w:hint="eastAsia" w:ascii="Times New Roman" w:hAnsi="Times New Roman" w:cs="Times New Roman"/>
          <w:b w:val="0"/>
          <w:bCs/>
          <w:spacing w:val="-5"/>
          <w:sz w:val="28"/>
          <w:szCs w:val="28"/>
          <w:lang w:val="en-US" w:eastAsia="zh-CN"/>
        </w:rPr>
        <w:t xml:space="preserve">4.3 </w:t>
      </w:r>
      <w:r>
        <w:rPr>
          <w:rFonts w:hint="default" w:ascii="Times New Roman" w:hAnsi="Times New Roman" w:cs="Times New Roman"/>
          <w:b w:val="0"/>
          <w:bCs/>
          <w:spacing w:val="-5"/>
          <w:sz w:val="28"/>
          <w:szCs w:val="28"/>
          <w:lang w:val="en-US" w:eastAsia="zh-CN"/>
        </w:rPr>
        <w:t xml:space="preserve">基准线排放 </w:t>
      </w:r>
    </w:p>
    <w:p w14:paraId="47A05A9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在基准情景下产生的二氧化碳排放。</w:t>
      </w:r>
    </w:p>
    <w:p w14:paraId="62A7416F">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ascii="Times New Roman" w:hAnsi="Times New Roman" w:eastAsia="黑体" w:cs="Times New Roman"/>
          <w:b w:val="0"/>
          <w:bCs/>
          <w:spacing w:val="-5"/>
          <w:sz w:val="28"/>
          <w:szCs w:val="28"/>
          <w:lang w:val="en-US" w:eastAsia="zh-CN"/>
        </w:rPr>
      </w:pPr>
      <w:r>
        <w:rPr>
          <w:rFonts w:hint="default" w:ascii="Times New Roman" w:hAnsi="Times New Roman" w:cs="Times New Roman"/>
          <w:b w:val="0"/>
          <w:bCs/>
          <w:spacing w:val="-5"/>
          <w:sz w:val="28"/>
          <w:szCs w:val="28"/>
          <w:lang w:val="en-US" w:eastAsia="zh-CN"/>
        </w:rPr>
        <w:t>4</w:t>
      </w:r>
      <w:r>
        <w:rPr>
          <w:rFonts w:hint="default" w:ascii="Times New Roman" w:hAnsi="Times New Roman" w:cs="Times New Roman"/>
          <w:b w:val="0"/>
          <w:bCs/>
          <w:spacing w:val="-5"/>
          <w:sz w:val="28"/>
          <w:szCs w:val="28"/>
          <w:lang w:eastAsia="en-US"/>
        </w:rPr>
        <w:t>.</w:t>
      </w:r>
      <w:r>
        <w:rPr>
          <w:rFonts w:hint="eastAsia" w:ascii="Times New Roman" w:hAnsi="Times New Roman" w:cs="Times New Roman"/>
          <w:b w:val="0"/>
          <w:bCs/>
          <w:spacing w:val="-5"/>
          <w:sz w:val="28"/>
          <w:szCs w:val="28"/>
          <w:lang w:val="en-US" w:eastAsia="zh-CN"/>
        </w:rPr>
        <w:t>4</w:t>
      </w:r>
      <w:r>
        <w:rPr>
          <w:rFonts w:hint="default" w:ascii="Times New Roman" w:hAnsi="Times New Roman" w:cs="Times New Roman"/>
          <w:b w:val="0"/>
          <w:bCs/>
          <w:spacing w:val="-5"/>
          <w:sz w:val="28"/>
          <w:szCs w:val="28"/>
          <w:lang w:eastAsia="en-US"/>
        </w:rPr>
        <w:tab/>
      </w:r>
      <w:r>
        <w:rPr>
          <w:rFonts w:hint="default" w:ascii="Times New Roman" w:hAnsi="Times New Roman" w:cs="Times New Roman"/>
          <w:b w:val="0"/>
          <w:bCs/>
          <w:spacing w:val="-5"/>
          <w:sz w:val="28"/>
          <w:szCs w:val="28"/>
          <w:lang w:val="en-US" w:eastAsia="zh-CN"/>
        </w:rPr>
        <w:t xml:space="preserve"> 项目减排量</w:t>
      </w:r>
    </w:p>
    <w:p w14:paraId="65AE1D00">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经计算得到的一定时期内项目所产生的温室气体排放量与基准线情景的排放量相比较的减少量。</w:t>
      </w:r>
    </w:p>
    <w:p w14:paraId="70B750E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[来源：GB/T 33760-2017，3.5]</w:t>
      </w:r>
    </w:p>
    <w:bookmarkEnd w:id="12"/>
    <w:bookmarkEnd w:id="13"/>
    <w:bookmarkEnd w:id="14"/>
    <w:bookmarkEnd w:id="15"/>
    <w:p w14:paraId="3E522A90">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16" w:name="_Toc31626"/>
      <w:bookmarkStart w:id="17" w:name="_Toc1037"/>
      <w:r>
        <w:rPr>
          <w:rFonts w:hint="eastAsia" w:ascii="黑体" w:hAnsi="黑体" w:eastAsia="黑体" w:cs="黑体"/>
          <w:b w:val="0"/>
          <w:bCs w:val="0"/>
          <w:spacing w:val="-2"/>
          <w:w w:val="95"/>
          <w:kern w:val="0"/>
          <w:sz w:val="28"/>
          <w:szCs w:val="28"/>
          <w:lang w:val="en-US" w:eastAsia="zh-CN"/>
        </w:rPr>
        <w:t>基本要求</w:t>
      </w:r>
      <w:bookmarkEnd w:id="16"/>
      <w:bookmarkEnd w:id="17"/>
    </w:p>
    <w:p w14:paraId="20AA9134">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eastAsia="黑体" w:cs="宋体"/>
          <w:b w:val="0"/>
          <w:bCs/>
          <w:spacing w:val="-5"/>
          <w:sz w:val="28"/>
          <w:szCs w:val="28"/>
          <w:lang w:val="en-US" w:eastAsia="zh-CN"/>
        </w:rPr>
      </w:pPr>
      <w:r>
        <w:rPr>
          <w:rFonts w:hint="eastAsia" w:cs="宋体"/>
          <w:b w:val="0"/>
          <w:bCs/>
          <w:spacing w:val="-5"/>
          <w:sz w:val="28"/>
          <w:szCs w:val="28"/>
          <w:lang w:eastAsia="en-US"/>
        </w:rPr>
        <w:t>5.1 合规性</w:t>
      </w:r>
      <w:r>
        <w:rPr>
          <w:rFonts w:hint="eastAsia" w:cs="宋体"/>
          <w:b w:val="0"/>
          <w:bCs/>
          <w:spacing w:val="-5"/>
          <w:sz w:val="28"/>
          <w:szCs w:val="28"/>
          <w:lang w:val="en-US" w:eastAsia="zh-CN"/>
        </w:rPr>
        <w:t>说明</w:t>
      </w:r>
    </w:p>
    <w:p w14:paraId="089BF2D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分布式光伏项目备案、并网验收、计量设备安装校验均需符合国家能源、电力及生态环境相关法规要求。项目运行数据、主体备案信息采集存储全过程遵循数据安全与个人信息保护法律法规，杜绝违规采集、泄露信息行为。所有申报、监测、核查流程严格执行南京市碳普惠配套管理规定，杜绝不合规项目参与减排核算。</w:t>
      </w:r>
    </w:p>
    <w:p w14:paraId="6A619A49">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eastAsia="黑体" w:cs="宋体"/>
          <w:b w:val="0"/>
          <w:bCs/>
          <w:spacing w:val="-5"/>
          <w:sz w:val="28"/>
          <w:szCs w:val="28"/>
          <w:lang w:val="en-US" w:eastAsia="zh-CN"/>
        </w:rPr>
      </w:pPr>
      <w:r>
        <w:rPr>
          <w:rFonts w:hint="eastAsia" w:cs="宋体"/>
          <w:b w:val="0"/>
          <w:bCs/>
          <w:spacing w:val="-5"/>
          <w:sz w:val="28"/>
          <w:szCs w:val="28"/>
          <w:lang w:eastAsia="en-US"/>
        </w:rPr>
        <w:t>5.2 唯一性</w:t>
      </w:r>
      <w:r>
        <w:rPr>
          <w:rFonts w:hint="eastAsia" w:cs="宋体"/>
          <w:b w:val="0"/>
          <w:bCs/>
          <w:spacing w:val="-5"/>
          <w:sz w:val="28"/>
          <w:szCs w:val="28"/>
          <w:lang w:val="en-US" w:eastAsia="zh-CN"/>
        </w:rPr>
        <w:t>说明</w:t>
      </w:r>
    </w:p>
    <w:p w14:paraId="1242BDF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本方法学核算生成的分布式光伏发电碳普惠减排量具备独立环境权益属性，同一项目对应上网电量仅可参与一类低碳权益登记申领，不得同时用于其他温室气体自愿减排项目、绿色电力证书、异地碳普惠凭证等权益申报，申报主体需签署权益承诺文件，平台同步开展数据交叉校验，从制度层面规避同一电量重复核算、重复确权问题。</w:t>
      </w:r>
    </w:p>
    <w:p w14:paraId="769D6940">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eastAsia="黑体" w:cs="宋体"/>
          <w:b w:val="0"/>
          <w:bCs/>
          <w:spacing w:val="-5"/>
          <w:sz w:val="28"/>
          <w:szCs w:val="28"/>
          <w:lang w:val="en-US" w:eastAsia="zh-CN"/>
        </w:rPr>
      </w:pPr>
      <w:r>
        <w:rPr>
          <w:rFonts w:hint="eastAsia" w:cs="宋体"/>
          <w:b w:val="0"/>
          <w:bCs/>
          <w:spacing w:val="-5"/>
          <w:sz w:val="28"/>
          <w:szCs w:val="28"/>
          <w:lang w:eastAsia="en-US"/>
        </w:rPr>
        <w:t>5.3 普惠性</w:t>
      </w:r>
      <w:r>
        <w:rPr>
          <w:rFonts w:hint="eastAsia" w:cs="宋体"/>
          <w:b w:val="0"/>
          <w:bCs/>
          <w:spacing w:val="-5"/>
          <w:sz w:val="28"/>
          <w:szCs w:val="28"/>
          <w:lang w:val="en-US" w:eastAsia="zh-CN"/>
        </w:rPr>
        <w:t>说明</w:t>
      </w:r>
    </w:p>
    <w:p w14:paraId="19FE324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本方法学覆盖机关、企事业单位、社会团体、居民家庭等多元主体，适配各类分布式光伏建设场景，申报门槛低、数据采集流程简便。项目产生的全部碳普惠减排收益归属于项目产权主体，能够切实降低各类主体发展清洁能源的综合成本，充分调动社会各界建设分布式光伏、践行低碳用能的主动意愿。</w:t>
      </w:r>
    </w:p>
    <w:p w14:paraId="475D7F48">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eastAsia="黑体" w:cs="宋体"/>
          <w:b w:val="0"/>
          <w:bCs/>
          <w:spacing w:val="-5"/>
          <w:sz w:val="28"/>
          <w:szCs w:val="28"/>
          <w:lang w:val="en-US" w:eastAsia="zh-CN"/>
        </w:rPr>
      </w:pPr>
      <w:r>
        <w:rPr>
          <w:rFonts w:hint="eastAsia" w:cs="宋体"/>
          <w:b w:val="0"/>
          <w:bCs/>
          <w:spacing w:val="-5"/>
          <w:sz w:val="28"/>
          <w:szCs w:val="28"/>
          <w:lang w:eastAsia="en-US"/>
        </w:rPr>
        <w:t>5.4 保守性</w:t>
      </w:r>
      <w:r>
        <w:rPr>
          <w:rFonts w:hint="eastAsia" w:cs="宋体"/>
          <w:b w:val="0"/>
          <w:bCs/>
          <w:spacing w:val="-5"/>
          <w:sz w:val="28"/>
          <w:szCs w:val="28"/>
          <w:lang w:val="en-US" w:eastAsia="zh-CN"/>
        </w:rPr>
        <w:t>说明</w:t>
      </w:r>
    </w:p>
    <w:p w14:paraId="6AC81D6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减排量全流程核算严格遵循温室气体核算保守性原则，参数选取、边界划定均采用不高估减排效果的取值方式。不额外叠加生命周期排放，保障核算结果严谨、稳妥，符合碳普惠量化通用准则。</w:t>
      </w:r>
    </w:p>
    <w:p w14:paraId="26C6FF6F">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18" w:name="_Toc18"/>
      <w:bookmarkStart w:id="19" w:name="_Toc7895"/>
      <w:r>
        <w:rPr>
          <w:rFonts w:hint="eastAsia" w:ascii="黑体" w:hAnsi="黑体" w:eastAsia="黑体" w:cs="黑体"/>
          <w:b w:val="0"/>
          <w:bCs w:val="0"/>
          <w:spacing w:val="-2"/>
          <w:w w:val="95"/>
          <w:kern w:val="0"/>
          <w:sz w:val="28"/>
          <w:szCs w:val="28"/>
          <w:lang w:val="en-US" w:eastAsia="zh-CN"/>
        </w:rPr>
        <w:t>核算边界及排放源</w:t>
      </w:r>
      <w:bookmarkEnd w:id="18"/>
      <w:bookmarkEnd w:id="19"/>
    </w:p>
    <w:p w14:paraId="1C8B319F">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eastAsia" w:cs="宋体"/>
          <w:b w:val="0"/>
          <w:bCs/>
          <w:spacing w:val="-5"/>
          <w:sz w:val="28"/>
          <w:szCs w:val="28"/>
          <w:lang w:val="en-US" w:eastAsia="zh-CN"/>
        </w:rPr>
        <w:t>6.1 项目边界</w:t>
      </w:r>
    </w:p>
    <w:p w14:paraId="3B420A1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核算边界的空间范围为项目发生的地理边界，具体为南京市行政区域范围内安装并运行的分布式光伏发电项目，涵盖分布式光伏发电设施以及接入南京市行政区域范围内电网的配套发电计量设施。</w:t>
      </w:r>
    </w:p>
    <w:p w14:paraId="595DC939">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eastAsia" w:cs="宋体"/>
          <w:b w:val="0"/>
          <w:bCs/>
          <w:spacing w:val="-5"/>
          <w:sz w:val="28"/>
          <w:szCs w:val="28"/>
          <w:lang w:val="en-US" w:eastAsia="zh-CN"/>
        </w:rPr>
        <w:t>6.2 项目计入期</w:t>
      </w:r>
    </w:p>
    <w:p w14:paraId="2D7E0F9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项目计入期为可申请项目减排量登记的时间范围，从项目业主申请登记的项目减排量产生时间开始，最</w:t>
      </w:r>
      <w:r>
        <w:rPr>
          <w:rFonts w:hint="default" w:ascii="Times New Roman" w:hAnsi="Times New Roman" w:eastAsia="宋体" w:cs="Times New Roman"/>
          <w:kern w:val="0"/>
          <w:sz w:val="28"/>
          <w:szCs w:val="28"/>
          <w:lang w:val="en-US" w:eastAsia="zh-CN"/>
        </w:rPr>
        <w:t>长不超过10年，</w:t>
      </w:r>
      <w:r>
        <w:rPr>
          <w:rFonts w:hint="eastAsia" w:ascii="Times New Roman" w:hAnsi="Times New Roman" w:eastAsia="宋体" w:cs="Times New Roman"/>
          <w:kern w:val="0"/>
          <w:sz w:val="28"/>
          <w:szCs w:val="28"/>
          <w:lang w:val="en-US" w:eastAsia="zh-CN"/>
        </w:rPr>
        <w:t>计入期须在项目寿命期限范围之内。</w:t>
      </w:r>
    </w:p>
    <w:p w14:paraId="63DD654F">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bookmarkStart w:id="33" w:name="_GoBack"/>
      <w:r>
        <w:rPr>
          <w:rFonts w:hint="eastAsia" w:ascii="Times New Roman" w:hAnsi="Times New Roman" w:eastAsia="宋体" w:cs="Times New Roman"/>
          <w:kern w:val="0"/>
          <w:sz w:val="28"/>
          <w:szCs w:val="28"/>
          <w:lang w:val="en-US" w:eastAsia="zh-CN"/>
        </w:rPr>
        <w:t>分布式光伏发电项目减排量自项目并网备案完成之日起计算，最早可追溯至2023年1月1日，项目核算周期以自然年为计算单位。</w:t>
      </w:r>
    </w:p>
    <w:bookmarkEnd w:id="33"/>
    <w:p w14:paraId="59C5DA2A">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eastAsia" w:cs="宋体"/>
          <w:b w:val="0"/>
          <w:bCs/>
          <w:spacing w:val="-5"/>
          <w:sz w:val="28"/>
          <w:szCs w:val="28"/>
          <w:lang w:val="en-US" w:eastAsia="zh-CN"/>
        </w:rPr>
        <w:t>6.3 温室气体排放源</w:t>
      </w:r>
    </w:p>
    <w:p w14:paraId="71368633">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项目减排量核算涉及的温室气体排放来源及种类见表1。</w:t>
      </w:r>
    </w:p>
    <w:p w14:paraId="2FAA9E72">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jc w:val="center"/>
        <w:textAlignment w:val="auto"/>
        <w:rPr>
          <w:rFonts w:hint="eastAsia" w:ascii="黑体" w:hAnsi="黑体" w:eastAsia="黑体" w:cs="黑体"/>
          <w:kern w:val="0"/>
          <w:sz w:val="24"/>
          <w:szCs w:val="24"/>
        </w:rPr>
      </w:pPr>
      <w:r>
        <w:rPr>
          <w:rFonts w:hint="eastAsia" w:ascii="黑体" w:hAnsi="黑体" w:eastAsia="黑体" w:cs="黑体"/>
          <w:kern w:val="0"/>
          <w:sz w:val="24"/>
          <w:szCs w:val="24"/>
        </w:rPr>
        <w:t>表1 温室气体主要种类</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2316"/>
        <w:gridCol w:w="1343"/>
        <w:gridCol w:w="1338"/>
        <w:gridCol w:w="2404"/>
      </w:tblGrid>
      <w:tr w14:paraId="13F3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539" w:type="pct"/>
            <w:vAlign w:val="center"/>
          </w:tcPr>
          <w:p w14:paraId="3F8D3F4D">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类型</w:t>
            </w:r>
          </w:p>
        </w:tc>
        <w:tc>
          <w:tcPr>
            <w:tcW w:w="1395" w:type="pct"/>
            <w:vAlign w:val="center"/>
          </w:tcPr>
          <w:p w14:paraId="28C2362E">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排放源</w:t>
            </w:r>
          </w:p>
        </w:tc>
        <w:tc>
          <w:tcPr>
            <w:tcW w:w="809" w:type="pct"/>
            <w:vAlign w:val="center"/>
          </w:tcPr>
          <w:p w14:paraId="3DA547F2">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温室气体</w:t>
            </w:r>
          </w:p>
        </w:tc>
        <w:tc>
          <w:tcPr>
            <w:tcW w:w="806" w:type="pct"/>
            <w:vAlign w:val="center"/>
          </w:tcPr>
          <w:p w14:paraId="08C5E276">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是否包括</w:t>
            </w:r>
          </w:p>
        </w:tc>
        <w:tc>
          <w:tcPr>
            <w:tcW w:w="1448" w:type="pct"/>
            <w:vAlign w:val="center"/>
          </w:tcPr>
          <w:p w14:paraId="2A8D90A6">
            <w:pPr>
              <w:pStyle w:val="23"/>
              <w:widowControl w:val="0"/>
              <w:ind w:firstLine="0" w:firstLineChars="0"/>
              <w:jc w:val="center"/>
              <w:rPr>
                <w:rFonts w:ascii="Times New Roman"/>
                <w:b/>
                <w:bCs/>
                <w:color w:val="000000"/>
                <w:sz w:val="24"/>
                <w:szCs w:val="24"/>
              </w:rPr>
            </w:pPr>
            <w:r>
              <w:rPr>
                <w:rFonts w:ascii="Times New Roman"/>
                <w:b/>
                <w:bCs/>
                <w:color w:val="000000"/>
                <w:sz w:val="24"/>
                <w:szCs w:val="24"/>
              </w:rPr>
              <w:t>说明理由/解释</w:t>
            </w:r>
          </w:p>
        </w:tc>
      </w:tr>
      <w:tr w14:paraId="3DCE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39" w:type="pct"/>
            <w:vMerge w:val="restart"/>
            <w:vAlign w:val="center"/>
          </w:tcPr>
          <w:p w14:paraId="6DEA3E56">
            <w:pPr>
              <w:pStyle w:val="23"/>
              <w:widowControl w:val="0"/>
              <w:ind w:firstLine="0" w:firstLineChars="0"/>
              <w:jc w:val="center"/>
              <w:rPr>
                <w:rFonts w:hint="default" w:ascii="Times New Roman"/>
                <w:color w:val="000000"/>
                <w:sz w:val="24"/>
                <w:szCs w:val="24"/>
                <w:lang w:val="en-US"/>
              </w:rPr>
            </w:pPr>
            <w:r>
              <w:rPr>
                <w:rFonts w:hint="eastAsia" w:ascii="Times New Roman"/>
                <w:color w:val="000000"/>
                <w:sz w:val="24"/>
                <w:szCs w:val="24"/>
                <w:lang w:val="en-US" w:eastAsia="zh-CN"/>
              </w:rPr>
              <w:t>基准线情景</w:t>
            </w:r>
          </w:p>
        </w:tc>
        <w:tc>
          <w:tcPr>
            <w:tcW w:w="1395" w:type="pct"/>
            <w:vMerge w:val="restart"/>
            <w:vAlign w:val="center"/>
          </w:tcPr>
          <w:p w14:paraId="4E665045">
            <w:pPr>
              <w:pStyle w:val="23"/>
              <w:widowControl w:val="0"/>
              <w:ind w:firstLine="0" w:firstLineChars="0"/>
              <w:jc w:val="center"/>
              <w:rPr>
                <w:rFonts w:ascii="Times New Roman"/>
                <w:color w:val="000000"/>
                <w:sz w:val="24"/>
                <w:szCs w:val="24"/>
              </w:rPr>
            </w:pPr>
            <w:r>
              <w:rPr>
                <w:rFonts w:hint="eastAsia" w:ascii="Times New Roman"/>
                <w:color w:val="000000"/>
                <w:sz w:val="24"/>
                <w:szCs w:val="24"/>
                <w:lang w:val="en-US" w:eastAsia="zh-CN"/>
              </w:rPr>
              <w:t>南京</w:t>
            </w:r>
            <w:r>
              <w:rPr>
                <w:rFonts w:hint="eastAsia" w:ascii="Times New Roman"/>
                <w:color w:val="000000"/>
                <w:sz w:val="24"/>
                <w:szCs w:val="24"/>
              </w:rPr>
              <w:t>区域电网常规机组生产对应</w:t>
            </w:r>
            <w:r>
              <w:rPr>
                <w:rFonts w:hint="eastAsia" w:ascii="Times New Roman"/>
                <w:color w:val="000000"/>
                <w:sz w:val="24"/>
                <w:szCs w:val="24"/>
                <w:lang w:eastAsia="zh-CN"/>
              </w:rPr>
              <w:t>上网电量</w:t>
            </w:r>
            <w:r>
              <w:rPr>
                <w:rFonts w:hint="eastAsia" w:ascii="Times New Roman"/>
                <w:color w:val="000000"/>
                <w:sz w:val="24"/>
                <w:szCs w:val="24"/>
              </w:rPr>
              <w:t>产生排放</w:t>
            </w:r>
          </w:p>
        </w:tc>
        <w:tc>
          <w:tcPr>
            <w:tcW w:w="809" w:type="pct"/>
            <w:vAlign w:val="center"/>
          </w:tcPr>
          <w:p w14:paraId="4622379D">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CO</w:t>
            </w:r>
            <w:r>
              <w:rPr>
                <w:rFonts w:ascii="Times New Roman"/>
                <w:color w:val="000000"/>
                <w:sz w:val="24"/>
                <w:szCs w:val="24"/>
                <w:highlight w:val="none"/>
                <w:vertAlign w:val="subscript"/>
              </w:rPr>
              <w:t>2</w:t>
            </w:r>
          </w:p>
        </w:tc>
        <w:tc>
          <w:tcPr>
            <w:tcW w:w="806" w:type="pct"/>
            <w:vAlign w:val="center"/>
          </w:tcPr>
          <w:p w14:paraId="29BC65FE">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是</w:t>
            </w:r>
          </w:p>
        </w:tc>
        <w:tc>
          <w:tcPr>
            <w:tcW w:w="1448" w:type="pct"/>
            <w:vAlign w:val="center"/>
          </w:tcPr>
          <w:p w14:paraId="3BA18097">
            <w:pPr>
              <w:pStyle w:val="23"/>
              <w:widowControl w:val="0"/>
              <w:ind w:firstLine="0" w:firstLineChars="0"/>
              <w:jc w:val="center"/>
              <w:rPr>
                <w:rFonts w:ascii="Times New Roman"/>
                <w:color w:val="000000"/>
                <w:sz w:val="24"/>
                <w:szCs w:val="24"/>
              </w:rPr>
            </w:pPr>
            <w:r>
              <w:rPr>
                <w:rFonts w:ascii="Times New Roman"/>
                <w:color w:val="000000"/>
                <w:sz w:val="24"/>
                <w:szCs w:val="24"/>
              </w:rPr>
              <w:t>主要排放源</w:t>
            </w:r>
          </w:p>
        </w:tc>
      </w:tr>
      <w:tr w14:paraId="04E2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39" w:type="pct"/>
            <w:vMerge w:val="continue"/>
            <w:vAlign w:val="center"/>
          </w:tcPr>
          <w:p w14:paraId="45805259">
            <w:pPr>
              <w:pStyle w:val="23"/>
              <w:widowControl w:val="0"/>
              <w:ind w:firstLine="360"/>
              <w:jc w:val="center"/>
              <w:rPr>
                <w:rFonts w:ascii="Times New Roman"/>
                <w:color w:val="000000"/>
                <w:sz w:val="24"/>
                <w:szCs w:val="24"/>
              </w:rPr>
            </w:pPr>
          </w:p>
        </w:tc>
        <w:tc>
          <w:tcPr>
            <w:tcW w:w="1395" w:type="pct"/>
            <w:vMerge w:val="continue"/>
            <w:vAlign w:val="center"/>
          </w:tcPr>
          <w:p w14:paraId="66E40363">
            <w:pPr>
              <w:pStyle w:val="23"/>
              <w:widowControl w:val="0"/>
              <w:ind w:firstLine="0" w:firstLineChars="0"/>
              <w:jc w:val="center"/>
              <w:rPr>
                <w:rFonts w:ascii="Times New Roman"/>
                <w:color w:val="000000"/>
                <w:sz w:val="24"/>
                <w:szCs w:val="24"/>
              </w:rPr>
            </w:pPr>
          </w:p>
        </w:tc>
        <w:tc>
          <w:tcPr>
            <w:tcW w:w="809" w:type="pct"/>
            <w:vAlign w:val="center"/>
          </w:tcPr>
          <w:p w14:paraId="5462CBC0">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CH</w:t>
            </w:r>
            <w:r>
              <w:rPr>
                <w:rFonts w:ascii="Times New Roman"/>
                <w:color w:val="000000"/>
                <w:sz w:val="24"/>
                <w:szCs w:val="24"/>
                <w:highlight w:val="none"/>
                <w:vertAlign w:val="subscript"/>
              </w:rPr>
              <w:t>4</w:t>
            </w:r>
          </w:p>
        </w:tc>
        <w:tc>
          <w:tcPr>
            <w:tcW w:w="806" w:type="pct"/>
            <w:vAlign w:val="center"/>
          </w:tcPr>
          <w:p w14:paraId="6D2F55F8">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否</w:t>
            </w:r>
          </w:p>
        </w:tc>
        <w:tc>
          <w:tcPr>
            <w:tcW w:w="2469" w:type="dxa"/>
            <w:vAlign w:val="center"/>
          </w:tcPr>
          <w:p w14:paraId="4C020766">
            <w:pPr>
              <w:pStyle w:val="23"/>
              <w:widowControl w:val="0"/>
              <w:ind w:firstLine="0" w:firstLineChars="0"/>
              <w:jc w:val="center"/>
              <w:rPr>
                <w:rFonts w:ascii="Times New Roman"/>
                <w:color w:val="000000"/>
                <w:sz w:val="24"/>
                <w:szCs w:val="24"/>
              </w:rPr>
            </w:pPr>
            <w:r>
              <w:rPr>
                <w:rFonts w:ascii="Times New Roman"/>
                <w:color w:val="000000"/>
                <w:sz w:val="24"/>
                <w:szCs w:val="24"/>
              </w:rPr>
              <w:t>简化起见，排除，符合保守性原则</w:t>
            </w:r>
          </w:p>
        </w:tc>
      </w:tr>
      <w:tr w14:paraId="457D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39" w:type="pct"/>
            <w:vMerge w:val="continue"/>
            <w:vAlign w:val="center"/>
          </w:tcPr>
          <w:p w14:paraId="092FE51B">
            <w:pPr>
              <w:pStyle w:val="23"/>
              <w:widowControl w:val="0"/>
              <w:ind w:firstLine="360"/>
              <w:jc w:val="center"/>
              <w:rPr>
                <w:rFonts w:ascii="Times New Roman"/>
                <w:color w:val="000000"/>
                <w:sz w:val="24"/>
                <w:szCs w:val="24"/>
              </w:rPr>
            </w:pPr>
          </w:p>
        </w:tc>
        <w:tc>
          <w:tcPr>
            <w:tcW w:w="1395" w:type="pct"/>
            <w:vMerge w:val="continue"/>
            <w:vAlign w:val="center"/>
          </w:tcPr>
          <w:p w14:paraId="0D74F36F">
            <w:pPr>
              <w:pStyle w:val="23"/>
              <w:widowControl w:val="0"/>
              <w:ind w:firstLine="0" w:firstLineChars="0"/>
              <w:jc w:val="center"/>
              <w:rPr>
                <w:rFonts w:ascii="Times New Roman"/>
                <w:color w:val="000000"/>
                <w:sz w:val="24"/>
                <w:szCs w:val="24"/>
              </w:rPr>
            </w:pPr>
          </w:p>
        </w:tc>
        <w:tc>
          <w:tcPr>
            <w:tcW w:w="809" w:type="pct"/>
            <w:vAlign w:val="center"/>
          </w:tcPr>
          <w:p w14:paraId="5AABACC2">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N</w:t>
            </w:r>
            <w:r>
              <w:rPr>
                <w:rFonts w:ascii="Times New Roman"/>
                <w:color w:val="000000"/>
                <w:sz w:val="24"/>
                <w:szCs w:val="24"/>
                <w:highlight w:val="none"/>
                <w:vertAlign w:val="subscript"/>
              </w:rPr>
              <w:t>2</w:t>
            </w:r>
            <w:r>
              <w:rPr>
                <w:rFonts w:ascii="Times New Roman"/>
                <w:color w:val="000000"/>
                <w:sz w:val="24"/>
                <w:szCs w:val="24"/>
                <w:highlight w:val="none"/>
              </w:rPr>
              <w:t>O</w:t>
            </w:r>
          </w:p>
        </w:tc>
        <w:tc>
          <w:tcPr>
            <w:tcW w:w="806" w:type="pct"/>
            <w:vAlign w:val="center"/>
          </w:tcPr>
          <w:p w14:paraId="070F7A9A">
            <w:pPr>
              <w:pStyle w:val="23"/>
              <w:widowControl w:val="0"/>
              <w:ind w:firstLine="0" w:firstLineChars="0"/>
              <w:jc w:val="center"/>
              <w:rPr>
                <w:rFonts w:ascii="Times New Roman"/>
                <w:color w:val="000000"/>
                <w:sz w:val="24"/>
                <w:szCs w:val="24"/>
                <w:highlight w:val="none"/>
              </w:rPr>
            </w:pPr>
            <w:r>
              <w:rPr>
                <w:rFonts w:ascii="Times New Roman"/>
                <w:color w:val="000000"/>
                <w:sz w:val="24"/>
                <w:szCs w:val="24"/>
                <w:highlight w:val="none"/>
              </w:rPr>
              <w:t>否</w:t>
            </w:r>
          </w:p>
        </w:tc>
        <w:tc>
          <w:tcPr>
            <w:tcW w:w="2469" w:type="dxa"/>
            <w:vAlign w:val="center"/>
          </w:tcPr>
          <w:p w14:paraId="77DF1D8A">
            <w:pPr>
              <w:pStyle w:val="23"/>
              <w:widowControl w:val="0"/>
              <w:ind w:firstLine="0" w:firstLineChars="0"/>
              <w:jc w:val="center"/>
              <w:rPr>
                <w:rFonts w:ascii="Times New Roman"/>
                <w:color w:val="000000"/>
                <w:sz w:val="24"/>
                <w:szCs w:val="24"/>
              </w:rPr>
            </w:pPr>
            <w:r>
              <w:rPr>
                <w:rFonts w:ascii="Times New Roman"/>
                <w:color w:val="000000"/>
                <w:sz w:val="24"/>
                <w:szCs w:val="24"/>
              </w:rPr>
              <w:t>简化起见，排除，符合保守性原则</w:t>
            </w:r>
          </w:p>
        </w:tc>
      </w:tr>
      <w:tr w14:paraId="72DA0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9" w:type="pct"/>
            <w:vMerge w:val="restart"/>
            <w:vAlign w:val="center"/>
          </w:tcPr>
          <w:p w14:paraId="6E78FEBB">
            <w:pPr>
              <w:pStyle w:val="23"/>
              <w:widowControl w:val="0"/>
              <w:ind w:firstLine="0" w:firstLineChars="0"/>
              <w:jc w:val="center"/>
              <w:rPr>
                <w:rFonts w:hint="default" w:ascii="Times New Roman"/>
                <w:color w:val="000000"/>
                <w:sz w:val="24"/>
                <w:szCs w:val="24"/>
                <w:lang w:val="en-US" w:eastAsia="zh-CN"/>
              </w:rPr>
            </w:pPr>
            <w:r>
              <w:rPr>
                <w:rFonts w:hint="eastAsia" w:ascii="Times New Roman"/>
                <w:color w:val="000000"/>
                <w:sz w:val="24"/>
                <w:szCs w:val="24"/>
                <w:lang w:val="en-US" w:eastAsia="zh-CN"/>
              </w:rPr>
              <w:t>项目情景</w:t>
            </w:r>
          </w:p>
        </w:tc>
        <w:tc>
          <w:tcPr>
            <w:tcW w:w="1395" w:type="pct"/>
            <w:vMerge w:val="restart"/>
            <w:vAlign w:val="center"/>
          </w:tcPr>
          <w:p w14:paraId="32D135BC">
            <w:pPr>
              <w:pStyle w:val="23"/>
              <w:widowControl w:val="0"/>
              <w:ind w:firstLine="0" w:firstLineChars="0"/>
              <w:jc w:val="center"/>
              <w:rPr>
                <w:rFonts w:hint="eastAsia" w:ascii="Times New Roman"/>
                <w:color w:val="000000"/>
                <w:sz w:val="24"/>
                <w:szCs w:val="24"/>
                <w:lang w:val="en-US" w:eastAsia="zh-CN"/>
              </w:rPr>
            </w:pPr>
            <w:r>
              <w:rPr>
                <w:rFonts w:hint="eastAsia" w:ascii="Times New Roman"/>
                <w:color w:val="000000"/>
                <w:sz w:val="24"/>
                <w:szCs w:val="24"/>
                <w:lang w:val="en-US" w:eastAsia="zh-CN"/>
              </w:rPr>
              <w:t>运行光伏发电系统</w:t>
            </w:r>
          </w:p>
        </w:tc>
        <w:tc>
          <w:tcPr>
            <w:tcW w:w="809" w:type="pct"/>
            <w:vAlign w:val="center"/>
          </w:tcPr>
          <w:p w14:paraId="1F07330F">
            <w:pPr>
              <w:pStyle w:val="23"/>
              <w:widowControl w:val="0"/>
              <w:ind w:firstLine="0" w:firstLineChars="0"/>
              <w:jc w:val="center"/>
              <w:rPr>
                <w:rFonts w:ascii="Times New Roman"/>
                <w:color w:val="000000"/>
                <w:sz w:val="24"/>
                <w:szCs w:val="24"/>
              </w:rPr>
            </w:pPr>
            <w:r>
              <w:rPr>
                <w:rFonts w:ascii="Times New Roman"/>
                <w:color w:val="000000"/>
                <w:sz w:val="24"/>
                <w:szCs w:val="24"/>
              </w:rPr>
              <w:t>CO</w:t>
            </w:r>
            <w:r>
              <w:rPr>
                <w:rFonts w:ascii="Times New Roman"/>
                <w:color w:val="000000"/>
                <w:sz w:val="24"/>
                <w:szCs w:val="24"/>
                <w:vertAlign w:val="subscript"/>
              </w:rPr>
              <w:t>2</w:t>
            </w:r>
          </w:p>
        </w:tc>
        <w:tc>
          <w:tcPr>
            <w:tcW w:w="806" w:type="pct"/>
            <w:vAlign w:val="center"/>
          </w:tcPr>
          <w:p w14:paraId="723E7E0B">
            <w:pPr>
              <w:pStyle w:val="23"/>
              <w:widowControl w:val="0"/>
              <w:ind w:firstLine="0" w:firstLineChars="0"/>
              <w:jc w:val="center"/>
              <w:rPr>
                <w:rFonts w:hint="eastAsia" w:ascii="Times New Roman" w:eastAsia="宋体"/>
                <w:color w:val="000000"/>
                <w:sz w:val="24"/>
                <w:szCs w:val="24"/>
                <w:lang w:eastAsia="zh-CN"/>
              </w:rPr>
            </w:pPr>
            <w:r>
              <w:rPr>
                <w:rFonts w:hint="eastAsia" w:ascii="Times New Roman"/>
                <w:color w:val="000000"/>
                <w:sz w:val="24"/>
                <w:szCs w:val="24"/>
                <w:lang w:val="en-US" w:eastAsia="zh-CN"/>
              </w:rPr>
              <w:t>是</w:t>
            </w:r>
          </w:p>
        </w:tc>
        <w:tc>
          <w:tcPr>
            <w:tcW w:w="1448" w:type="pct"/>
            <w:vAlign w:val="center"/>
          </w:tcPr>
          <w:p w14:paraId="627663A8">
            <w:pPr>
              <w:pStyle w:val="23"/>
              <w:widowControl w:val="0"/>
              <w:ind w:firstLine="0" w:firstLineChars="0"/>
              <w:jc w:val="center"/>
              <w:rPr>
                <w:rFonts w:ascii="Times New Roman"/>
                <w:color w:val="000000"/>
                <w:sz w:val="24"/>
                <w:szCs w:val="24"/>
              </w:rPr>
            </w:pPr>
            <w:r>
              <w:rPr>
                <w:rFonts w:hint="eastAsia" w:ascii="Times New Roman"/>
                <w:color w:val="000000"/>
                <w:sz w:val="24"/>
                <w:szCs w:val="24"/>
              </w:rPr>
              <w:t>排放量极小，为降低项目实施和管理成本，计为0。</w:t>
            </w:r>
          </w:p>
        </w:tc>
      </w:tr>
      <w:tr w14:paraId="4BA4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39" w:type="pct"/>
            <w:vMerge w:val="continue"/>
            <w:vAlign w:val="center"/>
          </w:tcPr>
          <w:p w14:paraId="3065E041">
            <w:pPr>
              <w:pStyle w:val="23"/>
              <w:widowControl w:val="0"/>
              <w:ind w:firstLine="0" w:firstLineChars="0"/>
              <w:jc w:val="center"/>
              <w:rPr>
                <w:rFonts w:ascii="Times New Roman"/>
                <w:color w:val="000000"/>
                <w:sz w:val="24"/>
                <w:szCs w:val="24"/>
              </w:rPr>
            </w:pPr>
          </w:p>
        </w:tc>
        <w:tc>
          <w:tcPr>
            <w:tcW w:w="1395" w:type="pct"/>
            <w:vMerge w:val="continue"/>
            <w:vAlign w:val="center"/>
          </w:tcPr>
          <w:p w14:paraId="4F58E35F">
            <w:pPr>
              <w:pStyle w:val="23"/>
              <w:widowControl w:val="0"/>
              <w:ind w:firstLine="0" w:firstLineChars="0"/>
              <w:jc w:val="center"/>
              <w:rPr>
                <w:rFonts w:ascii="Times New Roman"/>
                <w:color w:val="000000"/>
                <w:sz w:val="24"/>
                <w:szCs w:val="24"/>
              </w:rPr>
            </w:pPr>
          </w:p>
        </w:tc>
        <w:tc>
          <w:tcPr>
            <w:tcW w:w="809" w:type="pct"/>
            <w:vAlign w:val="center"/>
          </w:tcPr>
          <w:p w14:paraId="20179179">
            <w:pPr>
              <w:pStyle w:val="23"/>
              <w:widowControl w:val="0"/>
              <w:ind w:firstLine="0" w:firstLineChars="0"/>
              <w:jc w:val="center"/>
              <w:rPr>
                <w:rFonts w:ascii="Times New Roman"/>
                <w:color w:val="000000"/>
                <w:sz w:val="24"/>
                <w:szCs w:val="24"/>
              </w:rPr>
            </w:pPr>
            <w:r>
              <w:rPr>
                <w:rFonts w:ascii="Times New Roman"/>
                <w:color w:val="000000"/>
                <w:sz w:val="24"/>
                <w:szCs w:val="24"/>
              </w:rPr>
              <w:t>CH</w:t>
            </w:r>
            <w:r>
              <w:rPr>
                <w:rFonts w:ascii="Times New Roman"/>
                <w:color w:val="000000"/>
                <w:sz w:val="24"/>
                <w:szCs w:val="24"/>
                <w:vertAlign w:val="subscript"/>
              </w:rPr>
              <w:t>4</w:t>
            </w:r>
          </w:p>
        </w:tc>
        <w:tc>
          <w:tcPr>
            <w:tcW w:w="806" w:type="pct"/>
            <w:vAlign w:val="center"/>
          </w:tcPr>
          <w:p w14:paraId="4334A041">
            <w:pPr>
              <w:pStyle w:val="23"/>
              <w:widowControl w:val="0"/>
              <w:ind w:firstLine="0" w:firstLineChars="0"/>
              <w:jc w:val="center"/>
              <w:rPr>
                <w:rFonts w:ascii="Times New Roman"/>
                <w:color w:val="000000"/>
                <w:sz w:val="24"/>
                <w:szCs w:val="24"/>
              </w:rPr>
            </w:pPr>
            <w:r>
              <w:rPr>
                <w:rFonts w:ascii="Times New Roman"/>
                <w:color w:val="000000"/>
                <w:sz w:val="24"/>
                <w:szCs w:val="24"/>
              </w:rPr>
              <w:t>否</w:t>
            </w:r>
          </w:p>
        </w:tc>
        <w:tc>
          <w:tcPr>
            <w:tcW w:w="1448" w:type="pct"/>
            <w:vAlign w:val="center"/>
          </w:tcPr>
          <w:p w14:paraId="54F4BA86">
            <w:pPr>
              <w:pStyle w:val="23"/>
              <w:widowControl w:val="0"/>
              <w:ind w:firstLine="0" w:firstLineChars="0"/>
              <w:jc w:val="center"/>
              <w:rPr>
                <w:rFonts w:ascii="Times New Roman"/>
                <w:color w:val="000000"/>
                <w:sz w:val="24"/>
                <w:szCs w:val="24"/>
              </w:rPr>
            </w:pPr>
            <w:r>
              <w:rPr>
                <w:rFonts w:ascii="Times New Roman"/>
                <w:color w:val="000000"/>
                <w:sz w:val="24"/>
                <w:szCs w:val="24"/>
              </w:rPr>
              <w:t>简化起见，排除</w:t>
            </w:r>
          </w:p>
        </w:tc>
      </w:tr>
      <w:tr w14:paraId="6893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39" w:type="pct"/>
            <w:vMerge w:val="continue"/>
            <w:vAlign w:val="center"/>
          </w:tcPr>
          <w:p w14:paraId="023C3079">
            <w:pPr>
              <w:pStyle w:val="23"/>
              <w:widowControl w:val="0"/>
              <w:ind w:firstLine="0" w:firstLineChars="0"/>
              <w:jc w:val="center"/>
              <w:rPr>
                <w:rFonts w:ascii="Times New Roman"/>
                <w:color w:val="000000"/>
                <w:sz w:val="24"/>
                <w:szCs w:val="24"/>
              </w:rPr>
            </w:pPr>
          </w:p>
        </w:tc>
        <w:tc>
          <w:tcPr>
            <w:tcW w:w="1395" w:type="pct"/>
            <w:vMerge w:val="continue"/>
            <w:vAlign w:val="center"/>
          </w:tcPr>
          <w:p w14:paraId="5A1C492E">
            <w:pPr>
              <w:pStyle w:val="23"/>
              <w:widowControl w:val="0"/>
              <w:ind w:firstLine="0" w:firstLineChars="0"/>
              <w:jc w:val="center"/>
              <w:rPr>
                <w:rFonts w:ascii="Times New Roman"/>
                <w:color w:val="000000"/>
                <w:sz w:val="24"/>
                <w:szCs w:val="24"/>
              </w:rPr>
            </w:pPr>
          </w:p>
        </w:tc>
        <w:tc>
          <w:tcPr>
            <w:tcW w:w="809" w:type="pct"/>
            <w:vAlign w:val="center"/>
          </w:tcPr>
          <w:p w14:paraId="0A303E89">
            <w:pPr>
              <w:pStyle w:val="23"/>
              <w:widowControl w:val="0"/>
              <w:ind w:firstLine="0" w:firstLineChars="0"/>
              <w:jc w:val="center"/>
              <w:rPr>
                <w:rFonts w:ascii="Times New Roman"/>
                <w:color w:val="000000"/>
                <w:sz w:val="24"/>
                <w:szCs w:val="24"/>
              </w:rPr>
            </w:pPr>
            <w:r>
              <w:rPr>
                <w:rFonts w:ascii="Times New Roman"/>
                <w:color w:val="000000"/>
                <w:sz w:val="24"/>
                <w:szCs w:val="24"/>
              </w:rPr>
              <w:t>N</w:t>
            </w:r>
            <w:r>
              <w:rPr>
                <w:rFonts w:ascii="Times New Roman"/>
                <w:color w:val="000000"/>
                <w:sz w:val="24"/>
                <w:szCs w:val="24"/>
                <w:vertAlign w:val="subscript"/>
              </w:rPr>
              <w:t>2</w:t>
            </w:r>
            <w:r>
              <w:rPr>
                <w:rFonts w:ascii="Times New Roman"/>
                <w:color w:val="000000"/>
                <w:sz w:val="24"/>
                <w:szCs w:val="24"/>
              </w:rPr>
              <w:t>O</w:t>
            </w:r>
          </w:p>
        </w:tc>
        <w:tc>
          <w:tcPr>
            <w:tcW w:w="806" w:type="pct"/>
            <w:vAlign w:val="center"/>
          </w:tcPr>
          <w:p w14:paraId="77DBC98F">
            <w:pPr>
              <w:pStyle w:val="23"/>
              <w:widowControl w:val="0"/>
              <w:ind w:firstLine="0" w:firstLineChars="0"/>
              <w:jc w:val="center"/>
              <w:rPr>
                <w:rFonts w:ascii="Times New Roman"/>
                <w:color w:val="000000"/>
                <w:sz w:val="24"/>
                <w:szCs w:val="24"/>
              </w:rPr>
            </w:pPr>
            <w:r>
              <w:rPr>
                <w:rFonts w:ascii="Times New Roman"/>
                <w:color w:val="000000"/>
                <w:sz w:val="24"/>
                <w:szCs w:val="24"/>
              </w:rPr>
              <w:t>否</w:t>
            </w:r>
          </w:p>
        </w:tc>
        <w:tc>
          <w:tcPr>
            <w:tcW w:w="1448" w:type="pct"/>
            <w:vAlign w:val="center"/>
          </w:tcPr>
          <w:p w14:paraId="45D07134">
            <w:pPr>
              <w:pStyle w:val="23"/>
              <w:widowControl w:val="0"/>
              <w:ind w:firstLine="0" w:firstLineChars="0"/>
              <w:jc w:val="center"/>
              <w:rPr>
                <w:rFonts w:ascii="Times New Roman"/>
                <w:color w:val="000000"/>
                <w:sz w:val="24"/>
                <w:szCs w:val="24"/>
              </w:rPr>
            </w:pPr>
            <w:r>
              <w:rPr>
                <w:rFonts w:ascii="Times New Roman"/>
                <w:color w:val="000000"/>
                <w:sz w:val="24"/>
                <w:szCs w:val="24"/>
              </w:rPr>
              <w:t>简化起见，排除</w:t>
            </w:r>
          </w:p>
        </w:tc>
      </w:tr>
    </w:tbl>
    <w:p w14:paraId="4E05064D">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en-US"/>
        </w:rPr>
      </w:pPr>
      <w:bookmarkStart w:id="20" w:name="3.2"/>
      <w:bookmarkEnd w:id="20"/>
      <w:bookmarkStart w:id="21" w:name="_Toc22703"/>
      <w:bookmarkStart w:id="22" w:name="_Toc7636"/>
      <w:bookmarkStart w:id="23" w:name="_Toc170134106"/>
      <w:r>
        <w:rPr>
          <w:rFonts w:hint="eastAsia" w:ascii="黑体" w:hAnsi="黑体" w:eastAsia="黑体" w:cs="黑体"/>
          <w:b w:val="0"/>
          <w:bCs w:val="0"/>
          <w:spacing w:val="-2"/>
          <w:w w:val="95"/>
          <w:kern w:val="0"/>
          <w:sz w:val="28"/>
          <w:szCs w:val="28"/>
          <w:lang w:val="en-US" w:eastAsia="zh-CN"/>
        </w:rPr>
        <w:t>减排量计算</w:t>
      </w:r>
      <w:bookmarkEnd w:id="21"/>
      <w:bookmarkEnd w:id="22"/>
    </w:p>
    <w:p w14:paraId="1592B8B5">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en-US"/>
        </w:rPr>
      </w:pPr>
      <w:r>
        <w:rPr>
          <w:rFonts w:hint="eastAsia" w:cs="宋体"/>
          <w:b w:val="0"/>
          <w:bCs/>
          <w:spacing w:val="-5"/>
          <w:sz w:val="28"/>
          <w:szCs w:val="28"/>
          <w:lang w:val="en-US" w:eastAsia="zh-CN"/>
        </w:rPr>
        <w:t>7.1 基准线</w:t>
      </w:r>
      <w:bookmarkEnd w:id="23"/>
      <w:r>
        <w:rPr>
          <w:rFonts w:hint="eastAsia" w:cs="宋体"/>
          <w:b w:val="0"/>
          <w:bCs/>
          <w:spacing w:val="-5"/>
          <w:sz w:val="28"/>
          <w:szCs w:val="28"/>
          <w:lang w:val="en-US" w:eastAsia="zh-CN"/>
        </w:rPr>
        <w:t>情景识别</w:t>
      </w:r>
    </w:p>
    <w:p w14:paraId="38C4B7E5">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基准线情景是不存在本分布式光伏发电项目时，满足对应用电需求最现实可行的替代供电情景。本方法学基准线情景为南京区域电网的其他并网发电厂（含潜在新建发电机组）提供的分布式光伏发电项目所上网电量等额电量的情景。在该基准情景下，项目全部用电需求完全依靠区域电网常规电力供给，电力生产环节将伴随化石能源燃烧产生二氧化碳排放；项目通过光伏发电就地供给自用、余电送入电网，直接等量替代电网常规火电出力，由此形成碳减排差值。</w:t>
      </w:r>
    </w:p>
    <w:p w14:paraId="6DCF923F">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bookmarkStart w:id="24" w:name="_Toc170134108"/>
      <w:r>
        <w:rPr>
          <w:rFonts w:hint="eastAsia" w:cs="宋体"/>
          <w:b w:val="0"/>
          <w:bCs/>
          <w:spacing w:val="-5"/>
          <w:sz w:val="28"/>
          <w:szCs w:val="28"/>
          <w:lang w:val="en-US" w:eastAsia="zh-CN"/>
        </w:rPr>
        <w:t>7.2 额外性</w:t>
      </w:r>
      <w:bookmarkEnd w:id="24"/>
      <w:r>
        <w:rPr>
          <w:rFonts w:hint="eastAsia" w:cs="宋体"/>
          <w:b w:val="0"/>
          <w:bCs/>
          <w:spacing w:val="-5"/>
          <w:sz w:val="28"/>
          <w:szCs w:val="28"/>
          <w:lang w:val="en-US" w:eastAsia="zh-CN"/>
        </w:rPr>
        <w:t>论证</w:t>
      </w:r>
    </w:p>
    <w:p w14:paraId="4F2A74B8">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分布式光伏发电可充分利用本地太阳能清洁能源，替代电网化石能源发电，具备显著二氧化碳减排环境效益。本方法学覆盖项目以机关、企事业单位、社会团体、中小微企业、居民家庭为建设主体，整体呈现单体装机规模偏小、空间布局高度分散的特征，项目前期设备、施工投入成本较高，纯依靠电费收益的投资回收周期较长，项目难以惠及中小微企业和个人。为降低全社会各类主体参与低碳转型门槛、鼓励绿色用能方式推广，符合本方法学全部适用准入条件的分布式光伏发电项目，免予额外性论证。</w:t>
      </w:r>
    </w:p>
    <w:p w14:paraId="2ACC9E2C">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bookmarkStart w:id="25" w:name="_Toc170134109"/>
      <w:bookmarkStart w:id="26" w:name="_Hlk170131968"/>
      <w:r>
        <w:rPr>
          <w:rFonts w:hint="eastAsia" w:cs="宋体"/>
          <w:b w:val="0"/>
          <w:bCs/>
          <w:spacing w:val="-5"/>
          <w:sz w:val="28"/>
          <w:szCs w:val="28"/>
          <w:lang w:val="en-US" w:eastAsia="zh-CN"/>
        </w:rPr>
        <w:t>7.3 基准线排放量计算</w:t>
      </w:r>
      <w:bookmarkEnd w:id="25"/>
    </w:p>
    <w:bookmarkEnd w:id="26"/>
    <w:p w14:paraId="06DCC3F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基准线排放量按照公式（1）计算：</w:t>
      </w:r>
    </w:p>
    <w:p w14:paraId="1A8A0180">
      <w:pPr>
        <w:tabs>
          <w:tab w:val="left" w:pos="1269"/>
          <w:tab w:val="left" w:pos="1270"/>
        </w:tabs>
        <w:autoSpaceDE w:val="0"/>
        <w:autoSpaceDN w:val="0"/>
        <w:snapToGrid w:val="0"/>
        <w:spacing w:line="360" w:lineRule="auto"/>
        <w:ind w:firstLine="560" w:firstLineChars="200"/>
        <w:jc w:val="right"/>
        <w:rPr>
          <w:rFonts w:hint="eastAsia" w:ascii="宋体" w:hAnsi="宋体" w:eastAsia="宋体" w:cs="宋体"/>
          <w:kern w:val="0"/>
          <w:sz w:val="28"/>
          <w:szCs w:val="28"/>
        </w:rPr>
      </w:pPr>
      <w:r>
        <w:rPr>
          <w:rFonts w:hint="default" w:ascii="Times New Roman" w:hAnsi="Times New Roman" w:eastAsia="宋体" w:cs="Times New Roman"/>
          <w:i/>
          <w:iCs/>
          <w:kern w:val="0"/>
          <w:sz w:val="28"/>
          <w:szCs w:val="28"/>
        </w:rPr>
        <w:t>BE</w:t>
      </w:r>
      <w:r>
        <w:rPr>
          <w:rFonts w:hint="default" w:ascii="Times New Roman" w:hAnsi="Times New Roman" w:eastAsia="宋体" w:cs="Times New Roman"/>
          <w:i/>
          <w:iCs/>
          <w:kern w:val="0"/>
          <w:sz w:val="28"/>
          <w:szCs w:val="28"/>
          <w:vertAlign w:val="subscript"/>
        </w:rPr>
        <w:t>y</w:t>
      </w:r>
      <w:r>
        <w:rPr>
          <w:rFonts w:hint="default" w:ascii="Times New Roman" w:hAnsi="Times New Roman" w:eastAsia="宋体" w:cs="Times New Roman"/>
          <w:i/>
          <w:iCs/>
          <w:kern w:val="0"/>
          <w:sz w:val="28"/>
          <w:szCs w:val="28"/>
        </w:rPr>
        <w:t>=EG</w:t>
      </w:r>
      <w:r>
        <w:rPr>
          <w:rFonts w:hint="default" w:ascii="Times New Roman" w:hAnsi="Times New Roman" w:eastAsia="宋体" w:cs="Times New Roman"/>
          <w:i/>
          <w:iCs/>
          <w:kern w:val="0"/>
          <w:sz w:val="28"/>
          <w:szCs w:val="28"/>
          <w:vertAlign w:val="subscript"/>
        </w:rPr>
        <w:t>PJ,y</w:t>
      </w:r>
      <w:r>
        <w:rPr>
          <w:rFonts w:hint="default" w:ascii="Times New Roman" w:hAnsi="Times New Roman" w:eastAsia="宋体" w:cs="Times New Roman"/>
          <w:i/>
          <w:iCs/>
          <w:kern w:val="0"/>
          <w:sz w:val="28"/>
          <w:szCs w:val="28"/>
        </w:rPr>
        <w:t>×EF</w:t>
      </w:r>
      <w:r>
        <w:rPr>
          <w:rFonts w:hint="eastAsia" w:ascii="Times New Roman" w:hAnsi="Times New Roman" w:eastAsia="宋体" w:cs="Times New Roman"/>
          <w:i/>
          <w:iCs/>
          <w:kern w:val="0"/>
          <w:sz w:val="28"/>
          <w:szCs w:val="28"/>
          <w:vertAlign w:val="subscript"/>
          <w:lang w:val="en-US" w:eastAsia="zh-CN"/>
        </w:rPr>
        <w:t>grid,y</w:t>
      </w:r>
      <w:r>
        <w:rPr>
          <w:rFonts w:hint="eastAsia" w:ascii="微软雅黑" w:hAnsi="微软雅黑" w:eastAsia="微软雅黑"/>
          <w:lang w:eastAsia="zh-CN"/>
        </w:rPr>
        <w:t>…………………………………</w:t>
      </w:r>
      <w:r>
        <w:rPr>
          <w:rFonts w:hint="default" w:ascii="Times New Roman" w:hAnsi="Times New Roman" w:eastAsia="微软雅黑" w:cs="Times New Roman"/>
          <w:lang w:eastAsia="zh-CN"/>
        </w:rPr>
        <w:t>…</w:t>
      </w:r>
      <w:r>
        <w:rPr>
          <w:rFonts w:hint="default" w:ascii="Times New Roman" w:hAnsi="Times New Roman" w:eastAsia="宋体" w:cs="Times New Roman"/>
          <w:kern w:val="0"/>
          <w:sz w:val="28"/>
          <w:szCs w:val="28"/>
        </w:rPr>
        <w:t>(1)</w:t>
      </w:r>
    </w:p>
    <w:p w14:paraId="4E20A39E">
      <w:pPr>
        <w:tabs>
          <w:tab w:val="left" w:pos="1269"/>
          <w:tab w:val="left" w:pos="1270"/>
        </w:tabs>
        <w:autoSpaceDE w:val="0"/>
        <w:autoSpaceDN w:val="0"/>
        <w:snapToGrid w:val="0"/>
        <w:spacing w:line="360" w:lineRule="auto"/>
        <w:ind w:firstLine="560" w:firstLineChars="200"/>
        <w:jc w:val="both"/>
        <w:rPr>
          <w:rFonts w:hint="eastAsia" w:ascii="宋体" w:hAnsi="宋体" w:eastAsia="宋体" w:cs="宋体"/>
          <w:kern w:val="0"/>
          <w:sz w:val="28"/>
          <w:szCs w:val="28"/>
        </w:rPr>
      </w:pPr>
      <w:r>
        <w:rPr>
          <w:rFonts w:hint="eastAsia" w:ascii="宋体" w:hAnsi="宋体" w:eastAsia="宋体" w:cs="宋体"/>
          <w:kern w:val="0"/>
          <w:sz w:val="28"/>
          <w:szCs w:val="28"/>
        </w:rPr>
        <w:t>式中：</w:t>
      </w:r>
    </w:p>
    <w:p w14:paraId="560D8507">
      <w:pPr>
        <w:tabs>
          <w:tab w:val="left" w:pos="1269"/>
          <w:tab w:val="left" w:pos="1270"/>
        </w:tabs>
        <w:autoSpaceDE w:val="0"/>
        <w:autoSpaceDN w:val="0"/>
        <w:snapToGrid w:val="0"/>
        <w:spacing w:line="360" w:lineRule="auto"/>
        <w:ind w:firstLine="560" w:firstLineChars="200"/>
        <w:jc w:val="both"/>
        <w:rPr>
          <w:rFonts w:hint="default" w:ascii="Times New Roman" w:hAnsi="Times New Roman" w:eastAsia="宋体" w:cs="Times New Roman"/>
          <w:kern w:val="0"/>
          <w:sz w:val="28"/>
          <w:szCs w:val="28"/>
        </w:rPr>
      </w:pPr>
      <w:r>
        <w:rPr>
          <w:rFonts w:hint="default" w:ascii="Times New Roman" w:hAnsi="Times New Roman" w:eastAsia="宋体" w:cs="Times New Roman"/>
          <w:i/>
          <w:iCs/>
          <w:kern w:val="0"/>
          <w:sz w:val="28"/>
          <w:szCs w:val="28"/>
        </w:rPr>
        <w:t>BE</w:t>
      </w:r>
      <w:r>
        <w:rPr>
          <w:rFonts w:hint="default" w:ascii="Times New Roman" w:hAnsi="Times New Roman" w:eastAsia="宋体" w:cs="Times New Roman"/>
          <w:i/>
          <w:iCs/>
          <w:kern w:val="0"/>
          <w:sz w:val="28"/>
          <w:szCs w:val="28"/>
          <w:vertAlign w:val="subscript"/>
        </w:rPr>
        <w:t>y</w:t>
      </w:r>
      <w:r>
        <w:rPr>
          <w:rFonts w:hint="default" w:ascii="Times New Roman" w:hAnsi="Times New Roman" w:eastAsia="宋体" w:cs="Times New Roman"/>
          <w:kern w:val="0"/>
          <w:sz w:val="28"/>
          <w:szCs w:val="28"/>
        </w:rPr>
        <w:t>——第y年的项目基准线排放量，</w:t>
      </w:r>
      <w:r>
        <w:rPr>
          <w:rFonts w:hint="eastAsia" w:ascii="Times New Roman" w:hAnsi="Times New Roman" w:eastAsia="宋体" w:cs="Times New Roman"/>
          <w:kern w:val="0"/>
          <w:sz w:val="28"/>
          <w:szCs w:val="28"/>
          <w:lang w:val="en-US" w:eastAsia="zh-CN"/>
        </w:rPr>
        <w:t>kg</w:t>
      </w:r>
      <w:r>
        <w:rPr>
          <w:rFonts w:hint="default" w:ascii="Times New Roman" w:hAnsi="Times New Roman" w:eastAsia="宋体" w:cs="Times New Roman"/>
          <w:kern w:val="0"/>
          <w:sz w:val="28"/>
          <w:szCs w:val="28"/>
        </w:rPr>
        <w:t>CO</w:t>
      </w:r>
      <w:r>
        <w:rPr>
          <w:rFonts w:hint="default" w:ascii="Times New Roman" w:hAnsi="Times New Roman" w:eastAsia="宋体" w:cs="Times New Roman"/>
          <w:kern w:val="0"/>
          <w:sz w:val="28"/>
          <w:szCs w:val="28"/>
          <w:vertAlign w:val="subscript"/>
        </w:rPr>
        <w:t>2</w:t>
      </w:r>
      <w:r>
        <w:rPr>
          <w:rFonts w:hint="default" w:ascii="Times New Roman" w:hAnsi="Times New Roman" w:eastAsia="宋体" w:cs="Times New Roman"/>
          <w:kern w:val="0"/>
          <w:sz w:val="28"/>
          <w:szCs w:val="28"/>
        </w:rPr>
        <w:t>；</w:t>
      </w:r>
    </w:p>
    <w:p w14:paraId="7D5086B3">
      <w:pPr>
        <w:tabs>
          <w:tab w:val="left" w:pos="1269"/>
          <w:tab w:val="left" w:pos="1270"/>
        </w:tabs>
        <w:autoSpaceDE w:val="0"/>
        <w:autoSpaceDN w:val="0"/>
        <w:snapToGrid w:val="0"/>
        <w:spacing w:line="360" w:lineRule="auto"/>
        <w:ind w:firstLine="560" w:firstLineChars="200"/>
        <w:jc w:val="both"/>
        <w:rPr>
          <w:rFonts w:hint="default" w:ascii="Times New Roman" w:hAnsi="Times New Roman" w:eastAsia="宋体" w:cs="Times New Roman"/>
          <w:kern w:val="0"/>
          <w:sz w:val="28"/>
          <w:szCs w:val="28"/>
        </w:rPr>
      </w:pPr>
      <w:r>
        <w:rPr>
          <w:rFonts w:hint="default" w:ascii="Times New Roman" w:hAnsi="Times New Roman" w:eastAsia="宋体" w:cs="Times New Roman"/>
          <w:i/>
          <w:iCs/>
          <w:kern w:val="0"/>
          <w:sz w:val="28"/>
          <w:szCs w:val="28"/>
        </w:rPr>
        <w:t>EG</w:t>
      </w:r>
      <w:r>
        <w:rPr>
          <w:rFonts w:hint="default" w:ascii="Times New Roman" w:hAnsi="Times New Roman" w:eastAsia="宋体" w:cs="Times New Roman"/>
          <w:i/>
          <w:iCs/>
          <w:kern w:val="0"/>
          <w:sz w:val="28"/>
          <w:szCs w:val="28"/>
          <w:vertAlign w:val="subscript"/>
        </w:rPr>
        <w:t>PJ,y</w:t>
      </w:r>
      <w:r>
        <w:rPr>
          <w:rFonts w:hint="default" w:ascii="Times New Roman" w:hAnsi="Times New Roman" w:eastAsia="宋体" w:cs="Times New Roman"/>
          <w:kern w:val="0"/>
          <w:sz w:val="28"/>
          <w:szCs w:val="28"/>
        </w:rPr>
        <w:t>——第y年的</w:t>
      </w:r>
      <w:r>
        <w:rPr>
          <w:rFonts w:hint="eastAsia" w:ascii="Times New Roman" w:hAnsi="Times New Roman" w:eastAsia="宋体" w:cs="Times New Roman"/>
          <w:kern w:val="0"/>
          <w:sz w:val="28"/>
          <w:szCs w:val="28"/>
          <w:lang w:val="en-US" w:eastAsia="zh-CN"/>
        </w:rPr>
        <w:t>分布式光伏</w:t>
      </w:r>
      <w:r>
        <w:rPr>
          <w:rFonts w:hint="default" w:ascii="Times New Roman" w:hAnsi="Times New Roman" w:eastAsia="宋体" w:cs="Times New Roman"/>
          <w:kern w:val="0"/>
          <w:sz w:val="28"/>
          <w:szCs w:val="28"/>
        </w:rPr>
        <w:t>项目</w:t>
      </w:r>
      <w:r>
        <w:rPr>
          <w:rFonts w:hint="eastAsia" w:ascii="Times New Roman" w:hAnsi="Times New Roman" w:eastAsia="宋体" w:cs="Times New Roman"/>
          <w:kern w:val="0"/>
          <w:sz w:val="28"/>
          <w:szCs w:val="28"/>
          <w:lang w:eastAsia="zh-CN"/>
        </w:rPr>
        <w:t>上网电量，</w:t>
      </w:r>
      <w:r>
        <w:rPr>
          <w:rFonts w:hint="eastAsia" w:ascii="Times New Roman" w:hAnsi="Times New Roman" w:eastAsia="宋体" w:cs="Times New Roman"/>
          <w:kern w:val="0"/>
          <w:sz w:val="28"/>
          <w:szCs w:val="28"/>
          <w:lang w:val="en-US" w:eastAsia="zh-CN"/>
        </w:rPr>
        <w:t>k</w:t>
      </w:r>
      <w:r>
        <w:rPr>
          <w:rFonts w:hint="default" w:ascii="Times New Roman" w:hAnsi="Times New Roman" w:eastAsia="宋体" w:cs="Times New Roman"/>
          <w:kern w:val="0"/>
          <w:sz w:val="28"/>
          <w:szCs w:val="28"/>
        </w:rPr>
        <w:t>Wh；</w:t>
      </w:r>
    </w:p>
    <w:p w14:paraId="6CEBAE15">
      <w:pPr>
        <w:tabs>
          <w:tab w:val="left" w:pos="1269"/>
          <w:tab w:val="left" w:pos="1270"/>
        </w:tabs>
        <w:autoSpaceDE w:val="0"/>
        <w:autoSpaceDN w:val="0"/>
        <w:snapToGrid w:val="0"/>
        <w:spacing w:line="360" w:lineRule="auto"/>
        <w:ind w:firstLine="560" w:firstLineChars="200"/>
        <w:jc w:val="both"/>
        <w:rPr>
          <w:rFonts w:hint="default" w:ascii="Times New Roman" w:hAnsi="Times New Roman" w:eastAsia="宋体" w:cs="Times New Roman"/>
          <w:kern w:val="0"/>
          <w:sz w:val="28"/>
          <w:szCs w:val="28"/>
        </w:rPr>
      </w:pPr>
      <w:r>
        <w:rPr>
          <w:rFonts w:hint="default" w:ascii="Times New Roman" w:hAnsi="Times New Roman" w:eastAsia="宋体" w:cs="Times New Roman"/>
          <w:i/>
          <w:iCs/>
          <w:kern w:val="0"/>
          <w:sz w:val="28"/>
          <w:szCs w:val="28"/>
        </w:rPr>
        <w:t>EF</w:t>
      </w:r>
      <w:r>
        <w:rPr>
          <w:rFonts w:hint="eastAsia" w:ascii="Times New Roman" w:hAnsi="Times New Roman" w:eastAsia="宋体" w:cs="Times New Roman"/>
          <w:i/>
          <w:iCs/>
          <w:kern w:val="0"/>
          <w:sz w:val="28"/>
          <w:szCs w:val="28"/>
          <w:vertAlign w:val="subscript"/>
          <w:lang w:val="en-US" w:eastAsia="zh-CN"/>
        </w:rPr>
        <w:t>grid,y</w:t>
      </w:r>
      <w:r>
        <w:rPr>
          <w:rFonts w:hint="default" w:ascii="Times New Roman" w:hAnsi="Times New Roman" w:eastAsia="宋体" w:cs="Times New Roman"/>
          <w:kern w:val="0"/>
          <w:sz w:val="28"/>
          <w:szCs w:val="28"/>
        </w:rPr>
        <w:t>——</w:t>
      </w:r>
      <w:r>
        <w:rPr>
          <w:rFonts w:hint="eastAsia" w:ascii="Times New Roman" w:hAnsi="Times New Roman" w:eastAsia="宋体" w:cs="Times New Roman"/>
          <w:kern w:val="0"/>
          <w:sz w:val="28"/>
          <w:szCs w:val="28"/>
          <w:lang w:val="en-US" w:eastAsia="zh-CN"/>
        </w:rPr>
        <w:t>第y年南京市电力二氧化碳</w:t>
      </w:r>
      <w:r>
        <w:rPr>
          <w:rFonts w:hint="default" w:ascii="Times New Roman" w:hAnsi="Times New Roman" w:eastAsia="宋体" w:cs="Times New Roman"/>
          <w:kern w:val="0"/>
          <w:sz w:val="28"/>
          <w:szCs w:val="28"/>
        </w:rPr>
        <w:t>排放因子</w:t>
      </w:r>
      <w:r>
        <w:rPr>
          <w:rFonts w:hint="eastAsia" w:ascii="Times New Roman" w:hAnsi="Times New Roman" w:eastAsia="宋体" w:cs="Times New Roman"/>
          <w:kern w:val="0"/>
          <w:sz w:val="28"/>
          <w:szCs w:val="28"/>
          <w:lang w:eastAsia="zh-CN"/>
        </w:rPr>
        <w:t>，</w:t>
      </w:r>
      <w:r>
        <w:rPr>
          <w:rFonts w:hint="eastAsia" w:ascii="Times New Roman" w:hAnsi="Times New Roman" w:eastAsia="宋体" w:cs="Times New Roman"/>
          <w:kern w:val="0"/>
          <w:sz w:val="28"/>
          <w:szCs w:val="28"/>
          <w:lang w:val="en-US" w:eastAsia="zh-CN"/>
        </w:rPr>
        <w:t>kg</w:t>
      </w:r>
      <w:r>
        <w:rPr>
          <w:rFonts w:hint="default" w:ascii="Times New Roman" w:hAnsi="Times New Roman" w:eastAsia="宋体" w:cs="Times New Roman"/>
          <w:kern w:val="0"/>
          <w:sz w:val="28"/>
          <w:szCs w:val="28"/>
        </w:rPr>
        <w:t>CO</w:t>
      </w:r>
      <w:r>
        <w:rPr>
          <w:rFonts w:hint="default" w:ascii="Times New Roman" w:hAnsi="Times New Roman" w:eastAsia="宋体" w:cs="Times New Roman"/>
          <w:kern w:val="0"/>
          <w:sz w:val="28"/>
          <w:szCs w:val="28"/>
          <w:vertAlign w:val="subscript"/>
        </w:rPr>
        <w:t>2</w:t>
      </w:r>
      <w:r>
        <w:rPr>
          <w:rFonts w:hint="default" w:ascii="Times New Roman" w:hAnsi="Times New Roman" w:eastAsia="宋体" w:cs="Times New Roman"/>
          <w:kern w:val="0"/>
          <w:sz w:val="28"/>
          <w:szCs w:val="28"/>
        </w:rPr>
        <w:t>/</w:t>
      </w:r>
      <w:r>
        <w:rPr>
          <w:rFonts w:hint="eastAsia" w:ascii="Times New Roman" w:hAnsi="Times New Roman" w:eastAsia="宋体" w:cs="Times New Roman"/>
          <w:kern w:val="0"/>
          <w:sz w:val="28"/>
          <w:szCs w:val="28"/>
          <w:lang w:val="en-US" w:eastAsia="zh-CN"/>
        </w:rPr>
        <w:t>k</w:t>
      </w:r>
      <w:r>
        <w:rPr>
          <w:rFonts w:hint="default" w:ascii="Times New Roman" w:hAnsi="Times New Roman" w:eastAsia="宋体" w:cs="Times New Roman"/>
          <w:kern w:val="0"/>
          <w:sz w:val="28"/>
          <w:szCs w:val="28"/>
        </w:rPr>
        <w:t>Wh。</w:t>
      </w:r>
    </w:p>
    <w:p w14:paraId="79B25239">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7.4 减排项目排放量计算</w:t>
      </w:r>
    </w:p>
    <w:p w14:paraId="69998902">
      <w:pPr>
        <w:tabs>
          <w:tab w:val="left" w:pos="1269"/>
          <w:tab w:val="left" w:pos="1270"/>
        </w:tabs>
        <w:autoSpaceDE w:val="0"/>
        <w:autoSpaceDN w:val="0"/>
        <w:snapToGrid w:val="0"/>
        <w:spacing w:line="360" w:lineRule="auto"/>
        <w:ind w:firstLine="560" w:firstLineChars="200"/>
        <w:jc w:val="both"/>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分布式</w:t>
      </w:r>
      <w:r>
        <w:rPr>
          <w:rFonts w:hint="default" w:ascii="Times New Roman" w:hAnsi="Times New Roman" w:eastAsia="宋体" w:cs="Times New Roman"/>
          <w:kern w:val="0"/>
          <w:sz w:val="28"/>
          <w:szCs w:val="28"/>
          <w:lang w:val="en-US" w:eastAsia="zh-CN"/>
        </w:rPr>
        <w:t>光伏发电项目运行的排放量主要来自光伏组件、电力设备运维过程中产生的排放，但考虑到其排放量小，为降低项目实施和管理成本，记项目的排放量为零，即</w:t>
      </w:r>
      <w:r>
        <w:rPr>
          <w:rFonts w:hint="default" w:ascii="Times New Roman" w:hAnsi="Times New Roman" w:eastAsia="宋体" w:cs="Times New Roman"/>
          <w:i/>
          <w:iCs/>
          <w:kern w:val="0"/>
          <w:sz w:val="28"/>
          <w:szCs w:val="28"/>
          <w:lang w:val="en-US" w:eastAsia="zh-CN"/>
        </w:rPr>
        <w:t>PE</w:t>
      </w:r>
      <w:r>
        <w:rPr>
          <w:rFonts w:hint="default" w:ascii="Times New Roman" w:hAnsi="Times New Roman" w:eastAsia="宋体" w:cs="Times New Roman"/>
          <w:i/>
          <w:iCs/>
          <w:kern w:val="0"/>
          <w:sz w:val="28"/>
          <w:szCs w:val="28"/>
          <w:vertAlign w:val="subscript"/>
          <w:lang w:val="en-US" w:eastAsia="zh-CN"/>
        </w:rPr>
        <w:t>y</w:t>
      </w:r>
      <w:r>
        <w:rPr>
          <w:rFonts w:hint="default" w:ascii="Times New Roman" w:hAnsi="Times New Roman" w:eastAsia="宋体" w:cs="Times New Roman"/>
          <w:i/>
          <w:iCs/>
          <w:kern w:val="0"/>
          <w:sz w:val="28"/>
          <w:szCs w:val="28"/>
          <w:lang w:val="en-US" w:eastAsia="zh-CN"/>
        </w:rPr>
        <w:t>=0</w:t>
      </w:r>
      <w:r>
        <w:rPr>
          <w:rFonts w:hint="default" w:ascii="Times New Roman" w:hAnsi="Times New Roman" w:eastAsia="宋体" w:cs="Times New Roman"/>
          <w:kern w:val="0"/>
          <w:sz w:val="28"/>
          <w:szCs w:val="28"/>
          <w:lang w:val="en-US" w:eastAsia="zh-CN"/>
        </w:rPr>
        <w:t>。</w:t>
      </w:r>
    </w:p>
    <w:p w14:paraId="75757E3B">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bookmarkStart w:id="27" w:name="_Toc170134111"/>
      <w:r>
        <w:rPr>
          <w:rFonts w:hint="eastAsia" w:cs="宋体"/>
          <w:b w:val="0"/>
          <w:bCs/>
          <w:spacing w:val="-5"/>
          <w:sz w:val="28"/>
          <w:szCs w:val="28"/>
          <w:lang w:val="en-US" w:eastAsia="zh-CN"/>
        </w:rPr>
        <w:t>7.5 泄漏计算</w:t>
      </w:r>
    </w:p>
    <w:p w14:paraId="52392026">
      <w:pPr>
        <w:tabs>
          <w:tab w:val="left" w:pos="1269"/>
          <w:tab w:val="left" w:pos="1270"/>
        </w:tabs>
        <w:autoSpaceDE w:val="0"/>
        <w:autoSpaceDN w:val="0"/>
        <w:snapToGrid w:val="0"/>
        <w:spacing w:line="360" w:lineRule="auto"/>
        <w:ind w:firstLine="560" w:firstLineChars="20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rPr>
        <w:t>本方法学不考虑泄漏。</w:t>
      </w:r>
    </w:p>
    <w:p w14:paraId="3991C040">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default" w:cs="宋体"/>
          <w:b w:val="0"/>
          <w:bCs/>
          <w:spacing w:val="-5"/>
          <w:sz w:val="28"/>
          <w:szCs w:val="28"/>
          <w:lang w:val="en-US" w:eastAsia="zh-CN"/>
        </w:rPr>
      </w:pPr>
      <w:r>
        <w:rPr>
          <w:rFonts w:hint="eastAsia" w:cs="宋体"/>
          <w:b w:val="0"/>
          <w:bCs/>
          <w:spacing w:val="-5"/>
          <w:sz w:val="28"/>
          <w:szCs w:val="28"/>
          <w:lang w:val="en-US" w:eastAsia="zh-CN"/>
        </w:rPr>
        <w:t>7.6 减排量核算</w:t>
      </w:r>
    </w:p>
    <w:p w14:paraId="0F7297C3">
      <w:pPr>
        <w:tabs>
          <w:tab w:val="left" w:pos="1269"/>
          <w:tab w:val="left" w:pos="1270"/>
        </w:tabs>
        <w:autoSpaceDE w:val="0"/>
        <w:autoSpaceDN w:val="0"/>
        <w:snapToGrid w:val="0"/>
        <w:spacing w:line="360" w:lineRule="auto"/>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项目减排量的计算方法如下：</w:t>
      </w:r>
    </w:p>
    <w:p w14:paraId="76FE715E">
      <w:pPr>
        <w:tabs>
          <w:tab w:val="left" w:pos="1269"/>
          <w:tab w:val="left" w:pos="1270"/>
        </w:tabs>
        <w:autoSpaceDE w:val="0"/>
        <w:autoSpaceDN w:val="0"/>
        <w:snapToGrid w:val="0"/>
        <w:spacing w:line="360" w:lineRule="auto"/>
        <w:ind w:firstLine="560" w:firstLineChars="200"/>
        <w:jc w:val="right"/>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ab/>
      </w:r>
      <w:r>
        <w:rPr>
          <w:rFonts w:hint="default" w:ascii="Times New Roman" w:hAnsi="Times New Roman" w:eastAsia="宋体" w:cs="Times New Roman"/>
          <w:i/>
          <w:iCs/>
          <w:kern w:val="0"/>
          <w:sz w:val="28"/>
          <w:szCs w:val="28"/>
        </w:rPr>
        <w:t>ER</w:t>
      </w:r>
      <w:r>
        <w:rPr>
          <w:rFonts w:hint="default" w:ascii="Times New Roman" w:hAnsi="Times New Roman" w:eastAsia="宋体" w:cs="Times New Roman"/>
          <w:i/>
          <w:iCs/>
          <w:kern w:val="0"/>
          <w:sz w:val="28"/>
          <w:szCs w:val="28"/>
          <w:vertAlign w:val="subscript"/>
        </w:rPr>
        <w:t>y</w:t>
      </w:r>
      <w:r>
        <w:rPr>
          <w:rFonts w:hint="default" w:ascii="Times New Roman" w:hAnsi="Times New Roman" w:eastAsia="宋体" w:cs="Times New Roman"/>
          <w:i/>
          <w:iCs/>
          <w:kern w:val="0"/>
          <w:sz w:val="28"/>
          <w:szCs w:val="28"/>
        </w:rPr>
        <w:t>=BE</w:t>
      </w:r>
      <w:r>
        <w:rPr>
          <w:rFonts w:hint="default" w:ascii="Times New Roman" w:hAnsi="Times New Roman" w:eastAsia="宋体" w:cs="Times New Roman"/>
          <w:i/>
          <w:iCs/>
          <w:kern w:val="0"/>
          <w:sz w:val="28"/>
          <w:szCs w:val="28"/>
          <w:vertAlign w:val="subscript"/>
        </w:rPr>
        <w:t>y</w:t>
      </w:r>
      <w:r>
        <w:rPr>
          <w:rFonts w:hint="default" w:ascii="Times New Roman" w:hAnsi="Times New Roman" w:eastAsia="宋体" w:cs="Times New Roman"/>
          <w:i/>
          <w:iCs/>
          <w:kern w:val="0"/>
          <w:sz w:val="28"/>
          <w:szCs w:val="28"/>
        </w:rPr>
        <w:t>−PE</w:t>
      </w:r>
      <w:r>
        <w:rPr>
          <w:rFonts w:hint="default" w:ascii="Times New Roman" w:hAnsi="Times New Roman" w:eastAsia="宋体" w:cs="Times New Roman"/>
          <w:i/>
          <w:iCs/>
          <w:kern w:val="0"/>
          <w:sz w:val="28"/>
          <w:szCs w:val="28"/>
          <w:vertAlign w:val="subscript"/>
        </w:rPr>
        <w:t>y</w:t>
      </w:r>
      <w:r>
        <w:rPr>
          <w:rFonts w:hint="default" w:ascii="Times New Roman" w:hAnsi="Times New Roman" w:eastAsia="宋体" w:cs="Times New Roman"/>
          <w:i/>
          <w:iCs/>
          <w:kern w:val="0"/>
          <w:sz w:val="28"/>
          <w:szCs w:val="28"/>
        </w:rPr>
        <w:tab/>
      </w:r>
      <w:r>
        <w:rPr>
          <w:rFonts w:hint="default" w:ascii="Times New Roman" w:hAnsi="Times New Roman" w:eastAsia="微软雅黑" w:cs="Times New Roman"/>
          <w:lang w:eastAsia="zh-CN"/>
        </w:rPr>
        <w:t>……………………………………</w:t>
      </w:r>
      <w:r>
        <w:rPr>
          <w:rFonts w:hint="default" w:ascii="Times New Roman" w:hAnsi="Times New Roman" w:eastAsia="宋体" w:cs="Times New Roman"/>
          <w:kern w:val="0"/>
          <w:sz w:val="28"/>
          <w:szCs w:val="28"/>
        </w:rPr>
        <w:t>(2)</w:t>
      </w:r>
    </w:p>
    <w:p w14:paraId="26CD7D6C">
      <w:pPr>
        <w:tabs>
          <w:tab w:val="left" w:pos="1269"/>
          <w:tab w:val="left" w:pos="1270"/>
        </w:tabs>
        <w:autoSpaceDE w:val="0"/>
        <w:autoSpaceDN w:val="0"/>
        <w:snapToGrid w:val="0"/>
        <w:spacing w:line="360" w:lineRule="auto"/>
        <w:ind w:firstLine="560" w:firstLineChars="200"/>
        <w:jc w:val="left"/>
        <w:rPr>
          <w:rFonts w:hint="default" w:ascii="Times New Roman" w:hAnsi="Times New Roman" w:eastAsia="宋体" w:cs="Times New Roman"/>
          <w:kern w:val="0"/>
          <w:sz w:val="28"/>
          <w:szCs w:val="28"/>
        </w:rPr>
      </w:pPr>
      <w:r>
        <w:rPr>
          <w:rFonts w:hint="default" w:ascii="Times New Roman" w:hAnsi="Times New Roman" w:eastAsia="宋体" w:cs="Times New Roman"/>
          <w:kern w:val="0"/>
          <w:sz w:val="28"/>
          <w:szCs w:val="28"/>
        </w:rPr>
        <w:t>式中：</w:t>
      </w:r>
    </w:p>
    <w:p w14:paraId="0BAD189A">
      <w:pPr>
        <w:tabs>
          <w:tab w:val="left" w:pos="1269"/>
          <w:tab w:val="left" w:pos="1270"/>
        </w:tabs>
        <w:autoSpaceDE w:val="0"/>
        <w:autoSpaceDN w:val="0"/>
        <w:snapToGrid w:val="0"/>
        <w:spacing w:line="360" w:lineRule="auto"/>
        <w:ind w:firstLine="560" w:firstLineChars="200"/>
        <w:jc w:val="left"/>
        <w:rPr>
          <w:rFonts w:hint="default" w:ascii="Times New Roman" w:hAnsi="Times New Roman" w:eastAsia="宋体" w:cs="Times New Roman"/>
          <w:kern w:val="0"/>
          <w:sz w:val="28"/>
          <w:szCs w:val="28"/>
        </w:rPr>
      </w:pPr>
      <w:r>
        <w:rPr>
          <w:rFonts w:hint="default" w:ascii="Times New Roman" w:hAnsi="Times New Roman" w:eastAsia="宋体" w:cs="Times New Roman"/>
          <w:i/>
          <w:iCs/>
          <w:kern w:val="0"/>
          <w:sz w:val="28"/>
          <w:szCs w:val="28"/>
        </w:rPr>
        <w:t>ER</w:t>
      </w:r>
      <w:r>
        <w:rPr>
          <w:rFonts w:hint="default" w:ascii="Times New Roman" w:hAnsi="Times New Roman" w:eastAsia="宋体" w:cs="Times New Roman"/>
          <w:i/>
          <w:iCs/>
          <w:kern w:val="0"/>
          <w:sz w:val="28"/>
          <w:szCs w:val="28"/>
          <w:vertAlign w:val="subscript"/>
        </w:rPr>
        <w:t>y</w:t>
      </w:r>
      <w:r>
        <w:rPr>
          <w:rFonts w:hint="default" w:ascii="Times New Roman" w:hAnsi="Times New Roman" w:eastAsia="宋体" w:cs="Times New Roman"/>
          <w:kern w:val="0"/>
          <w:sz w:val="28"/>
          <w:szCs w:val="28"/>
        </w:rPr>
        <w:t>——</w:t>
      </w:r>
      <w:r>
        <w:rPr>
          <w:rFonts w:hint="eastAsia" w:ascii="Times New Roman" w:hAnsi="Times New Roman" w:eastAsia="宋体" w:cs="Times New Roman"/>
          <w:kern w:val="0"/>
          <w:sz w:val="28"/>
          <w:szCs w:val="28"/>
          <w:lang w:val="en-US" w:eastAsia="zh-CN"/>
        </w:rPr>
        <w:t>第</w:t>
      </w:r>
      <w:r>
        <w:rPr>
          <w:rFonts w:hint="default" w:ascii="Times New Roman" w:hAnsi="Times New Roman" w:eastAsia="宋体" w:cs="Times New Roman"/>
          <w:i/>
          <w:iCs/>
          <w:kern w:val="0"/>
          <w:sz w:val="28"/>
          <w:szCs w:val="28"/>
        </w:rPr>
        <w:t>y</w:t>
      </w:r>
      <w:r>
        <w:rPr>
          <w:rFonts w:hint="default" w:ascii="Times New Roman" w:hAnsi="Times New Roman" w:eastAsia="宋体" w:cs="Times New Roman"/>
          <w:kern w:val="0"/>
          <w:sz w:val="28"/>
          <w:szCs w:val="28"/>
        </w:rPr>
        <w:t>年的碳减排量，</w:t>
      </w:r>
      <w:r>
        <w:rPr>
          <w:rFonts w:hint="eastAsia" w:ascii="Times New Roman" w:hAnsi="Times New Roman" w:eastAsia="宋体" w:cs="Times New Roman"/>
          <w:kern w:val="0"/>
          <w:sz w:val="28"/>
          <w:szCs w:val="28"/>
          <w:lang w:val="en-US" w:eastAsia="zh-CN"/>
        </w:rPr>
        <w:t>kg</w:t>
      </w:r>
      <w:r>
        <w:rPr>
          <w:rFonts w:hint="default" w:ascii="Times New Roman" w:hAnsi="Times New Roman" w:eastAsia="宋体" w:cs="Times New Roman"/>
          <w:kern w:val="0"/>
          <w:sz w:val="28"/>
          <w:szCs w:val="28"/>
        </w:rPr>
        <w:t>CO</w:t>
      </w:r>
      <w:r>
        <w:rPr>
          <w:rFonts w:hint="default" w:ascii="Times New Roman" w:hAnsi="Times New Roman" w:eastAsia="宋体" w:cs="Times New Roman"/>
          <w:kern w:val="0"/>
          <w:sz w:val="28"/>
          <w:szCs w:val="28"/>
          <w:vertAlign w:val="subscript"/>
        </w:rPr>
        <w:t>2</w:t>
      </w:r>
      <w:r>
        <w:rPr>
          <w:rFonts w:hint="default" w:ascii="Times New Roman" w:hAnsi="Times New Roman" w:eastAsia="宋体" w:cs="Times New Roman"/>
          <w:kern w:val="0"/>
          <w:sz w:val="28"/>
          <w:szCs w:val="28"/>
        </w:rPr>
        <w:t>；</w:t>
      </w:r>
    </w:p>
    <w:p w14:paraId="29F6D9D0">
      <w:pPr>
        <w:tabs>
          <w:tab w:val="left" w:pos="1269"/>
          <w:tab w:val="left" w:pos="1270"/>
        </w:tabs>
        <w:autoSpaceDE w:val="0"/>
        <w:autoSpaceDN w:val="0"/>
        <w:snapToGrid w:val="0"/>
        <w:spacing w:line="360" w:lineRule="auto"/>
        <w:ind w:firstLine="560" w:firstLineChars="200"/>
        <w:jc w:val="left"/>
        <w:rPr>
          <w:rFonts w:hint="default" w:ascii="Times New Roman" w:hAnsi="Times New Roman" w:eastAsia="宋体" w:cs="Times New Roman"/>
          <w:kern w:val="0"/>
          <w:sz w:val="28"/>
          <w:szCs w:val="28"/>
        </w:rPr>
      </w:pPr>
      <w:r>
        <w:rPr>
          <w:rFonts w:hint="default" w:ascii="Times New Roman" w:hAnsi="Times New Roman" w:eastAsia="宋体" w:cs="Times New Roman"/>
          <w:i/>
          <w:iCs/>
          <w:kern w:val="0"/>
          <w:sz w:val="28"/>
          <w:szCs w:val="28"/>
        </w:rPr>
        <w:t>BE</w:t>
      </w:r>
      <w:r>
        <w:rPr>
          <w:rFonts w:hint="default" w:ascii="Times New Roman" w:hAnsi="Times New Roman" w:eastAsia="宋体" w:cs="Times New Roman"/>
          <w:i/>
          <w:iCs/>
          <w:kern w:val="0"/>
          <w:sz w:val="28"/>
          <w:szCs w:val="28"/>
          <w:vertAlign w:val="subscript"/>
        </w:rPr>
        <w:t>y</w:t>
      </w:r>
      <w:r>
        <w:rPr>
          <w:rFonts w:hint="default" w:ascii="Times New Roman" w:hAnsi="Times New Roman" w:eastAsia="宋体" w:cs="Times New Roman"/>
          <w:kern w:val="0"/>
          <w:sz w:val="28"/>
          <w:szCs w:val="28"/>
        </w:rPr>
        <w:t>——</w:t>
      </w:r>
      <w:r>
        <w:rPr>
          <w:rFonts w:hint="eastAsia" w:ascii="Times New Roman" w:hAnsi="Times New Roman" w:eastAsia="宋体" w:cs="Times New Roman"/>
          <w:kern w:val="0"/>
          <w:sz w:val="28"/>
          <w:szCs w:val="28"/>
          <w:lang w:val="en-US" w:eastAsia="zh-CN"/>
        </w:rPr>
        <w:t>第</w:t>
      </w:r>
      <w:r>
        <w:rPr>
          <w:rFonts w:hint="default" w:ascii="Times New Roman" w:hAnsi="Times New Roman" w:eastAsia="宋体" w:cs="Times New Roman"/>
          <w:i/>
          <w:iCs/>
          <w:kern w:val="0"/>
          <w:sz w:val="28"/>
          <w:szCs w:val="28"/>
        </w:rPr>
        <w:t>y</w:t>
      </w:r>
      <w:r>
        <w:rPr>
          <w:rFonts w:hint="default" w:ascii="Times New Roman" w:hAnsi="Times New Roman" w:eastAsia="宋体" w:cs="Times New Roman"/>
          <w:kern w:val="0"/>
          <w:sz w:val="28"/>
          <w:szCs w:val="28"/>
        </w:rPr>
        <w:t>年的基准线排放量，</w:t>
      </w:r>
      <w:r>
        <w:rPr>
          <w:rFonts w:hint="eastAsia" w:ascii="Times New Roman" w:hAnsi="Times New Roman" w:eastAsia="宋体" w:cs="Times New Roman"/>
          <w:kern w:val="0"/>
          <w:sz w:val="28"/>
          <w:szCs w:val="28"/>
          <w:lang w:val="en-US" w:eastAsia="zh-CN"/>
        </w:rPr>
        <w:t>kg</w:t>
      </w:r>
      <w:r>
        <w:rPr>
          <w:rFonts w:hint="default" w:ascii="Times New Roman" w:hAnsi="Times New Roman" w:eastAsia="宋体" w:cs="Times New Roman"/>
          <w:kern w:val="0"/>
          <w:sz w:val="28"/>
          <w:szCs w:val="28"/>
        </w:rPr>
        <w:t>CO</w:t>
      </w:r>
      <w:r>
        <w:rPr>
          <w:rFonts w:hint="default" w:ascii="Times New Roman" w:hAnsi="Times New Roman" w:eastAsia="宋体" w:cs="Times New Roman"/>
          <w:kern w:val="0"/>
          <w:sz w:val="28"/>
          <w:szCs w:val="28"/>
          <w:vertAlign w:val="subscript"/>
        </w:rPr>
        <w:t>2</w:t>
      </w:r>
      <w:r>
        <w:rPr>
          <w:rFonts w:hint="default" w:ascii="Times New Roman" w:hAnsi="Times New Roman" w:eastAsia="宋体" w:cs="Times New Roman"/>
          <w:kern w:val="0"/>
          <w:sz w:val="28"/>
          <w:szCs w:val="28"/>
        </w:rPr>
        <w:t>；</w:t>
      </w:r>
    </w:p>
    <w:p w14:paraId="1B887560">
      <w:pPr>
        <w:tabs>
          <w:tab w:val="left" w:pos="1269"/>
          <w:tab w:val="left" w:pos="1270"/>
        </w:tabs>
        <w:autoSpaceDE w:val="0"/>
        <w:autoSpaceDN w:val="0"/>
        <w:snapToGrid w:val="0"/>
        <w:spacing w:line="360" w:lineRule="auto"/>
        <w:ind w:firstLine="560" w:firstLineChars="200"/>
        <w:jc w:val="left"/>
        <w:rPr>
          <w:rFonts w:hint="default" w:ascii="Times New Roman" w:hAnsi="Times New Roman" w:eastAsia="宋体" w:cs="Times New Roman"/>
          <w:kern w:val="0"/>
          <w:sz w:val="28"/>
          <w:szCs w:val="28"/>
        </w:rPr>
      </w:pPr>
      <w:r>
        <w:rPr>
          <w:rFonts w:hint="default" w:ascii="Times New Roman" w:hAnsi="Times New Roman" w:eastAsia="宋体" w:cs="Times New Roman"/>
          <w:i/>
          <w:iCs/>
          <w:kern w:val="0"/>
          <w:sz w:val="28"/>
          <w:szCs w:val="28"/>
        </w:rPr>
        <w:t>PE</w:t>
      </w:r>
      <w:r>
        <w:rPr>
          <w:rFonts w:hint="default" w:ascii="Times New Roman" w:hAnsi="Times New Roman" w:eastAsia="宋体" w:cs="Times New Roman"/>
          <w:i/>
          <w:iCs/>
          <w:kern w:val="0"/>
          <w:sz w:val="28"/>
          <w:szCs w:val="28"/>
          <w:vertAlign w:val="subscript"/>
        </w:rPr>
        <w:t>y</w:t>
      </w:r>
      <w:r>
        <w:rPr>
          <w:rFonts w:hint="default" w:ascii="Times New Roman" w:hAnsi="Times New Roman" w:eastAsia="宋体" w:cs="Times New Roman"/>
          <w:kern w:val="0"/>
          <w:sz w:val="28"/>
          <w:szCs w:val="28"/>
        </w:rPr>
        <w:t>——</w:t>
      </w:r>
      <w:r>
        <w:rPr>
          <w:rFonts w:hint="eastAsia" w:ascii="Times New Roman" w:hAnsi="Times New Roman" w:eastAsia="宋体" w:cs="Times New Roman"/>
          <w:kern w:val="0"/>
          <w:sz w:val="28"/>
          <w:szCs w:val="28"/>
          <w:lang w:val="en-US" w:eastAsia="zh-CN"/>
        </w:rPr>
        <w:t>第</w:t>
      </w:r>
      <w:r>
        <w:rPr>
          <w:rFonts w:hint="default" w:ascii="Times New Roman" w:hAnsi="Times New Roman" w:eastAsia="宋体" w:cs="Times New Roman"/>
          <w:i/>
          <w:iCs/>
          <w:kern w:val="0"/>
          <w:sz w:val="28"/>
          <w:szCs w:val="28"/>
        </w:rPr>
        <w:t>y</w:t>
      </w:r>
      <w:r>
        <w:rPr>
          <w:rFonts w:hint="default" w:ascii="Times New Roman" w:hAnsi="Times New Roman" w:eastAsia="宋体" w:cs="Times New Roman"/>
          <w:kern w:val="0"/>
          <w:sz w:val="28"/>
          <w:szCs w:val="28"/>
        </w:rPr>
        <w:t>年的项目排放量，</w:t>
      </w:r>
      <w:r>
        <w:rPr>
          <w:rFonts w:hint="eastAsia" w:ascii="Times New Roman" w:hAnsi="Times New Roman" w:eastAsia="宋体" w:cs="Times New Roman"/>
          <w:kern w:val="0"/>
          <w:sz w:val="28"/>
          <w:szCs w:val="28"/>
          <w:lang w:val="en-US" w:eastAsia="zh-CN"/>
        </w:rPr>
        <w:t>kg</w:t>
      </w:r>
      <w:r>
        <w:rPr>
          <w:rFonts w:hint="default" w:ascii="Times New Roman" w:hAnsi="Times New Roman" w:eastAsia="宋体" w:cs="Times New Roman"/>
          <w:kern w:val="0"/>
          <w:sz w:val="28"/>
          <w:szCs w:val="28"/>
        </w:rPr>
        <w:t>CO</w:t>
      </w:r>
      <w:r>
        <w:rPr>
          <w:rFonts w:hint="default" w:ascii="Times New Roman" w:hAnsi="Times New Roman" w:eastAsia="宋体" w:cs="Times New Roman"/>
          <w:kern w:val="0"/>
          <w:sz w:val="28"/>
          <w:szCs w:val="28"/>
          <w:vertAlign w:val="subscript"/>
        </w:rPr>
        <w:t>2</w:t>
      </w:r>
      <w:r>
        <w:rPr>
          <w:rFonts w:hint="default" w:ascii="Times New Roman" w:hAnsi="Times New Roman" w:eastAsia="宋体" w:cs="Times New Roman"/>
          <w:kern w:val="0"/>
          <w:sz w:val="28"/>
          <w:szCs w:val="28"/>
        </w:rPr>
        <w:t>。</w:t>
      </w:r>
    </w:p>
    <w:bookmarkEnd w:id="27"/>
    <w:p w14:paraId="788AE6EA">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28" w:name="_Toc170134112"/>
      <w:bookmarkStart w:id="29" w:name="_Toc16345"/>
      <w:bookmarkStart w:id="30" w:name="_Toc10893"/>
      <w:r>
        <w:rPr>
          <w:rFonts w:hint="eastAsia" w:ascii="黑体" w:hAnsi="黑体" w:eastAsia="黑体" w:cs="黑体"/>
          <w:b w:val="0"/>
          <w:bCs w:val="0"/>
          <w:spacing w:val="-2"/>
          <w:w w:val="95"/>
          <w:kern w:val="0"/>
          <w:sz w:val="28"/>
          <w:szCs w:val="28"/>
          <w:lang w:val="en-US" w:eastAsia="zh-CN"/>
        </w:rPr>
        <w:t>数据来源及监测</w:t>
      </w:r>
      <w:bookmarkEnd w:id="28"/>
      <w:bookmarkEnd w:id="29"/>
      <w:bookmarkEnd w:id="30"/>
    </w:p>
    <w:p w14:paraId="03C9A3A3">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8.1 减排项目设计阶段确定的参数和数据</w:t>
      </w:r>
    </w:p>
    <w:p w14:paraId="5B068F8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项目设计阶段需确定的参数和数据的技术内容和确定方法见</w:t>
      </w:r>
      <w:r>
        <w:rPr>
          <w:rFonts w:hint="default" w:ascii="Times New Roman" w:hAnsi="Times New Roman" w:eastAsia="宋体" w:cs="Times New Roman"/>
          <w:kern w:val="0"/>
          <w:sz w:val="28"/>
          <w:szCs w:val="28"/>
          <w:lang w:val="en-US" w:eastAsia="zh-CN"/>
        </w:rPr>
        <w:t>表2</w:t>
      </w:r>
      <w:r>
        <w:rPr>
          <w:rFonts w:hint="eastAsia" w:ascii="宋体" w:hAnsi="宋体" w:eastAsia="宋体" w:cs="宋体"/>
          <w:kern w:val="0"/>
          <w:sz w:val="28"/>
          <w:szCs w:val="28"/>
          <w:lang w:val="en-US" w:eastAsia="zh-CN"/>
        </w:rPr>
        <w:t>。</w:t>
      </w:r>
    </w:p>
    <w:p w14:paraId="747025C0">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表2  </w:t>
      </w:r>
      <w:r>
        <w:rPr>
          <w:rFonts w:hint="eastAsia" w:ascii="Times New Roman" w:hAnsi="Times New Roman" w:eastAsia="宋体" w:cs="Times New Roman"/>
          <w:i/>
          <w:iCs/>
          <w:kern w:val="0"/>
          <w:sz w:val="24"/>
          <w:szCs w:val="24"/>
          <w:lang w:val="en-US" w:eastAsia="zh-CN"/>
        </w:rPr>
        <w:t>EF</w:t>
      </w:r>
      <w:r>
        <w:rPr>
          <w:rFonts w:hint="eastAsia" w:ascii="Times New Roman" w:hAnsi="Times New Roman" w:eastAsia="宋体" w:cs="Times New Roman"/>
          <w:i/>
          <w:iCs/>
          <w:kern w:val="0"/>
          <w:sz w:val="24"/>
          <w:szCs w:val="24"/>
          <w:vertAlign w:val="subscript"/>
          <w:lang w:val="en-US" w:eastAsia="zh-CN"/>
        </w:rPr>
        <w:t>grid,y</w:t>
      </w:r>
      <w:r>
        <w:rPr>
          <w:rFonts w:hint="eastAsia" w:ascii="黑体" w:hAnsi="黑体" w:eastAsia="黑体" w:cs="黑体"/>
          <w:kern w:val="0"/>
          <w:sz w:val="24"/>
          <w:szCs w:val="24"/>
        </w:rPr>
        <w:t>的技术内容和确定方法</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7"/>
        <w:gridCol w:w="6369"/>
      </w:tblGrid>
      <w:tr w14:paraId="7AE9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79FD55A8">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6369" w:type="dxa"/>
            <w:vAlign w:val="center"/>
          </w:tcPr>
          <w:p w14:paraId="43C76D0D">
            <w:pPr>
              <w:tabs>
                <w:tab w:val="left" w:pos="1269"/>
                <w:tab w:val="left" w:pos="1270"/>
              </w:tabs>
              <w:autoSpaceDE w:val="0"/>
              <w:autoSpaceDN w:val="0"/>
              <w:snapToGrid w:val="0"/>
              <w:spacing w:line="276" w:lineRule="auto"/>
              <w:rPr>
                <w:rFonts w:hint="default" w:ascii="Times New Roman" w:hAnsi="Times New Roman" w:eastAsia="宋体" w:cs="Times New Roman"/>
                <w:i/>
                <w:iCs/>
                <w:kern w:val="0"/>
                <w:sz w:val="24"/>
                <w:szCs w:val="24"/>
                <w:lang w:val="en-US"/>
              </w:rPr>
            </w:pPr>
            <w:r>
              <w:rPr>
                <w:rFonts w:hint="eastAsia" w:ascii="Times New Roman" w:hAnsi="Times New Roman" w:eastAsia="宋体" w:cs="Times New Roman"/>
                <w:i/>
                <w:iCs/>
                <w:kern w:val="0"/>
                <w:sz w:val="24"/>
                <w:szCs w:val="24"/>
                <w:lang w:val="en-US" w:eastAsia="zh-CN"/>
              </w:rPr>
              <w:t>EF</w:t>
            </w:r>
            <w:r>
              <w:rPr>
                <w:rFonts w:hint="eastAsia" w:ascii="Times New Roman" w:hAnsi="Times New Roman" w:eastAsia="宋体" w:cs="Times New Roman"/>
                <w:i/>
                <w:iCs/>
                <w:kern w:val="0"/>
                <w:sz w:val="24"/>
                <w:szCs w:val="24"/>
                <w:vertAlign w:val="subscript"/>
                <w:lang w:val="en-US" w:eastAsia="zh-CN"/>
              </w:rPr>
              <w:t>grid,y</w:t>
            </w:r>
          </w:p>
        </w:tc>
      </w:tr>
      <w:tr w14:paraId="3515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115448BB">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6369" w:type="dxa"/>
            <w:vAlign w:val="center"/>
          </w:tcPr>
          <w:p w14:paraId="3C464940">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p>
        </w:tc>
      </w:tr>
      <w:tr w14:paraId="4C9C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2B49EEBD">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6369" w:type="dxa"/>
            <w:vAlign w:val="center"/>
          </w:tcPr>
          <w:p w14:paraId="75E6C934">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第y年南京市电力二氧化碳排放因子</w:t>
            </w:r>
          </w:p>
        </w:tc>
      </w:tr>
      <w:tr w14:paraId="6F74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shd w:val="clear" w:color="auto" w:fill="auto"/>
            <w:vAlign w:val="center"/>
          </w:tcPr>
          <w:p w14:paraId="6A6ACEAE">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6369" w:type="dxa"/>
            <w:shd w:val="clear" w:color="auto" w:fill="auto"/>
            <w:vAlign w:val="center"/>
          </w:tcPr>
          <w:p w14:paraId="4F94010D">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kgCO</w:t>
            </w:r>
            <w:r>
              <w:rPr>
                <w:rFonts w:hint="eastAsia" w:ascii="Times New Roman" w:hAnsi="Times New Roman" w:eastAsia="宋体" w:cs="Times New Roman"/>
                <w:kern w:val="0"/>
                <w:sz w:val="24"/>
                <w:szCs w:val="24"/>
                <w:vertAlign w:val="subscript"/>
              </w:rPr>
              <w:t>2</w:t>
            </w:r>
            <w:r>
              <w:rPr>
                <w:rFonts w:hint="eastAsia" w:ascii="Times New Roman" w:hAnsi="Times New Roman" w:eastAsia="宋体" w:cs="Times New Roman"/>
                <w:kern w:val="0"/>
                <w:sz w:val="24"/>
                <w:szCs w:val="24"/>
              </w:rPr>
              <w:t>/kWh</w:t>
            </w:r>
          </w:p>
        </w:tc>
      </w:tr>
      <w:tr w14:paraId="0776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7" w:type="dxa"/>
            <w:vAlign w:val="center"/>
          </w:tcPr>
          <w:p w14:paraId="62F3C45C">
            <w:pPr>
              <w:tabs>
                <w:tab w:val="left" w:pos="1269"/>
                <w:tab w:val="left" w:pos="1270"/>
              </w:tabs>
              <w:autoSpaceDE w:val="0"/>
              <w:autoSpaceDN w:val="0"/>
              <w:snapToGrid w:val="0"/>
              <w:spacing w:line="276" w:lineRule="auto"/>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6369" w:type="dxa"/>
            <w:vAlign w:val="center"/>
          </w:tcPr>
          <w:p w14:paraId="26A842CC">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核算时按照以下优先级顺序选取对应排放因子：</w:t>
            </w:r>
          </w:p>
          <w:p w14:paraId="4DF00C72">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rPr>
              <w:t>江苏分时分区电碳因子</w:t>
            </w:r>
            <w:r>
              <w:rPr>
                <w:rFonts w:hint="eastAsia" w:ascii="Times New Roman" w:hAnsi="Times New Roman" w:eastAsia="宋体" w:cs="Times New Roman"/>
                <w:kern w:val="0"/>
                <w:sz w:val="24"/>
                <w:szCs w:val="24"/>
                <w:lang w:val="en-US" w:eastAsia="zh-CN"/>
              </w:rPr>
              <w:t>数据库</w:t>
            </w:r>
            <w:r>
              <w:rPr>
                <w:rFonts w:hint="eastAsia" w:ascii="Times New Roman" w:hAnsi="Times New Roman" w:eastAsia="宋体" w:cs="Times New Roman"/>
                <w:kern w:val="0"/>
                <w:sz w:val="24"/>
                <w:szCs w:val="24"/>
              </w:rPr>
              <w:t>中对应南京</w:t>
            </w:r>
            <w:r>
              <w:rPr>
                <w:rFonts w:hint="eastAsia" w:ascii="Times New Roman" w:hAnsi="Times New Roman" w:eastAsia="宋体" w:cs="Times New Roman"/>
                <w:kern w:val="0"/>
                <w:sz w:val="24"/>
                <w:szCs w:val="24"/>
                <w:lang w:val="en-US" w:eastAsia="zh-CN"/>
              </w:rPr>
              <w:t>市</w:t>
            </w:r>
            <w:r>
              <w:rPr>
                <w:rFonts w:hint="eastAsia" w:ascii="Times New Roman" w:hAnsi="Times New Roman" w:eastAsia="宋体" w:cs="Times New Roman"/>
                <w:kern w:val="0"/>
                <w:sz w:val="24"/>
                <w:szCs w:val="24"/>
              </w:rPr>
              <w:t>的</w:t>
            </w:r>
            <w:r>
              <w:rPr>
                <w:rFonts w:hint="eastAsia" w:ascii="Times New Roman" w:hAnsi="Times New Roman" w:eastAsia="宋体" w:cs="Times New Roman"/>
                <w:kern w:val="0"/>
                <w:sz w:val="24"/>
                <w:szCs w:val="24"/>
                <w:lang w:val="en-US" w:eastAsia="zh-CN"/>
              </w:rPr>
              <w:t>电力二氧化碳排放因子；</w:t>
            </w:r>
          </w:p>
          <w:p w14:paraId="6E88F469">
            <w:pPr>
              <w:tabs>
                <w:tab w:val="left" w:pos="1269"/>
                <w:tab w:val="left" w:pos="1270"/>
              </w:tabs>
              <w:autoSpaceDE w:val="0"/>
              <w:autoSpaceDN w:val="0"/>
              <w:snapToGrid w:val="0"/>
              <w:spacing w:line="276" w:lineRule="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（2）国家生态环境部发布的江苏省最新电力二氧化碳排放因子值。</w:t>
            </w:r>
          </w:p>
        </w:tc>
      </w:tr>
    </w:tbl>
    <w:p w14:paraId="49AAA0C3">
      <w:pPr>
        <w:pStyle w:val="25"/>
        <w:keepNext w:val="0"/>
        <w:keepLines w:val="0"/>
        <w:pageBreakBefore w:val="0"/>
        <w:widowControl/>
        <w:numPr>
          <w:ilvl w:val="0"/>
          <w:numId w:val="0"/>
        </w:numPr>
        <w:kinsoku/>
        <w:wordWrap/>
        <w:overflowPunct/>
        <w:topLinePunct w:val="0"/>
        <w:autoSpaceDE/>
        <w:autoSpaceDN/>
        <w:bidi w:val="0"/>
        <w:adjustRightInd/>
        <w:snapToGrid w:val="0"/>
        <w:spacing w:before="157" w:beforeLines="50" w:after="157" w:afterLines="50"/>
        <w:ind w:left="0" w:firstLine="0" w:firstLineChars="0"/>
        <w:textAlignment w:val="auto"/>
        <w:outlineLvl w:val="9"/>
        <w:rPr>
          <w:rFonts w:hint="eastAsia" w:cs="宋体"/>
          <w:b w:val="0"/>
          <w:bCs/>
          <w:spacing w:val="-5"/>
          <w:sz w:val="28"/>
          <w:szCs w:val="28"/>
          <w:lang w:val="en-US" w:eastAsia="zh-CN"/>
        </w:rPr>
      </w:pPr>
      <w:r>
        <w:rPr>
          <w:rFonts w:hint="eastAsia" w:cs="宋体"/>
          <w:b w:val="0"/>
          <w:bCs/>
          <w:spacing w:val="-5"/>
          <w:sz w:val="28"/>
          <w:szCs w:val="28"/>
          <w:lang w:val="en-US" w:eastAsia="zh-CN"/>
        </w:rPr>
        <w:t>8.2 减排项目实施阶段需要监测的参数和数据</w:t>
      </w:r>
    </w:p>
    <w:p w14:paraId="6D7EBDD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减排项目实施阶段需监测的参数的技术内容和确定方法见表3。</w:t>
      </w:r>
    </w:p>
    <w:p w14:paraId="01724F76">
      <w:pPr>
        <w:tabs>
          <w:tab w:val="left" w:pos="1269"/>
          <w:tab w:val="left" w:pos="1270"/>
        </w:tabs>
        <w:autoSpaceDE w:val="0"/>
        <w:autoSpaceDN w:val="0"/>
        <w:snapToGrid w:val="0"/>
        <w:spacing w:line="360" w:lineRule="auto"/>
        <w:jc w:val="center"/>
        <w:rPr>
          <w:rFonts w:ascii="Times New Roman" w:hAnsi="Times New Roman" w:eastAsia="宋体" w:cs="Times New Roman"/>
          <w:kern w:val="0"/>
        </w:rPr>
      </w:pPr>
      <w:r>
        <w:rPr>
          <w:rFonts w:hint="eastAsia" w:ascii="黑体" w:hAnsi="黑体" w:eastAsia="黑体" w:cs="黑体"/>
          <w:kern w:val="0"/>
          <w:sz w:val="24"/>
          <w:szCs w:val="24"/>
          <w:lang w:val="en-US" w:eastAsia="zh-CN"/>
        </w:rPr>
        <w:t xml:space="preserve">表3  </w:t>
      </w:r>
      <w:r>
        <w:rPr>
          <w:rFonts w:hint="default" w:ascii="Times New Roman" w:hAnsi="Times New Roman" w:eastAsia="宋体" w:cs="Times New Roman"/>
          <w:i/>
          <w:iCs/>
          <w:kern w:val="0"/>
          <w:sz w:val="24"/>
          <w:szCs w:val="24"/>
        </w:rPr>
        <w:t>EG</w:t>
      </w:r>
      <w:r>
        <w:rPr>
          <w:rFonts w:hint="default" w:ascii="Times New Roman" w:hAnsi="Times New Roman" w:eastAsia="宋体" w:cs="Times New Roman"/>
          <w:i/>
          <w:iCs/>
          <w:kern w:val="0"/>
          <w:sz w:val="24"/>
          <w:szCs w:val="24"/>
          <w:vertAlign w:val="subscript"/>
        </w:rPr>
        <w:t>PJ,y</w:t>
      </w:r>
      <w:r>
        <w:rPr>
          <w:rFonts w:hint="eastAsia" w:ascii="黑体" w:hAnsi="黑体" w:eastAsia="黑体" w:cs="黑体"/>
          <w:kern w:val="0"/>
          <w:sz w:val="24"/>
          <w:szCs w:val="24"/>
        </w:rPr>
        <w:t>的技术内容和确定方法</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8"/>
        <w:gridCol w:w="5888"/>
      </w:tblGrid>
      <w:tr w14:paraId="79C7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shd w:val="clear" w:color="auto" w:fill="auto"/>
            <w:vAlign w:val="center"/>
          </w:tcPr>
          <w:p w14:paraId="31E62BDD">
            <w:pPr>
              <w:tabs>
                <w:tab w:val="left" w:pos="1269"/>
                <w:tab w:val="left" w:pos="1270"/>
              </w:tabs>
              <w:autoSpaceDE w:val="0"/>
              <w:autoSpaceDN w:val="0"/>
              <w:snapToGrid w:val="0"/>
              <w:spacing w:line="276" w:lineRule="auto"/>
              <w:jc w:val="center"/>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数据/参数</w:t>
            </w:r>
            <w:r>
              <w:rPr>
                <w:rFonts w:hint="eastAsia" w:ascii="Times New Roman" w:hAnsi="Times New Roman" w:eastAsia="宋体" w:cs="Times New Roman"/>
                <w:kern w:val="0"/>
                <w:sz w:val="24"/>
                <w:szCs w:val="24"/>
                <w:lang w:val="en-US" w:eastAsia="zh-CN"/>
              </w:rPr>
              <w:t>名称</w:t>
            </w:r>
          </w:p>
        </w:tc>
        <w:tc>
          <w:tcPr>
            <w:tcW w:w="5888" w:type="dxa"/>
            <w:vAlign w:val="center"/>
          </w:tcPr>
          <w:p w14:paraId="662D7AA6">
            <w:pPr>
              <w:tabs>
                <w:tab w:val="left" w:pos="1269"/>
                <w:tab w:val="left" w:pos="1270"/>
              </w:tabs>
              <w:autoSpaceDE w:val="0"/>
              <w:autoSpaceDN w:val="0"/>
              <w:snapToGrid w:val="0"/>
              <w:spacing w:line="276" w:lineRule="auto"/>
              <w:rPr>
                <w:rFonts w:ascii="Times New Roman" w:hAnsi="Times New Roman" w:eastAsia="宋体" w:cs="Times New Roman"/>
                <w:i/>
                <w:iCs/>
                <w:kern w:val="0"/>
                <w:sz w:val="24"/>
                <w:szCs w:val="24"/>
              </w:rPr>
            </w:pPr>
            <w:r>
              <w:rPr>
                <w:rFonts w:hint="default" w:ascii="Times New Roman" w:hAnsi="Times New Roman" w:eastAsia="宋体" w:cs="Times New Roman"/>
                <w:i/>
                <w:iCs/>
                <w:kern w:val="0"/>
                <w:sz w:val="24"/>
                <w:szCs w:val="24"/>
              </w:rPr>
              <w:t>EG</w:t>
            </w:r>
            <w:r>
              <w:rPr>
                <w:rFonts w:hint="default" w:ascii="Times New Roman" w:hAnsi="Times New Roman" w:eastAsia="宋体" w:cs="Times New Roman"/>
                <w:i/>
                <w:iCs/>
                <w:kern w:val="0"/>
                <w:sz w:val="24"/>
                <w:szCs w:val="24"/>
                <w:vertAlign w:val="subscript"/>
              </w:rPr>
              <w:t>PJ,y</w:t>
            </w:r>
          </w:p>
        </w:tc>
      </w:tr>
      <w:tr w14:paraId="009DB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shd w:val="clear" w:color="auto" w:fill="auto"/>
            <w:vAlign w:val="center"/>
          </w:tcPr>
          <w:p w14:paraId="688DA68B">
            <w:pPr>
              <w:tabs>
                <w:tab w:val="left" w:pos="1269"/>
                <w:tab w:val="left" w:pos="1270"/>
              </w:tabs>
              <w:autoSpaceDE w:val="0"/>
              <w:autoSpaceDN w:val="0"/>
              <w:snapToGrid w:val="0"/>
              <w:spacing w:line="276" w:lineRule="auto"/>
              <w:jc w:val="center"/>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应用的公式编号</w:t>
            </w:r>
          </w:p>
        </w:tc>
        <w:tc>
          <w:tcPr>
            <w:tcW w:w="5888" w:type="dxa"/>
            <w:vAlign w:val="center"/>
          </w:tcPr>
          <w:p w14:paraId="1D3B2240">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lang w:val="en-US" w:eastAsia="zh-CN"/>
              </w:rPr>
              <w:t>1)</w:t>
            </w:r>
          </w:p>
        </w:tc>
      </w:tr>
      <w:tr w14:paraId="18AC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shd w:val="clear" w:color="auto" w:fill="auto"/>
            <w:vAlign w:val="center"/>
          </w:tcPr>
          <w:p w14:paraId="3EC77713">
            <w:pPr>
              <w:tabs>
                <w:tab w:val="left" w:pos="1269"/>
                <w:tab w:val="left" w:pos="1270"/>
              </w:tabs>
              <w:autoSpaceDE w:val="0"/>
              <w:autoSpaceDN w:val="0"/>
              <w:snapToGrid w:val="0"/>
              <w:spacing w:line="276" w:lineRule="auto"/>
              <w:jc w:val="center"/>
              <w:rPr>
                <w:rFonts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en-US" w:eastAsia="zh-CN"/>
              </w:rPr>
              <w:t>数据</w:t>
            </w:r>
            <w:r>
              <w:rPr>
                <w:rFonts w:hint="eastAsia" w:ascii="Times New Roman" w:hAnsi="Times New Roman" w:eastAsia="宋体" w:cs="Times New Roman"/>
                <w:kern w:val="0"/>
                <w:sz w:val="24"/>
                <w:szCs w:val="24"/>
              </w:rPr>
              <w:t>描述</w:t>
            </w:r>
          </w:p>
        </w:tc>
        <w:tc>
          <w:tcPr>
            <w:tcW w:w="5888" w:type="dxa"/>
            <w:vAlign w:val="center"/>
          </w:tcPr>
          <w:p w14:paraId="052FDFE2">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第y年的项目上网电量</w:t>
            </w:r>
          </w:p>
        </w:tc>
      </w:tr>
      <w:tr w14:paraId="3175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shd w:val="clear" w:color="auto" w:fill="auto"/>
            <w:vAlign w:val="center"/>
          </w:tcPr>
          <w:p w14:paraId="195B0F65">
            <w:pPr>
              <w:tabs>
                <w:tab w:val="left" w:pos="1269"/>
                <w:tab w:val="left" w:pos="1270"/>
              </w:tabs>
              <w:autoSpaceDE w:val="0"/>
              <w:autoSpaceDN w:val="0"/>
              <w:snapToGrid w:val="0"/>
              <w:spacing w:line="276" w:lineRule="auto"/>
              <w:jc w:val="center"/>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数据单位</w:t>
            </w:r>
          </w:p>
        </w:tc>
        <w:tc>
          <w:tcPr>
            <w:tcW w:w="5888" w:type="dxa"/>
            <w:shd w:val="clear" w:color="auto" w:fill="auto"/>
            <w:vAlign w:val="center"/>
          </w:tcPr>
          <w:p w14:paraId="6D46BBD1">
            <w:pPr>
              <w:tabs>
                <w:tab w:val="left" w:pos="1269"/>
                <w:tab w:val="left" w:pos="1270"/>
              </w:tabs>
              <w:autoSpaceDE w:val="0"/>
              <w:autoSpaceDN w:val="0"/>
              <w:snapToGrid w:val="0"/>
              <w:spacing w:line="276" w:lineRule="auto"/>
              <w:rPr>
                <w:rFonts w:hint="eastAsia"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rPr>
              <w:t>kWh</w:t>
            </w:r>
          </w:p>
        </w:tc>
      </w:tr>
      <w:tr w14:paraId="3A3D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vAlign w:val="center"/>
          </w:tcPr>
          <w:p w14:paraId="3292C37F">
            <w:pPr>
              <w:tabs>
                <w:tab w:val="left" w:pos="1269"/>
                <w:tab w:val="left" w:pos="1270"/>
              </w:tabs>
              <w:autoSpaceDE w:val="0"/>
              <w:autoSpaceDN w:val="0"/>
              <w:snapToGrid w:val="0"/>
              <w:spacing w:line="276" w:lineRule="auto"/>
              <w:jc w:val="center"/>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数据来源</w:t>
            </w:r>
          </w:p>
        </w:tc>
        <w:tc>
          <w:tcPr>
            <w:tcW w:w="5888" w:type="dxa"/>
            <w:vAlign w:val="center"/>
          </w:tcPr>
          <w:p w14:paraId="4362A412">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电能计量装置数据</w:t>
            </w:r>
          </w:p>
        </w:tc>
      </w:tr>
      <w:tr w14:paraId="301A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vAlign w:val="center"/>
          </w:tcPr>
          <w:p w14:paraId="126BFCA8">
            <w:pPr>
              <w:tabs>
                <w:tab w:val="left" w:pos="1269"/>
                <w:tab w:val="left" w:pos="1270"/>
              </w:tabs>
              <w:autoSpaceDE w:val="0"/>
              <w:autoSpaceDN w:val="0"/>
              <w:snapToGrid w:val="0"/>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监测点要求</w:t>
            </w:r>
          </w:p>
        </w:tc>
        <w:tc>
          <w:tcPr>
            <w:tcW w:w="5888" w:type="dxa"/>
            <w:vAlign w:val="center"/>
          </w:tcPr>
          <w:p w14:paraId="1413275E">
            <w:pPr>
              <w:tabs>
                <w:tab w:val="left" w:pos="463"/>
              </w:tabs>
              <w:autoSpaceDE w:val="0"/>
              <w:autoSpaceDN w:val="0"/>
              <w:snapToGrid w:val="0"/>
              <w:spacing w:line="276" w:lineRule="auto"/>
              <w:ind w:left="38"/>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采用在光伏系统并网点安装的电能计量装置</w:t>
            </w:r>
          </w:p>
        </w:tc>
      </w:tr>
      <w:tr w14:paraId="486C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vAlign w:val="center"/>
          </w:tcPr>
          <w:p w14:paraId="12590F7D">
            <w:pPr>
              <w:tabs>
                <w:tab w:val="left" w:pos="1269"/>
                <w:tab w:val="left" w:pos="1270"/>
              </w:tabs>
              <w:autoSpaceDE w:val="0"/>
              <w:autoSpaceDN w:val="0"/>
              <w:snapToGrid w:val="0"/>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监测仪表要求</w:t>
            </w:r>
          </w:p>
        </w:tc>
        <w:tc>
          <w:tcPr>
            <w:tcW w:w="5888" w:type="dxa"/>
            <w:vAlign w:val="center"/>
          </w:tcPr>
          <w:p w14:paraId="46CC8E68">
            <w:pPr>
              <w:tabs>
                <w:tab w:val="left" w:pos="463"/>
              </w:tabs>
              <w:autoSpaceDE w:val="0"/>
              <w:autoSpaceDN w:val="0"/>
              <w:snapToGrid w:val="0"/>
              <w:spacing w:line="276" w:lineRule="auto"/>
              <w:ind w:left="38"/>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电能表需符合相关的国家及行业标准，电能表准确度符合DL/T 448、DL/T 1664、JJG 596规定的准确度要求，电能表准确度等级不低于0.5级。</w:t>
            </w:r>
          </w:p>
        </w:tc>
      </w:tr>
      <w:tr w14:paraId="2F4F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vAlign w:val="center"/>
          </w:tcPr>
          <w:p w14:paraId="56B0F3AB">
            <w:pPr>
              <w:tabs>
                <w:tab w:val="left" w:pos="1269"/>
                <w:tab w:val="left" w:pos="1270"/>
              </w:tabs>
              <w:autoSpaceDE w:val="0"/>
              <w:autoSpaceDN w:val="0"/>
              <w:snapToGrid w:val="0"/>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rPr>
              <w:t>监测程序</w:t>
            </w:r>
            <w:r>
              <w:rPr>
                <w:rFonts w:hint="eastAsia" w:ascii="Times New Roman" w:hAnsi="Times New Roman" w:eastAsia="宋体" w:cs="Times New Roman"/>
                <w:kern w:val="0"/>
                <w:sz w:val="24"/>
                <w:szCs w:val="24"/>
                <w:lang w:val="en-US" w:eastAsia="zh-CN"/>
              </w:rPr>
              <w:t>和方法要求</w:t>
            </w:r>
          </w:p>
        </w:tc>
        <w:tc>
          <w:tcPr>
            <w:tcW w:w="5888" w:type="dxa"/>
            <w:vAlign w:val="center"/>
          </w:tcPr>
          <w:p w14:paraId="5D80BFE9">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妥善留存电费结算单。同时通过电能表对上网电量进行监测，且需符合8.3中的要求。</w:t>
            </w:r>
          </w:p>
        </w:tc>
      </w:tr>
      <w:tr w14:paraId="1109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vAlign w:val="center"/>
          </w:tcPr>
          <w:p w14:paraId="0C11E18E">
            <w:pPr>
              <w:tabs>
                <w:tab w:val="left" w:pos="1269"/>
                <w:tab w:val="left" w:pos="1270"/>
              </w:tabs>
              <w:autoSpaceDE w:val="0"/>
              <w:autoSpaceDN w:val="0"/>
              <w:snapToGrid w:val="0"/>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rPr>
              <w:t>监测频</w:t>
            </w:r>
            <w:r>
              <w:rPr>
                <w:rFonts w:hint="eastAsia" w:ascii="Times New Roman" w:hAnsi="Times New Roman" w:eastAsia="宋体" w:cs="Times New Roman"/>
                <w:kern w:val="0"/>
                <w:sz w:val="24"/>
                <w:szCs w:val="24"/>
                <w:lang w:val="en-US" w:eastAsia="zh-CN"/>
              </w:rPr>
              <w:t>次与记录要求</w:t>
            </w:r>
          </w:p>
        </w:tc>
        <w:tc>
          <w:tcPr>
            <w:tcW w:w="5888" w:type="dxa"/>
            <w:vAlign w:val="center"/>
          </w:tcPr>
          <w:p w14:paraId="2506CD91">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连续监测，每月记录一次</w:t>
            </w:r>
          </w:p>
        </w:tc>
      </w:tr>
      <w:tr w14:paraId="0730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2408" w:type="dxa"/>
            <w:vAlign w:val="center"/>
          </w:tcPr>
          <w:p w14:paraId="22DF980F">
            <w:pPr>
              <w:tabs>
                <w:tab w:val="left" w:pos="1269"/>
                <w:tab w:val="left" w:pos="1270"/>
              </w:tabs>
              <w:autoSpaceDE w:val="0"/>
              <w:autoSpaceDN w:val="0"/>
              <w:snapToGrid w:val="0"/>
              <w:spacing w:line="276" w:lineRule="auto"/>
              <w:jc w:val="center"/>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rPr>
              <w:t>质量保证/质量控制程序要求</w:t>
            </w:r>
          </w:p>
        </w:tc>
        <w:tc>
          <w:tcPr>
            <w:tcW w:w="5888" w:type="dxa"/>
            <w:vAlign w:val="center"/>
          </w:tcPr>
          <w:p w14:paraId="76D93E1B">
            <w:pPr>
              <w:tabs>
                <w:tab w:val="left" w:pos="463"/>
              </w:tabs>
              <w:autoSpaceDE w:val="0"/>
              <w:autoSpaceDN w:val="0"/>
              <w:snapToGrid w:val="0"/>
              <w:spacing w:line="276" w:lineRule="auto"/>
              <w:ind w:left="38"/>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定期对电能表进行校准维护。电费结算凭证或项目并网的电力公司出具的</w:t>
            </w:r>
            <w:r>
              <w:rPr>
                <w:rFonts w:hint="eastAsia" w:ascii="Times New Roman" w:hAnsi="Times New Roman" w:eastAsia="宋体" w:cs="Times New Roman"/>
                <w:kern w:val="0"/>
                <w:sz w:val="24"/>
                <w:szCs w:val="24"/>
                <w:lang w:eastAsia="zh-CN"/>
              </w:rPr>
              <w:t>上网电量</w:t>
            </w:r>
            <w:r>
              <w:rPr>
                <w:rFonts w:hint="eastAsia" w:ascii="Times New Roman" w:hAnsi="Times New Roman" w:eastAsia="宋体" w:cs="Times New Roman"/>
                <w:kern w:val="0"/>
                <w:sz w:val="24"/>
                <w:szCs w:val="24"/>
              </w:rPr>
              <w:t>证明文件与电能表发电读数记录交叉核对</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rPr>
              <w:t>以确保数据记录的准确性和完整性。</w:t>
            </w:r>
          </w:p>
        </w:tc>
      </w:tr>
      <w:tr w14:paraId="60BA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8" w:type="dxa"/>
            <w:vAlign w:val="center"/>
          </w:tcPr>
          <w:p w14:paraId="4C53A443">
            <w:pPr>
              <w:tabs>
                <w:tab w:val="left" w:pos="1269"/>
                <w:tab w:val="left" w:pos="1270"/>
              </w:tabs>
              <w:autoSpaceDE w:val="0"/>
              <w:autoSpaceDN w:val="0"/>
              <w:snapToGrid w:val="0"/>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数据用途</w:t>
            </w:r>
          </w:p>
        </w:tc>
        <w:tc>
          <w:tcPr>
            <w:tcW w:w="5888" w:type="dxa"/>
            <w:vAlign w:val="center"/>
          </w:tcPr>
          <w:p w14:paraId="3FD16FCA">
            <w:pPr>
              <w:tabs>
                <w:tab w:val="left" w:pos="463"/>
              </w:tabs>
              <w:autoSpaceDE w:val="0"/>
              <w:autoSpaceDN w:val="0"/>
              <w:snapToGrid w:val="0"/>
              <w:spacing w:line="276" w:lineRule="auto"/>
              <w:ind w:left="38"/>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rPr>
              <w:t>用于计算项目</w:t>
            </w:r>
            <w:r>
              <w:rPr>
                <w:rFonts w:hint="eastAsia" w:ascii="Times New Roman" w:hAnsi="Times New Roman" w:eastAsia="宋体" w:cs="Times New Roman"/>
                <w:kern w:val="0"/>
                <w:sz w:val="24"/>
                <w:szCs w:val="24"/>
                <w:lang w:eastAsia="zh-CN"/>
              </w:rPr>
              <w:t>上网电量</w:t>
            </w:r>
            <w:r>
              <w:rPr>
                <w:rFonts w:hint="default" w:ascii="Times New Roman" w:hAnsi="Times New Roman" w:eastAsia="宋体" w:cs="Times New Roman"/>
                <w:i/>
                <w:iCs/>
                <w:kern w:val="0"/>
                <w:sz w:val="24"/>
                <w:szCs w:val="24"/>
              </w:rPr>
              <w:t>EG</w:t>
            </w:r>
            <w:r>
              <w:rPr>
                <w:rFonts w:hint="default" w:ascii="Times New Roman" w:hAnsi="Times New Roman" w:eastAsia="宋体" w:cs="Times New Roman"/>
                <w:i/>
                <w:iCs/>
                <w:kern w:val="0"/>
                <w:sz w:val="24"/>
                <w:szCs w:val="24"/>
                <w:vertAlign w:val="subscript"/>
              </w:rPr>
              <w:t>PJ,y</w:t>
            </w:r>
            <w:r>
              <w:rPr>
                <w:rFonts w:hint="eastAsia" w:ascii="Times New Roman" w:hAnsi="Times New Roman" w:eastAsia="宋体" w:cs="Times New Roman"/>
                <w:kern w:val="0"/>
                <w:sz w:val="24"/>
                <w:szCs w:val="24"/>
                <w:lang w:eastAsia="zh-CN"/>
              </w:rPr>
              <w:t>。</w:t>
            </w:r>
          </w:p>
        </w:tc>
      </w:tr>
    </w:tbl>
    <w:p w14:paraId="0C8D9887">
      <w:pPr>
        <w:keepNext w:val="0"/>
        <w:keepLines w:val="0"/>
        <w:pageBreakBefore w:val="0"/>
        <w:widowControl w:val="0"/>
        <w:numPr>
          <w:ilvl w:val="-1"/>
          <w:numId w:val="0"/>
        </w:numPr>
        <w:tabs>
          <w:tab w:val="left" w:pos="847"/>
          <w:tab w:val="left" w:pos="848"/>
        </w:tabs>
        <w:kinsoku/>
        <w:wordWrap/>
        <w:overflowPunct/>
        <w:topLinePunct w:val="0"/>
        <w:autoSpaceDE w:val="0"/>
        <w:autoSpaceDN w:val="0"/>
        <w:bidi w:val="0"/>
        <w:adjustRightInd/>
        <w:snapToGrid w:val="0"/>
        <w:spacing w:before="312" w:beforeLines="100" w:after="312" w:afterLines="100"/>
        <w:ind w:left="0" w:firstLine="0"/>
        <w:jc w:val="left"/>
        <w:textAlignment w:val="auto"/>
        <w:outlineLvl w:val="9"/>
        <w:rPr>
          <w:rFonts w:hint="eastAsia" w:ascii="黑体" w:hAnsi="黑体" w:eastAsia="黑体" w:cs="黑体"/>
          <w:b w:val="0"/>
          <w:bCs w:val="0"/>
          <w:spacing w:val="-2"/>
          <w:w w:val="95"/>
          <w:kern w:val="0"/>
          <w:sz w:val="28"/>
          <w:szCs w:val="28"/>
          <w:highlight w:val="none"/>
          <w:lang w:val="en-US" w:eastAsia="zh-CN"/>
        </w:rPr>
      </w:pPr>
      <w:r>
        <w:rPr>
          <w:rFonts w:hint="eastAsia" w:ascii="黑体" w:hAnsi="黑体" w:eastAsia="黑体" w:cs="黑体"/>
          <w:b w:val="0"/>
          <w:bCs w:val="0"/>
          <w:spacing w:val="-2"/>
          <w:w w:val="95"/>
          <w:kern w:val="0"/>
          <w:sz w:val="28"/>
          <w:szCs w:val="28"/>
          <w:highlight w:val="none"/>
          <w:lang w:val="en-US" w:eastAsia="zh-CN"/>
        </w:rPr>
        <w:t>8.3 减排项目实施及监测的数据管理要求</w:t>
      </w:r>
    </w:p>
    <w:p w14:paraId="6DDB0F1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（1）项目权属主体建立完备项目台账，妥善保管项目备案材料、并网验收批复、电能计量设备检定证书、月度</w:t>
      </w:r>
      <w:r>
        <w:rPr>
          <w:rFonts w:hint="eastAsia" w:ascii="Times New Roman" w:hAnsi="Times New Roman" w:eastAsia="宋体" w:cs="Times New Roman"/>
          <w:kern w:val="0"/>
          <w:sz w:val="28"/>
          <w:szCs w:val="28"/>
          <w:lang w:val="en-US" w:eastAsia="zh-CN"/>
        </w:rPr>
        <w:t>上网电量</w:t>
      </w:r>
      <w:r>
        <w:rPr>
          <w:rFonts w:hint="default" w:ascii="Times New Roman" w:hAnsi="Times New Roman" w:eastAsia="宋体" w:cs="Times New Roman"/>
          <w:kern w:val="0"/>
          <w:sz w:val="28"/>
          <w:szCs w:val="28"/>
          <w:lang w:val="en-US" w:eastAsia="zh-CN"/>
        </w:rPr>
        <w:t>抄表记录、供电企业结算单据、减排核算工作底稿等佐证材料，全部资料存档期限不少于10年，用于后续审定核查工作。</w:t>
      </w:r>
    </w:p>
    <w:p w14:paraId="7820EA17">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（2）</w:t>
      </w:r>
      <w:r>
        <w:rPr>
          <w:rFonts w:hint="eastAsia" w:ascii="Times New Roman" w:hAnsi="Times New Roman" w:eastAsia="宋体" w:cs="Times New Roman"/>
          <w:kern w:val="0"/>
          <w:sz w:val="28"/>
          <w:szCs w:val="28"/>
          <w:lang w:val="en-US" w:eastAsia="zh-CN"/>
        </w:rPr>
        <w:t>分布式</w:t>
      </w:r>
      <w:r>
        <w:rPr>
          <w:rFonts w:hint="default" w:ascii="Times New Roman" w:hAnsi="Times New Roman" w:eastAsia="宋体" w:cs="Times New Roman"/>
          <w:kern w:val="0"/>
          <w:sz w:val="28"/>
          <w:szCs w:val="28"/>
          <w:lang w:val="en-US" w:eastAsia="zh-CN"/>
        </w:rPr>
        <w:t>光伏项目</w:t>
      </w:r>
      <w:r>
        <w:rPr>
          <w:rFonts w:hint="eastAsia" w:ascii="Times New Roman" w:hAnsi="Times New Roman" w:eastAsia="宋体" w:cs="Times New Roman"/>
          <w:kern w:val="0"/>
          <w:sz w:val="28"/>
          <w:szCs w:val="28"/>
          <w:lang w:val="en-US" w:eastAsia="zh-CN"/>
        </w:rPr>
        <w:t>上网电量</w:t>
      </w:r>
      <w:r>
        <w:rPr>
          <w:rFonts w:hint="default" w:ascii="Times New Roman" w:hAnsi="Times New Roman" w:eastAsia="宋体" w:cs="Times New Roman"/>
          <w:kern w:val="0"/>
          <w:sz w:val="28"/>
          <w:szCs w:val="28"/>
          <w:lang w:val="en-US" w:eastAsia="zh-CN"/>
        </w:rPr>
        <w:t>及时接入南京市碳普惠</w:t>
      </w:r>
      <w:r>
        <w:rPr>
          <w:rFonts w:hint="eastAsia" w:ascii="Times New Roman" w:hAnsi="Times New Roman" w:eastAsia="宋体" w:cs="Times New Roman"/>
          <w:kern w:val="0"/>
          <w:sz w:val="28"/>
          <w:szCs w:val="28"/>
          <w:lang w:val="en-US" w:eastAsia="zh-CN"/>
        </w:rPr>
        <w:t>综合管理</w:t>
      </w:r>
      <w:r>
        <w:rPr>
          <w:rFonts w:hint="default" w:ascii="Times New Roman" w:hAnsi="Times New Roman" w:eastAsia="宋体" w:cs="Times New Roman"/>
          <w:kern w:val="0"/>
          <w:sz w:val="28"/>
          <w:szCs w:val="28"/>
          <w:lang w:val="en-US" w:eastAsia="zh-CN"/>
        </w:rPr>
        <w:t>平台完成数据存证；人工上报的数据由项目权属人对资料真实有效性负责。平台依托台账甄别有效核算电量，剔除已申领其他环境权益部分的</w:t>
      </w:r>
      <w:r>
        <w:rPr>
          <w:rFonts w:hint="eastAsia" w:ascii="Times New Roman" w:hAnsi="Times New Roman" w:eastAsia="宋体" w:cs="Times New Roman"/>
          <w:kern w:val="0"/>
          <w:sz w:val="28"/>
          <w:szCs w:val="28"/>
          <w:lang w:val="en-US" w:eastAsia="zh-CN"/>
        </w:rPr>
        <w:t>上网电量</w:t>
      </w:r>
      <w:r>
        <w:rPr>
          <w:rFonts w:hint="default" w:ascii="Times New Roman" w:hAnsi="Times New Roman" w:eastAsia="宋体" w:cs="Times New Roman"/>
          <w:kern w:val="0"/>
          <w:sz w:val="28"/>
          <w:szCs w:val="28"/>
          <w:lang w:val="en-US" w:eastAsia="zh-CN"/>
        </w:rPr>
        <w:t>。</w:t>
      </w:r>
    </w:p>
    <w:p w14:paraId="2E7F74BF">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3）核算周期内发生电表故障、数据缺失等异常情形时，项目业主须完整留存故障起止时间、检修工单、设备更换凭证等全部佐证资料；出现数据缺失的时段，对应电量统一按0计取，同步编制异常情况处置分析文档归档备查；全过程严禁篡改、虚构电量数据。</w:t>
      </w:r>
    </w:p>
    <w:p w14:paraId="386E57E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eastAsia" w:ascii="宋体" w:hAnsi="宋体" w:eastAsia="宋体" w:cs="宋体"/>
          <w:kern w:val="0"/>
          <w:sz w:val="28"/>
          <w:szCs w:val="28"/>
          <w:lang w:val="en-US" w:eastAsia="zh-CN"/>
        </w:rPr>
      </w:pPr>
      <w:r>
        <w:rPr>
          <w:rFonts w:hint="default" w:ascii="Times New Roman" w:hAnsi="Times New Roman" w:eastAsia="宋体" w:cs="Times New Roman"/>
          <w:kern w:val="0"/>
          <w:sz w:val="28"/>
          <w:szCs w:val="28"/>
          <w:lang w:val="en-US" w:eastAsia="zh-CN"/>
        </w:rPr>
        <w:t>（4）第三方审定或者核</w:t>
      </w:r>
      <w:r>
        <w:rPr>
          <w:rFonts w:hint="eastAsia" w:ascii="宋体" w:hAnsi="宋体" w:eastAsia="宋体" w:cs="宋体"/>
          <w:kern w:val="0"/>
          <w:sz w:val="28"/>
          <w:szCs w:val="28"/>
          <w:lang w:val="en-US" w:eastAsia="zh-CN"/>
        </w:rPr>
        <w:t>查机构开展现场核验期间，项目建设单位应当积极配合，及时提供台账原件，保障核查工作顺利开展。</w:t>
      </w:r>
    </w:p>
    <w:p w14:paraId="6B909B28">
      <w:pPr>
        <w:keepNext w:val="0"/>
        <w:keepLines w:val="0"/>
        <w:pageBreakBefore w:val="0"/>
        <w:widowControl w:val="0"/>
        <w:numPr>
          <w:ilvl w:val="1"/>
          <w:numId w:val="2"/>
        </w:numPr>
        <w:tabs>
          <w:tab w:val="left" w:pos="847"/>
          <w:tab w:val="left" w:pos="848"/>
        </w:tabs>
        <w:kinsoku/>
        <w:wordWrap/>
        <w:overflowPunct/>
        <w:topLinePunct w:val="0"/>
        <w:autoSpaceDE w:val="0"/>
        <w:autoSpaceDN w:val="0"/>
        <w:bidi w:val="0"/>
        <w:adjustRightInd/>
        <w:snapToGrid w:val="0"/>
        <w:spacing w:before="312" w:beforeLines="100" w:after="312" w:afterLines="100"/>
        <w:ind w:left="283" w:hanging="283"/>
        <w:jc w:val="left"/>
        <w:textAlignment w:val="auto"/>
        <w:outlineLvl w:val="0"/>
        <w:rPr>
          <w:rFonts w:hint="eastAsia" w:ascii="黑体" w:hAnsi="黑体" w:eastAsia="黑体" w:cs="黑体"/>
          <w:b w:val="0"/>
          <w:bCs w:val="0"/>
          <w:spacing w:val="-2"/>
          <w:w w:val="95"/>
          <w:kern w:val="0"/>
          <w:sz w:val="28"/>
          <w:szCs w:val="28"/>
          <w:lang w:val="en-US" w:eastAsia="zh-CN"/>
        </w:rPr>
      </w:pPr>
      <w:bookmarkStart w:id="31" w:name="_Toc3188"/>
      <w:bookmarkStart w:id="32" w:name="_Toc16403"/>
      <w:r>
        <w:rPr>
          <w:rFonts w:hint="eastAsia" w:ascii="黑体" w:hAnsi="黑体" w:eastAsia="黑体" w:cs="黑体"/>
          <w:b w:val="0"/>
          <w:bCs w:val="0"/>
          <w:spacing w:val="-2"/>
          <w:w w:val="95"/>
          <w:kern w:val="0"/>
          <w:sz w:val="28"/>
          <w:szCs w:val="28"/>
          <w:lang w:val="en-US" w:eastAsia="zh-CN"/>
        </w:rPr>
        <w:t>项目审定与核查要点</w:t>
      </w:r>
      <w:bookmarkEnd w:id="31"/>
      <w:bookmarkEnd w:id="32"/>
    </w:p>
    <w:p w14:paraId="43BA39DA">
      <w:pPr>
        <w:keepNext w:val="0"/>
        <w:keepLines w:val="0"/>
        <w:pageBreakBefore w:val="0"/>
        <w:widowControl w:val="0"/>
        <w:numPr>
          <w:ilvl w:val="-1"/>
          <w:numId w:val="0"/>
        </w:numPr>
        <w:tabs>
          <w:tab w:val="left" w:pos="847"/>
          <w:tab w:val="left" w:pos="848"/>
        </w:tabs>
        <w:kinsoku/>
        <w:wordWrap/>
        <w:overflowPunct/>
        <w:topLinePunct w:val="0"/>
        <w:autoSpaceDE w:val="0"/>
        <w:autoSpaceDN w:val="0"/>
        <w:bidi w:val="0"/>
        <w:adjustRightInd/>
        <w:snapToGrid w:val="0"/>
        <w:spacing w:before="312" w:beforeLines="100" w:after="312" w:afterLines="100"/>
        <w:ind w:left="0" w:firstLine="0"/>
        <w:jc w:val="left"/>
        <w:textAlignment w:val="auto"/>
        <w:outlineLvl w:val="9"/>
        <w:rPr>
          <w:rFonts w:hint="default" w:ascii="黑体" w:hAnsi="黑体" w:eastAsia="黑体" w:cs="黑体"/>
          <w:b w:val="0"/>
          <w:bCs w:val="0"/>
          <w:spacing w:val="-2"/>
          <w:w w:val="95"/>
          <w:kern w:val="0"/>
          <w:sz w:val="28"/>
          <w:szCs w:val="28"/>
          <w:highlight w:val="none"/>
          <w:lang w:val="en-US" w:eastAsia="zh-CN"/>
        </w:rPr>
      </w:pPr>
      <w:r>
        <w:rPr>
          <w:rFonts w:hint="default" w:ascii="黑体" w:hAnsi="黑体" w:eastAsia="黑体" w:cs="黑体"/>
          <w:b w:val="0"/>
          <w:bCs w:val="0"/>
          <w:spacing w:val="-2"/>
          <w:w w:val="95"/>
          <w:kern w:val="0"/>
          <w:sz w:val="28"/>
          <w:szCs w:val="28"/>
          <w:highlight w:val="none"/>
          <w:lang w:val="en-US" w:eastAsia="zh-CN"/>
        </w:rPr>
        <w:t>9.1 项目符合性核查</w:t>
      </w:r>
    </w:p>
    <w:p w14:paraId="5EAEB469">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（1）核实项目地理位置、产权归属，确认项目坐落于南京市行政</w:t>
      </w:r>
      <w:r>
        <w:rPr>
          <w:rFonts w:hint="eastAsia" w:ascii="Times New Roman" w:hAnsi="Times New Roman" w:eastAsia="宋体" w:cs="Times New Roman"/>
          <w:kern w:val="0"/>
          <w:sz w:val="28"/>
          <w:szCs w:val="28"/>
          <w:lang w:val="en-US" w:eastAsia="zh-CN"/>
        </w:rPr>
        <w:t>区域</w:t>
      </w:r>
      <w:r>
        <w:rPr>
          <w:rFonts w:hint="default" w:ascii="Times New Roman" w:hAnsi="Times New Roman" w:eastAsia="宋体" w:cs="Times New Roman"/>
          <w:kern w:val="0"/>
          <w:sz w:val="28"/>
          <w:szCs w:val="28"/>
          <w:lang w:val="en-US" w:eastAsia="zh-CN"/>
        </w:rPr>
        <w:t>内，项目申报主体为机关、企事业单位、社会团体、居民家庭，和平台注册主体保持一致。</w:t>
      </w:r>
    </w:p>
    <w:p w14:paraId="57F7977F">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default" w:ascii="Times New Roman" w:hAnsi="Times New Roman" w:eastAsia="宋体" w:cs="Times New Roman"/>
          <w:kern w:val="0"/>
          <w:sz w:val="28"/>
          <w:szCs w:val="28"/>
          <w:lang w:val="en-US" w:eastAsia="zh-CN"/>
        </w:rPr>
        <w:t>（2）严格核对装机规模，单体装机容量、打包项目总装机规模符合本方法学规定，审查项目备案文件</w:t>
      </w:r>
      <w:r>
        <w:rPr>
          <w:rFonts w:hint="eastAsia" w:ascii="Times New Roman" w:hAnsi="Times New Roman" w:eastAsia="宋体" w:cs="Times New Roman"/>
          <w:kern w:val="0"/>
          <w:sz w:val="28"/>
          <w:szCs w:val="28"/>
          <w:lang w:val="en-US" w:eastAsia="zh-CN"/>
        </w:rPr>
        <w:t>和</w:t>
      </w:r>
      <w:r>
        <w:rPr>
          <w:rFonts w:hint="default" w:ascii="Times New Roman" w:hAnsi="Times New Roman" w:eastAsia="宋体" w:cs="Times New Roman"/>
          <w:kern w:val="0"/>
          <w:sz w:val="28"/>
          <w:szCs w:val="28"/>
          <w:lang w:val="en-US" w:eastAsia="zh-CN"/>
        </w:rPr>
        <w:t>并网验收材料，确认项目建设手续合规完整。</w:t>
      </w:r>
    </w:p>
    <w:p w14:paraId="0337A09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default" w:ascii="Times New Roman" w:hAnsi="Times New Roman" w:eastAsia="宋体" w:cs="Times New Roman"/>
          <w:kern w:val="0"/>
          <w:sz w:val="28"/>
          <w:szCs w:val="28"/>
          <w:lang w:val="en-US" w:eastAsia="zh-CN"/>
        </w:rPr>
        <w:t>（3）开展环境权益核验，查阅相</w:t>
      </w:r>
      <w:r>
        <w:rPr>
          <w:rFonts w:hint="default" w:ascii="宋体" w:hAnsi="宋体" w:eastAsia="宋体" w:cs="宋体"/>
          <w:kern w:val="0"/>
          <w:sz w:val="28"/>
          <w:szCs w:val="28"/>
          <w:lang w:val="en-US" w:eastAsia="zh-CN"/>
        </w:rPr>
        <w:t>关证明材料，</w:t>
      </w:r>
      <w:r>
        <w:rPr>
          <w:rFonts w:hint="eastAsia" w:ascii="宋体" w:hAnsi="宋体" w:eastAsia="宋体" w:cs="宋体"/>
          <w:kern w:val="0"/>
          <w:sz w:val="28"/>
          <w:szCs w:val="28"/>
          <w:lang w:val="en-US" w:eastAsia="zh-CN"/>
        </w:rPr>
        <w:t>剔除</w:t>
      </w:r>
      <w:r>
        <w:rPr>
          <w:rFonts w:hint="default" w:ascii="宋体" w:hAnsi="宋体" w:eastAsia="宋体" w:cs="宋体"/>
          <w:kern w:val="0"/>
          <w:sz w:val="28"/>
          <w:szCs w:val="28"/>
          <w:lang w:val="en-US" w:eastAsia="zh-CN"/>
        </w:rPr>
        <w:t>已取得其他低碳权益的</w:t>
      </w:r>
      <w:r>
        <w:rPr>
          <w:rFonts w:hint="eastAsia" w:ascii="宋体" w:hAnsi="宋体" w:eastAsia="宋体" w:cs="宋体"/>
          <w:kern w:val="0"/>
          <w:sz w:val="28"/>
          <w:szCs w:val="28"/>
          <w:lang w:val="en-US" w:eastAsia="zh-CN"/>
        </w:rPr>
        <w:t>上网电量</w:t>
      </w:r>
      <w:r>
        <w:rPr>
          <w:rFonts w:hint="default" w:ascii="宋体" w:hAnsi="宋体" w:eastAsia="宋体" w:cs="宋体"/>
          <w:kern w:val="0"/>
          <w:sz w:val="28"/>
          <w:szCs w:val="28"/>
          <w:lang w:val="en-US" w:eastAsia="zh-CN"/>
        </w:rPr>
        <w:t>，确认申报电量符合权益管理相关要求。</w:t>
      </w:r>
    </w:p>
    <w:p w14:paraId="1E12B818">
      <w:pPr>
        <w:keepNext w:val="0"/>
        <w:keepLines w:val="0"/>
        <w:pageBreakBefore w:val="0"/>
        <w:widowControl w:val="0"/>
        <w:numPr>
          <w:ilvl w:val="-1"/>
          <w:numId w:val="0"/>
        </w:numPr>
        <w:tabs>
          <w:tab w:val="left" w:pos="847"/>
          <w:tab w:val="left" w:pos="848"/>
        </w:tabs>
        <w:kinsoku/>
        <w:wordWrap/>
        <w:overflowPunct/>
        <w:topLinePunct w:val="0"/>
        <w:autoSpaceDE w:val="0"/>
        <w:autoSpaceDN w:val="0"/>
        <w:bidi w:val="0"/>
        <w:adjustRightInd/>
        <w:snapToGrid w:val="0"/>
        <w:spacing w:before="312" w:beforeLines="100" w:after="312" w:afterLines="100"/>
        <w:ind w:left="0" w:firstLine="0"/>
        <w:jc w:val="left"/>
        <w:textAlignment w:val="auto"/>
        <w:outlineLvl w:val="9"/>
        <w:rPr>
          <w:rFonts w:hint="default" w:ascii="黑体" w:hAnsi="黑体" w:eastAsia="黑体" w:cs="黑体"/>
          <w:b w:val="0"/>
          <w:bCs w:val="0"/>
          <w:spacing w:val="-2"/>
          <w:w w:val="95"/>
          <w:kern w:val="0"/>
          <w:sz w:val="28"/>
          <w:szCs w:val="28"/>
          <w:highlight w:val="none"/>
          <w:lang w:val="en-US" w:eastAsia="zh-CN"/>
        </w:rPr>
      </w:pPr>
      <w:r>
        <w:rPr>
          <w:rFonts w:hint="default" w:ascii="黑体" w:hAnsi="黑体" w:eastAsia="黑体" w:cs="黑体"/>
          <w:b w:val="0"/>
          <w:bCs w:val="0"/>
          <w:spacing w:val="-2"/>
          <w:w w:val="95"/>
          <w:kern w:val="0"/>
          <w:sz w:val="28"/>
          <w:szCs w:val="28"/>
          <w:highlight w:val="none"/>
          <w:lang w:val="en-US" w:eastAsia="zh-CN"/>
        </w:rPr>
        <w:t>9.2 核算边界核查</w:t>
      </w:r>
    </w:p>
    <w:p w14:paraId="3ED6E3A1">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（1）</w:t>
      </w:r>
      <w:r>
        <w:rPr>
          <w:rFonts w:hint="default" w:ascii="Times New Roman" w:hAnsi="Times New Roman" w:eastAsia="宋体" w:cs="Times New Roman"/>
          <w:kern w:val="0"/>
          <w:sz w:val="28"/>
          <w:szCs w:val="28"/>
          <w:lang w:val="en-US" w:eastAsia="zh-CN"/>
        </w:rPr>
        <w:t>复核项目核算范围，仅将本项目配套光伏组件、逆变器、关口计量设备纳入核算范围，不得并入其他光伏发电项目</w:t>
      </w:r>
      <w:r>
        <w:rPr>
          <w:rFonts w:hint="eastAsia" w:ascii="Times New Roman" w:hAnsi="Times New Roman" w:eastAsia="宋体" w:cs="Times New Roman"/>
          <w:kern w:val="0"/>
          <w:sz w:val="28"/>
          <w:szCs w:val="28"/>
          <w:lang w:val="en-US" w:eastAsia="zh-CN"/>
        </w:rPr>
        <w:t>的上网电量</w:t>
      </w:r>
      <w:r>
        <w:rPr>
          <w:rFonts w:hint="default" w:ascii="Times New Roman" w:hAnsi="Times New Roman" w:eastAsia="宋体" w:cs="Times New Roman"/>
          <w:kern w:val="0"/>
          <w:sz w:val="28"/>
          <w:szCs w:val="28"/>
          <w:lang w:val="en-US" w:eastAsia="zh-CN"/>
        </w:rPr>
        <w:t>。</w:t>
      </w:r>
    </w:p>
    <w:p w14:paraId="0B1A571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（2）</w:t>
      </w:r>
      <w:r>
        <w:rPr>
          <w:rFonts w:hint="default" w:ascii="Times New Roman" w:hAnsi="Times New Roman" w:eastAsia="宋体" w:cs="Times New Roman"/>
          <w:kern w:val="0"/>
          <w:sz w:val="28"/>
          <w:szCs w:val="28"/>
          <w:lang w:val="en-US" w:eastAsia="zh-CN"/>
        </w:rPr>
        <w:t>核查项目计入期，项目减排起始时间以正式并网发电日期为准，计入期时长不得超过10年，核算周期严格按照自然年执行。</w:t>
      </w:r>
    </w:p>
    <w:p w14:paraId="55E75BDA">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Times New Roman" w:hAnsi="Times New Roman" w:eastAsia="宋体" w:cs="Times New Roman"/>
          <w:kern w:val="0"/>
          <w:sz w:val="28"/>
          <w:szCs w:val="28"/>
          <w:lang w:val="en-US" w:eastAsia="zh-CN"/>
        </w:rPr>
        <w:t>（3）</w:t>
      </w:r>
      <w:r>
        <w:rPr>
          <w:rFonts w:hint="default" w:ascii="Times New Roman" w:hAnsi="Times New Roman" w:eastAsia="宋体" w:cs="Times New Roman"/>
          <w:kern w:val="0"/>
          <w:sz w:val="28"/>
          <w:szCs w:val="28"/>
          <w:lang w:val="en-US" w:eastAsia="zh-CN"/>
        </w:rPr>
        <w:t>确认核算范</w:t>
      </w:r>
      <w:r>
        <w:rPr>
          <w:rFonts w:hint="default" w:ascii="宋体" w:hAnsi="宋体" w:eastAsia="宋体" w:cs="宋体"/>
          <w:kern w:val="0"/>
          <w:sz w:val="28"/>
          <w:szCs w:val="28"/>
          <w:lang w:val="en-US" w:eastAsia="zh-CN"/>
        </w:rPr>
        <w:t>围仅包含光伏发电替代电网发电产生的减排量，不混入其他节能改造项目产生的减排成果。</w:t>
      </w:r>
    </w:p>
    <w:p w14:paraId="07E4A348">
      <w:pPr>
        <w:keepNext w:val="0"/>
        <w:keepLines w:val="0"/>
        <w:pageBreakBefore w:val="0"/>
        <w:widowControl w:val="0"/>
        <w:numPr>
          <w:ilvl w:val="-1"/>
          <w:numId w:val="0"/>
        </w:numPr>
        <w:tabs>
          <w:tab w:val="left" w:pos="847"/>
          <w:tab w:val="left" w:pos="848"/>
        </w:tabs>
        <w:kinsoku/>
        <w:wordWrap/>
        <w:overflowPunct/>
        <w:topLinePunct w:val="0"/>
        <w:autoSpaceDE w:val="0"/>
        <w:autoSpaceDN w:val="0"/>
        <w:bidi w:val="0"/>
        <w:adjustRightInd/>
        <w:snapToGrid w:val="0"/>
        <w:spacing w:before="312" w:beforeLines="100" w:after="312" w:afterLines="100"/>
        <w:ind w:left="0" w:firstLine="0"/>
        <w:jc w:val="left"/>
        <w:textAlignment w:val="auto"/>
        <w:outlineLvl w:val="9"/>
        <w:rPr>
          <w:rFonts w:hint="default" w:ascii="黑体" w:hAnsi="黑体" w:eastAsia="黑体" w:cs="黑体"/>
          <w:b w:val="0"/>
          <w:bCs w:val="0"/>
          <w:spacing w:val="-2"/>
          <w:w w:val="95"/>
          <w:kern w:val="0"/>
          <w:sz w:val="28"/>
          <w:szCs w:val="28"/>
          <w:highlight w:val="none"/>
          <w:lang w:val="en-US" w:eastAsia="zh-CN"/>
        </w:rPr>
      </w:pPr>
      <w:r>
        <w:rPr>
          <w:rFonts w:hint="default" w:ascii="黑体" w:hAnsi="黑体" w:eastAsia="黑体" w:cs="黑体"/>
          <w:b w:val="0"/>
          <w:bCs w:val="0"/>
          <w:spacing w:val="-2"/>
          <w:w w:val="95"/>
          <w:kern w:val="0"/>
          <w:sz w:val="28"/>
          <w:szCs w:val="28"/>
          <w:highlight w:val="none"/>
          <w:lang w:val="en-US" w:eastAsia="zh-CN"/>
        </w:rPr>
        <w:t>9.3 监测条件核查</w:t>
      </w:r>
    </w:p>
    <w:p w14:paraId="1F91612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（1）</w:t>
      </w:r>
      <w:r>
        <w:rPr>
          <w:rFonts w:hint="default" w:ascii="Times New Roman" w:hAnsi="Times New Roman" w:eastAsia="宋体" w:cs="Times New Roman"/>
          <w:kern w:val="0"/>
          <w:sz w:val="28"/>
          <w:szCs w:val="28"/>
          <w:lang w:val="en-US" w:eastAsia="zh-CN"/>
        </w:rPr>
        <w:t>核查并网关口电能表检定证书，确认计量器具经过法定机构检定合格，电能表运行状态正常。</w:t>
      </w:r>
    </w:p>
    <w:p w14:paraId="69CD9F4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（2）</w:t>
      </w:r>
      <w:r>
        <w:rPr>
          <w:rFonts w:hint="default" w:ascii="Times New Roman" w:hAnsi="Times New Roman" w:eastAsia="宋体" w:cs="Times New Roman"/>
          <w:kern w:val="0"/>
          <w:sz w:val="28"/>
          <w:szCs w:val="28"/>
          <w:lang w:val="en-US" w:eastAsia="zh-CN"/>
        </w:rPr>
        <w:t>对比供电企业月度结算单据与平台采集的</w:t>
      </w:r>
      <w:r>
        <w:rPr>
          <w:rFonts w:hint="eastAsia" w:ascii="Times New Roman" w:hAnsi="Times New Roman" w:eastAsia="宋体" w:cs="Times New Roman"/>
          <w:kern w:val="0"/>
          <w:sz w:val="28"/>
          <w:szCs w:val="28"/>
          <w:lang w:val="en-US" w:eastAsia="zh-CN"/>
        </w:rPr>
        <w:t>上网电量</w:t>
      </w:r>
      <w:r>
        <w:rPr>
          <w:rFonts w:hint="default" w:ascii="Times New Roman" w:hAnsi="Times New Roman" w:eastAsia="宋体" w:cs="Times New Roman"/>
          <w:kern w:val="0"/>
          <w:sz w:val="28"/>
          <w:szCs w:val="28"/>
          <w:lang w:val="en-US" w:eastAsia="zh-CN"/>
        </w:rPr>
        <w:t>数据，核实分时段</w:t>
      </w:r>
      <w:r>
        <w:rPr>
          <w:rFonts w:hint="eastAsia" w:ascii="Times New Roman" w:hAnsi="Times New Roman" w:eastAsia="宋体" w:cs="Times New Roman"/>
          <w:kern w:val="0"/>
          <w:sz w:val="28"/>
          <w:szCs w:val="28"/>
          <w:lang w:val="en-US" w:eastAsia="zh-CN"/>
        </w:rPr>
        <w:t>上网电量</w:t>
      </w:r>
      <w:r>
        <w:rPr>
          <w:rFonts w:hint="default" w:ascii="Times New Roman" w:hAnsi="Times New Roman" w:eastAsia="宋体" w:cs="Times New Roman"/>
          <w:kern w:val="0"/>
          <w:sz w:val="28"/>
          <w:szCs w:val="28"/>
          <w:lang w:val="en-US" w:eastAsia="zh-CN"/>
        </w:rPr>
        <w:t>数据真实可靠，数据采集频次符合核算要求。</w:t>
      </w:r>
    </w:p>
    <w:p w14:paraId="6470B074">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Times New Roman" w:hAnsi="Times New Roman" w:eastAsia="宋体" w:cs="Times New Roman"/>
          <w:kern w:val="0"/>
          <w:sz w:val="28"/>
          <w:szCs w:val="28"/>
          <w:lang w:val="en-US" w:eastAsia="zh-CN"/>
        </w:rPr>
        <w:t>（3）</w:t>
      </w:r>
      <w:r>
        <w:rPr>
          <w:rFonts w:hint="default" w:ascii="Times New Roman" w:hAnsi="Times New Roman" w:eastAsia="宋体" w:cs="Times New Roman"/>
          <w:kern w:val="0"/>
          <w:sz w:val="28"/>
          <w:szCs w:val="28"/>
          <w:lang w:val="en-US" w:eastAsia="zh-CN"/>
        </w:rPr>
        <w:t>查阅项目数据台账</w:t>
      </w:r>
      <w:r>
        <w:rPr>
          <w:rFonts w:hint="default" w:ascii="宋体" w:hAnsi="宋体" w:eastAsia="宋体" w:cs="宋体"/>
          <w:kern w:val="0"/>
          <w:sz w:val="28"/>
          <w:szCs w:val="28"/>
          <w:lang w:val="en-US" w:eastAsia="zh-CN"/>
        </w:rPr>
        <w:t>、异常问题处置记录，核查故障检修材料，确认不存在人为篡改发电数据的</w:t>
      </w:r>
      <w:r>
        <w:rPr>
          <w:rFonts w:hint="eastAsia" w:ascii="宋体" w:hAnsi="宋体" w:eastAsia="宋体" w:cs="宋体"/>
          <w:kern w:val="0"/>
          <w:sz w:val="28"/>
          <w:szCs w:val="28"/>
          <w:lang w:val="en-US" w:eastAsia="zh-CN"/>
        </w:rPr>
        <w:t>情况</w:t>
      </w:r>
      <w:r>
        <w:rPr>
          <w:rFonts w:hint="default" w:ascii="宋体" w:hAnsi="宋体" w:eastAsia="宋体" w:cs="宋体"/>
          <w:kern w:val="0"/>
          <w:sz w:val="28"/>
          <w:szCs w:val="28"/>
          <w:lang w:val="en-US" w:eastAsia="zh-CN"/>
        </w:rPr>
        <w:t>。</w:t>
      </w:r>
    </w:p>
    <w:p w14:paraId="3E12184C">
      <w:pPr>
        <w:keepNext w:val="0"/>
        <w:keepLines w:val="0"/>
        <w:pageBreakBefore w:val="0"/>
        <w:widowControl w:val="0"/>
        <w:numPr>
          <w:ilvl w:val="-1"/>
          <w:numId w:val="0"/>
        </w:numPr>
        <w:tabs>
          <w:tab w:val="left" w:pos="847"/>
          <w:tab w:val="left" w:pos="848"/>
        </w:tabs>
        <w:kinsoku/>
        <w:wordWrap/>
        <w:overflowPunct/>
        <w:topLinePunct w:val="0"/>
        <w:autoSpaceDE w:val="0"/>
        <w:autoSpaceDN w:val="0"/>
        <w:bidi w:val="0"/>
        <w:adjustRightInd/>
        <w:snapToGrid w:val="0"/>
        <w:spacing w:before="312" w:beforeLines="100" w:after="312" w:afterLines="100"/>
        <w:ind w:left="0" w:firstLine="0"/>
        <w:jc w:val="left"/>
        <w:textAlignment w:val="auto"/>
        <w:outlineLvl w:val="9"/>
        <w:rPr>
          <w:rFonts w:hint="default" w:ascii="黑体" w:hAnsi="黑体" w:eastAsia="黑体" w:cs="黑体"/>
          <w:b w:val="0"/>
          <w:bCs w:val="0"/>
          <w:spacing w:val="-2"/>
          <w:w w:val="95"/>
          <w:kern w:val="0"/>
          <w:sz w:val="28"/>
          <w:szCs w:val="28"/>
          <w:highlight w:val="none"/>
          <w:lang w:val="en-US" w:eastAsia="zh-CN"/>
        </w:rPr>
      </w:pPr>
      <w:r>
        <w:rPr>
          <w:rFonts w:hint="default" w:ascii="黑体" w:hAnsi="黑体" w:eastAsia="黑体" w:cs="黑体"/>
          <w:b w:val="0"/>
          <w:bCs w:val="0"/>
          <w:spacing w:val="-2"/>
          <w:w w:val="95"/>
          <w:kern w:val="0"/>
          <w:sz w:val="28"/>
          <w:szCs w:val="28"/>
          <w:highlight w:val="none"/>
          <w:lang w:val="en-US" w:eastAsia="zh-CN"/>
        </w:rPr>
        <w:t>9.4 减排量核算核查</w:t>
      </w:r>
    </w:p>
    <w:p w14:paraId="6F3D614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宋体" w:hAnsi="宋体" w:eastAsia="宋体" w:cs="宋体"/>
          <w:kern w:val="0"/>
          <w:sz w:val="28"/>
          <w:szCs w:val="28"/>
          <w:lang w:val="en-US" w:eastAsia="zh-CN"/>
        </w:rPr>
        <w:t>（</w:t>
      </w:r>
      <w:r>
        <w:rPr>
          <w:rFonts w:hint="eastAsia" w:ascii="Times New Roman" w:hAnsi="Times New Roman" w:eastAsia="宋体" w:cs="Times New Roman"/>
          <w:kern w:val="0"/>
          <w:sz w:val="28"/>
          <w:szCs w:val="28"/>
          <w:lang w:val="en-US" w:eastAsia="zh-CN"/>
        </w:rPr>
        <w:t>1）</w:t>
      </w:r>
      <w:r>
        <w:rPr>
          <w:rFonts w:hint="default" w:ascii="Times New Roman" w:hAnsi="Times New Roman" w:eastAsia="宋体" w:cs="Times New Roman"/>
          <w:kern w:val="0"/>
          <w:sz w:val="28"/>
          <w:szCs w:val="28"/>
          <w:lang w:val="en-US" w:eastAsia="zh-CN"/>
        </w:rPr>
        <w:t>核对核算过程中排放因子的选用流程，核查是否严格遵循本方法学8.1条款规定的排放因子取值优先级规范，留存参数选用依据</w:t>
      </w:r>
      <w:r>
        <w:rPr>
          <w:rFonts w:hint="eastAsia" w:ascii="Times New Roman" w:hAnsi="Times New Roman" w:eastAsia="宋体" w:cs="Times New Roman"/>
          <w:kern w:val="0"/>
          <w:sz w:val="28"/>
          <w:szCs w:val="28"/>
          <w:lang w:val="en-US" w:eastAsia="zh-CN"/>
        </w:rPr>
        <w:t>和</w:t>
      </w:r>
      <w:r>
        <w:rPr>
          <w:rFonts w:hint="default" w:ascii="Times New Roman" w:hAnsi="Times New Roman" w:eastAsia="宋体" w:cs="Times New Roman"/>
          <w:kern w:val="0"/>
          <w:sz w:val="28"/>
          <w:szCs w:val="28"/>
          <w:lang w:val="en-US" w:eastAsia="zh-CN"/>
        </w:rPr>
        <w:t>来源文件备查。</w:t>
      </w:r>
    </w:p>
    <w:p w14:paraId="28602630">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（2）</w:t>
      </w:r>
      <w:r>
        <w:rPr>
          <w:rFonts w:hint="default" w:ascii="Times New Roman" w:hAnsi="Times New Roman" w:eastAsia="宋体" w:cs="Times New Roman"/>
          <w:kern w:val="0"/>
          <w:sz w:val="28"/>
          <w:szCs w:val="28"/>
          <w:lang w:val="en-US" w:eastAsia="zh-CN"/>
        </w:rPr>
        <w:t>复核</w:t>
      </w:r>
      <w:r>
        <w:rPr>
          <w:rFonts w:hint="eastAsia" w:ascii="Times New Roman" w:hAnsi="Times New Roman" w:eastAsia="宋体" w:cs="Times New Roman"/>
          <w:kern w:val="0"/>
          <w:sz w:val="28"/>
          <w:szCs w:val="28"/>
          <w:lang w:val="en-US" w:eastAsia="zh-CN"/>
        </w:rPr>
        <w:t>上网电量</w:t>
      </w:r>
      <w:r>
        <w:rPr>
          <w:rFonts w:hint="default" w:ascii="Times New Roman" w:hAnsi="Times New Roman" w:eastAsia="宋体" w:cs="Times New Roman"/>
          <w:kern w:val="0"/>
          <w:sz w:val="28"/>
          <w:szCs w:val="28"/>
          <w:lang w:val="en-US" w:eastAsia="zh-CN"/>
        </w:rPr>
        <w:t>统计范围，上网电量按要求全部纳入核算基数，剔除不符合条件的</w:t>
      </w:r>
      <w:r>
        <w:rPr>
          <w:rFonts w:hint="eastAsia" w:ascii="Times New Roman" w:hAnsi="Times New Roman" w:eastAsia="宋体" w:cs="Times New Roman"/>
          <w:kern w:val="0"/>
          <w:sz w:val="28"/>
          <w:szCs w:val="28"/>
          <w:lang w:val="en-US" w:eastAsia="zh-CN"/>
        </w:rPr>
        <w:t>上网电量</w:t>
      </w:r>
      <w:r>
        <w:rPr>
          <w:rFonts w:hint="default" w:ascii="Times New Roman" w:hAnsi="Times New Roman" w:eastAsia="宋体" w:cs="Times New Roman"/>
          <w:kern w:val="0"/>
          <w:sz w:val="28"/>
          <w:szCs w:val="28"/>
          <w:lang w:val="en-US" w:eastAsia="zh-CN"/>
        </w:rPr>
        <w:t>后再开展减排量计算。</w:t>
      </w:r>
    </w:p>
    <w:p w14:paraId="0BA1697C">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Times New Roman" w:hAnsi="Times New Roman" w:eastAsia="宋体" w:cs="Times New Roman"/>
          <w:kern w:val="0"/>
          <w:sz w:val="28"/>
          <w:szCs w:val="28"/>
          <w:lang w:val="en-US" w:eastAsia="zh-CN"/>
        </w:rPr>
        <w:t>（3）</w:t>
      </w:r>
      <w:r>
        <w:rPr>
          <w:rFonts w:hint="default" w:ascii="Times New Roman" w:hAnsi="Times New Roman" w:eastAsia="宋体" w:cs="Times New Roman"/>
          <w:kern w:val="0"/>
          <w:sz w:val="28"/>
          <w:szCs w:val="28"/>
          <w:lang w:val="en-US" w:eastAsia="zh-CN"/>
        </w:rPr>
        <w:t>逐项验算每期减排量计算过程，复</w:t>
      </w:r>
      <w:r>
        <w:rPr>
          <w:rFonts w:hint="default" w:ascii="宋体" w:hAnsi="宋体" w:eastAsia="宋体" w:cs="宋体"/>
          <w:kern w:val="0"/>
          <w:sz w:val="28"/>
          <w:szCs w:val="28"/>
          <w:lang w:val="en-US" w:eastAsia="zh-CN"/>
        </w:rPr>
        <w:t>核年度减排量汇总结果，</w:t>
      </w:r>
      <w:r>
        <w:rPr>
          <w:rFonts w:hint="eastAsia" w:ascii="宋体" w:hAnsi="宋体" w:eastAsia="宋体" w:cs="宋体"/>
          <w:kern w:val="0"/>
          <w:sz w:val="28"/>
          <w:szCs w:val="28"/>
          <w:lang w:val="en-US" w:eastAsia="zh-CN"/>
        </w:rPr>
        <w:t>确保</w:t>
      </w:r>
      <w:r>
        <w:rPr>
          <w:rFonts w:hint="default" w:ascii="宋体" w:hAnsi="宋体" w:eastAsia="宋体" w:cs="宋体"/>
          <w:kern w:val="0"/>
          <w:sz w:val="28"/>
          <w:szCs w:val="28"/>
          <w:lang w:val="en-US" w:eastAsia="zh-CN"/>
        </w:rPr>
        <w:t>减排量计算过程严谨，核算结果准确无误。</w:t>
      </w:r>
    </w:p>
    <w:p w14:paraId="0CEB18CF">
      <w:pPr>
        <w:keepNext w:val="0"/>
        <w:keepLines w:val="0"/>
        <w:pageBreakBefore w:val="0"/>
        <w:widowControl w:val="0"/>
        <w:numPr>
          <w:ilvl w:val="-1"/>
          <w:numId w:val="0"/>
        </w:numPr>
        <w:tabs>
          <w:tab w:val="left" w:pos="847"/>
          <w:tab w:val="left" w:pos="848"/>
        </w:tabs>
        <w:kinsoku/>
        <w:wordWrap/>
        <w:overflowPunct/>
        <w:topLinePunct w:val="0"/>
        <w:autoSpaceDE w:val="0"/>
        <w:autoSpaceDN w:val="0"/>
        <w:bidi w:val="0"/>
        <w:adjustRightInd/>
        <w:snapToGrid w:val="0"/>
        <w:spacing w:before="312" w:beforeLines="100" w:after="312" w:afterLines="100"/>
        <w:ind w:left="0" w:firstLine="0"/>
        <w:jc w:val="left"/>
        <w:textAlignment w:val="auto"/>
        <w:outlineLvl w:val="9"/>
        <w:rPr>
          <w:rFonts w:hint="default" w:ascii="黑体" w:hAnsi="黑体" w:eastAsia="黑体" w:cs="黑体"/>
          <w:b w:val="0"/>
          <w:bCs w:val="0"/>
          <w:spacing w:val="-2"/>
          <w:w w:val="95"/>
          <w:kern w:val="0"/>
          <w:sz w:val="28"/>
          <w:szCs w:val="28"/>
          <w:highlight w:val="none"/>
          <w:lang w:val="en-US" w:eastAsia="zh-CN"/>
        </w:rPr>
      </w:pPr>
      <w:r>
        <w:rPr>
          <w:rFonts w:hint="default" w:ascii="黑体" w:hAnsi="黑体" w:eastAsia="黑体" w:cs="黑体"/>
          <w:b w:val="0"/>
          <w:bCs w:val="0"/>
          <w:spacing w:val="-2"/>
          <w:w w:val="95"/>
          <w:kern w:val="0"/>
          <w:sz w:val="28"/>
          <w:szCs w:val="28"/>
          <w:highlight w:val="none"/>
          <w:lang w:val="en-US" w:eastAsia="zh-CN"/>
        </w:rPr>
        <w:t>9.5 后期合规管理核查</w:t>
      </w:r>
    </w:p>
    <w:p w14:paraId="52E8EFAD">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（1）</w:t>
      </w:r>
      <w:r>
        <w:rPr>
          <w:rFonts w:hint="default" w:ascii="Times New Roman" w:hAnsi="Times New Roman" w:eastAsia="宋体" w:cs="Times New Roman"/>
          <w:kern w:val="0"/>
          <w:sz w:val="28"/>
          <w:szCs w:val="28"/>
          <w:lang w:val="en-US" w:eastAsia="zh-CN"/>
        </w:rPr>
        <w:t>检查项目档案管理情况，项目台账、并网资料、计量凭证、核算底稿齐全完备，资料存档期限不少于10年。</w:t>
      </w:r>
    </w:p>
    <w:p w14:paraId="756D04B6">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Times New Roman" w:hAnsi="Times New Roman" w:eastAsia="宋体" w:cs="Times New Roman"/>
          <w:kern w:val="0"/>
          <w:sz w:val="28"/>
          <w:szCs w:val="28"/>
          <w:lang w:val="en-US" w:eastAsia="zh-CN"/>
        </w:rPr>
      </w:pPr>
      <w:r>
        <w:rPr>
          <w:rFonts w:hint="eastAsia" w:ascii="Times New Roman" w:hAnsi="Times New Roman" w:eastAsia="宋体" w:cs="Times New Roman"/>
          <w:kern w:val="0"/>
          <w:sz w:val="28"/>
          <w:szCs w:val="28"/>
          <w:lang w:val="en-US" w:eastAsia="zh-CN"/>
        </w:rPr>
        <w:t>（2）</w:t>
      </w:r>
      <w:r>
        <w:rPr>
          <w:rFonts w:hint="default" w:ascii="Times New Roman" w:hAnsi="Times New Roman" w:eastAsia="宋体" w:cs="Times New Roman"/>
          <w:kern w:val="0"/>
          <w:sz w:val="28"/>
          <w:szCs w:val="28"/>
          <w:lang w:val="en-US" w:eastAsia="zh-CN"/>
        </w:rPr>
        <w:t>核查项目后期运维情况，光伏设施正常运行，不存在擅自变更装机规模、改动计量接线等违规</w:t>
      </w:r>
      <w:r>
        <w:rPr>
          <w:rFonts w:hint="eastAsia" w:ascii="Times New Roman" w:hAnsi="Times New Roman" w:eastAsia="宋体" w:cs="Times New Roman"/>
          <w:kern w:val="0"/>
          <w:sz w:val="28"/>
          <w:szCs w:val="28"/>
          <w:lang w:val="en-US" w:eastAsia="zh-CN"/>
        </w:rPr>
        <w:t>情况</w:t>
      </w:r>
      <w:r>
        <w:rPr>
          <w:rFonts w:hint="default" w:ascii="Times New Roman" w:hAnsi="Times New Roman" w:eastAsia="宋体" w:cs="Times New Roman"/>
          <w:kern w:val="0"/>
          <w:sz w:val="28"/>
          <w:szCs w:val="28"/>
          <w:lang w:val="en-US" w:eastAsia="zh-CN"/>
        </w:rPr>
        <w:t>。</w:t>
      </w:r>
    </w:p>
    <w:p w14:paraId="4DEC25FE">
      <w:pPr>
        <w:keepNext w:val="0"/>
        <w:keepLines w:val="0"/>
        <w:pageBreakBefore w:val="0"/>
        <w:widowControl w:val="0"/>
        <w:tabs>
          <w:tab w:val="left" w:pos="1269"/>
          <w:tab w:val="left" w:pos="1270"/>
        </w:tabs>
        <w:kinsoku/>
        <w:wordWrap/>
        <w:overflowPunct/>
        <w:topLinePunct w:val="0"/>
        <w:autoSpaceDE w:val="0"/>
        <w:autoSpaceDN w:val="0"/>
        <w:bidi w:val="0"/>
        <w:adjustRightInd/>
        <w:snapToGrid w:val="0"/>
        <w:spacing w:line="360" w:lineRule="auto"/>
        <w:ind w:firstLine="560" w:firstLineChars="200"/>
        <w:jc w:val="both"/>
        <w:textAlignment w:val="auto"/>
        <w:rPr>
          <w:rFonts w:hint="default" w:ascii="宋体" w:hAnsi="宋体" w:eastAsia="宋体" w:cs="宋体"/>
          <w:kern w:val="0"/>
          <w:sz w:val="28"/>
          <w:szCs w:val="28"/>
          <w:lang w:val="en-US" w:eastAsia="zh-CN"/>
        </w:rPr>
      </w:pPr>
      <w:r>
        <w:rPr>
          <w:rFonts w:hint="eastAsia" w:ascii="Times New Roman" w:hAnsi="Times New Roman" w:eastAsia="宋体" w:cs="Times New Roman"/>
          <w:kern w:val="0"/>
          <w:sz w:val="28"/>
          <w:szCs w:val="28"/>
          <w:lang w:val="en-US" w:eastAsia="zh-CN"/>
        </w:rPr>
        <w:t>（3）</w:t>
      </w:r>
      <w:r>
        <w:rPr>
          <w:rFonts w:hint="default" w:ascii="Times New Roman" w:hAnsi="Times New Roman" w:eastAsia="宋体" w:cs="Times New Roman"/>
          <w:kern w:val="0"/>
          <w:sz w:val="28"/>
          <w:szCs w:val="28"/>
          <w:lang w:val="en-US" w:eastAsia="zh-CN"/>
        </w:rPr>
        <w:t>建立长效抽查机制，后期随机开展现场复核，一旦发现弄虚作假，取消当期减排量，按照</w:t>
      </w:r>
      <w:r>
        <w:rPr>
          <w:rFonts w:hint="default" w:ascii="宋体" w:hAnsi="宋体" w:eastAsia="宋体" w:cs="宋体"/>
          <w:kern w:val="0"/>
          <w:sz w:val="28"/>
          <w:szCs w:val="28"/>
          <w:lang w:val="en-US" w:eastAsia="zh-CN"/>
        </w:rPr>
        <w:t>南京市碳普惠相关管理规定进行处置。</w:t>
      </w: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5A1B3">
    <w:pPr>
      <w:pStyle w:val="6"/>
      <w:jc w:val="center"/>
      <w:rPr>
        <w:rFonts w:hint="eastAsia"/>
      </w:rPr>
    </w:pPr>
  </w:p>
  <w:p w14:paraId="2058FF4F">
    <w:pPr>
      <w:pStyle w:val="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66047">
    <w:pPr>
      <w:pStyle w:val="6"/>
      <w:jc w:val="center"/>
      <w:rPr>
        <w:rFonts w:hint="eastAsia"/>
      </w:rPr>
    </w:pPr>
  </w:p>
  <w:p w14:paraId="394889C4">
    <w:pPr>
      <w:pStyle w:val="6"/>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7AA64CAB">
        <w:pPr>
          <w:pStyle w:val="6"/>
          <w:jc w:val="center"/>
          <w:rPr>
            <w:rFonts w:hint="eastAsia"/>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58D82731">
    <w:pPr>
      <w:pStyle w:val="6"/>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D35FEC"/>
    <w:multiLevelType w:val="multilevel"/>
    <w:tmpl w:val="21D35FEC"/>
    <w:lvl w:ilvl="0" w:tentative="0">
      <w:start w:val="1"/>
      <w:numFmt w:val="decimal"/>
      <w:lvlText w:val="%1"/>
      <w:lvlJc w:val="left"/>
      <w:pPr>
        <w:ind w:left="564" w:hanging="442"/>
      </w:pPr>
      <w:rPr>
        <w:rFonts w:hint="default" w:ascii="宋体" w:hAnsi="宋体" w:eastAsia="宋体" w:cs="宋体"/>
        <w:b w:val="0"/>
        <w:bCs w:val="0"/>
        <w:i w:val="0"/>
        <w:iCs w:val="0"/>
        <w:w w:val="99"/>
        <w:sz w:val="21"/>
        <w:szCs w:val="21"/>
      </w:rPr>
    </w:lvl>
    <w:lvl w:ilvl="1" w:tentative="0">
      <w:start w:val="1"/>
      <w:numFmt w:val="decimal"/>
      <w:lvlText w:val="%2"/>
      <w:lvlJc w:val="left"/>
      <w:pPr>
        <w:ind w:left="284" w:hanging="284"/>
      </w:pPr>
      <w:rPr>
        <w:rFonts w:hint="default" w:ascii="黑体" w:hAnsi="黑体" w:eastAsia="黑体" w:cs="黑体"/>
        <w:b w:val="0"/>
        <w:bCs w:val="0"/>
        <w:i w:val="0"/>
        <w:iCs w:val="0"/>
        <w:w w:val="98"/>
        <w:sz w:val="28"/>
        <w:szCs w:val="28"/>
      </w:rPr>
    </w:lvl>
    <w:lvl w:ilvl="2" w:tentative="0">
      <w:start w:val="1"/>
      <w:numFmt w:val="lowerLetter"/>
      <w:lvlText w:val="%3)"/>
      <w:lvlJc w:val="left"/>
      <w:pPr>
        <w:ind w:left="1269" w:hanging="442"/>
      </w:pPr>
      <w:rPr>
        <w:rFonts w:hint="default" w:ascii="Times New Roman" w:hAnsi="Times New Roman" w:eastAsia="Times New Roman" w:cs="Times New Roman"/>
        <w:b w:val="0"/>
        <w:bCs w:val="0"/>
        <w:i w:val="0"/>
        <w:iCs w:val="0"/>
        <w:w w:val="99"/>
        <w:sz w:val="28"/>
        <w:szCs w:val="28"/>
      </w:rPr>
    </w:lvl>
    <w:lvl w:ilvl="3" w:tentative="0">
      <w:start w:val="0"/>
      <w:numFmt w:val="bullet"/>
      <w:lvlText w:val="•"/>
      <w:lvlJc w:val="left"/>
      <w:pPr>
        <w:ind w:left="2308" w:hanging="442"/>
      </w:pPr>
      <w:rPr>
        <w:rFonts w:hint="default"/>
      </w:rPr>
    </w:lvl>
    <w:lvl w:ilvl="4" w:tentative="0">
      <w:start w:val="0"/>
      <w:numFmt w:val="bullet"/>
      <w:lvlText w:val="•"/>
      <w:lvlJc w:val="left"/>
      <w:pPr>
        <w:ind w:left="3356" w:hanging="442"/>
      </w:pPr>
      <w:rPr>
        <w:rFonts w:hint="default"/>
      </w:rPr>
    </w:lvl>
    <w:lvl w:ilvl="5" w:tentative="0">
      <w:start w:val="0"/>
      <w:numFmt w:val="bullet"/>
      <w:lvlText w:val="•"/>
      <w:lvlJc w:val="left"/>
      <w:pPr>
        <w:ind w:left="4404" w:hanging="442"/>
      </w:pPr>
      <w:rPr>
        <w:rFonts w:hint="default"/>
      </w:rPr>
    </w:lvl>
    <w:lvl w:ilvl="6" w:tentative="0">
      <w:start w:val="0"/>
      <w:numFmt w:val="bullet"/>
      <w:lvlText w:val="•"/>
      <w:lvlJc w:val="left"/>
      <w:pPr>
        <w:ind w:left="5453" w:hanging="442"/>
      </w:pPr>
      <w:rPr>
        <w:rFonts w:hint="default"/>
      </w:rPr>
    </w:lvl>
    <w:lvl w:ilvl="7" w:tentative="0">
      <w:start w:val="0"/>
      <w:numFmt w:val="bullet"/>
      <w:lvlText w:val="•"/>
      <w:lvlJc w:val="left"/>
      <w:pPr>
        <w:ind w:left="6501" w:hanging="442"/>
      </w:pPr>
      <w:rPr>
        <w:rFonts w:hint="default"/>
      </w:rPr>
    </w:lvl>
    <w:lvl w:ilvl="8" w:tentative="0">
      <w:start w:val="0"/>
      <w:numFmt w:val="bullet"/>
      <w:lvlText w:val="•"/>
      <w:lvlJc w:val="left"/>
      <w:pPr>
        <w:ind w:left="7549" w:hanging="442"/>
      </w:pPr>
      <w:rPr>
        <w:rFonts w:hint="default"/>
      </w:rPr>
    </w:lvl>
  </w:abstractNum>
  <w:abstractNum w:abstractNumId="1">
    <w:nsid w:val="4BFB2C8D"/>
    <w:multiLevelType w:val="multilevel"/>
    <w:tmpl w:val="4BFB2C8D"/>
    <w:lvl w:ilvl="0" w:tentative="0">
      <w:start w:val="1"/>
      <w:numFmt w:val="japaneseCounting"/>
      <w:lvlText w:val="%1、"/>
      <w:lvlJc w:val="left"/>
      <w:pPr>
        <w:ind w:left="1997" w:hanging="720"/>
      </w:pPr>
    </w:lvl>
    <w:lvl w:ilvl="1" w:tentative="0">
      <w:start w:val="1"/>
      <w:numFmt w:val="lowerLetter"/>
      <w:pStyle w:val="25"/>
      <w:lvlText w:val="%2)"/>
      <w:lvlJc w:val="left"/>
      <w:pPr>
        <w:ind w:left="2157" w:hanging="440"/>
      </w:pPr>
    </w:lvl>
    <w:lvl w:ilvl="2" w:tentative="0">
      <w:start w:val="1"/>
      <w:numFmt w:val="lowerRoman"/>
      <w:lvlText w:val="%3."/>
      <w:lvlJc w:val="right"/>
      <w:pPr>
        <w:ind w:left="2597" w:hanging="440"/>
      </w:pPr>
    </w:lvl>
    <w:lvl w:ilvl="3" w:tentative="0">
      <w:start w:val="1"/>
      <w:numFmt w:val="decimal"/>
      <w:lvlText w:val="%4."/>
      <w:lvlJc w:val="left"/>
      <w:pPr>
        <w:ind w:left="3037" w:hanging="440"/>
      </w:pPr>
    </w:lvl>
    <w:lvl w:ilvl="4" w:tentative="0">
      <w:start w:val="1"/>
      <w:numFmt w:val="lowerLetter"/>
      <w:lvlText w:val="%5)"/>
      <w:lvlJc w:val="left"/>
      <w:pPr>
        <w:ind w:left="3477" w:hanging="440"/>
      </w:pPr>
    </w:lvl>
    <w:lvl w:ilvl="5" w:tentative="0">
      <w:start w:val="1"/>
      <w:numFmt w:val="lowerRoman"/>
      <w:lvlText w:val="%6."/>
      <w:lvlJc w:val="right"/>
      <w:pPr>
        <w:ind w:left="3917" w:hanging="440"/>
      </w:pPr>
    </w:lvl>
    <w:lvl w:ilvl="6" w:tentative="0">
      <w:start w:val="1"/>
      <w:numFmt w:val="decimal"/>
      <w:lvlText w:val="%7."/>
      <w:lvlJc w:val="left"/>
      <w:pPr>
        <w:ind w:left="4357" w:hanging="440"/>
      </w:pPr>
    </w:lvl>
    <w:lvl w:ilvl="7" w:tentative="0">
      <w:start w:val="1"/>
      <w:numFmt w:val="lowerLetter"/>
      <w:lvlText w:val="%8)"/>
      <w:lvlJc w:val="left"/>
      <w:pPr>
        <w:ind w:left="4797" w:hanging="440"/>
      </w:pPr>
    </w:lvl>
    <w:lvl w:ilvl="8" w:tentative="0">
      <w:start w:val="1"/>
      <w:numFmt w:val="lowerRoman"/>
      <w:lvlText w:val="%9."/>
      <w:lvlJc w:val="right"/>
      <w:pPr>
        <w:ind w:left="5237" w:hanging="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4MGFkYTkwNjZjODA3YTU3OGUyNDFjZDZiMjMyMWMifQ=="/>
  </w:docVars>
  <w:rsids>
    <w:rsidRoot w:val="00172A27"/>
    <w:rsid w:val="00033D01"/>
    <w:rsid w:val="00064323"/>
    <w:rsid w:val="00064630"/>
    <w:rsid w:val="00066DD6"/>
    <w:rsid w:val="0008299C"/>
    <w:rsid w:val="000E2DD6"/>
    <w:rsid w:val="000F4A9D"/>
    <w:rsid w:val="00107E28"/>
    <w:rsid w:val="00135E9E"/>
    <w:rsid w:val="0014492B"/>
    <w:rsid w:val="00144C16"/>
    <w:rsid w:val="00163A9B"/>
    <w:rsid w:val="00172A27"/>
    <w:rsid w:val="001E58B7"/>
    <w:rsid w:val="00247549"/>
    <w:rsid w:val="0027585E"/>
    <w:rsid w:val="00290C9D"/>
    <w:rsid w:val="0029106E"/>
    <w:rsid w:val="002A7502"/>
    <w:rsid w:val="002B3157"/>
    <w:rsid w:val="002C28C4"/>
    <w:rsid w:val="002C334A"/>
    <w:rsid w:val="002D39D2"/>
    <w:rsid w:val="002F256B"/>
    <w:rsid w:val="00315C0D"/>
    <w:rsid w:val="0032238C"/>
    <w:rsid w:val="00367C76"/>
    <w:rsid w:val="003B7581"/>
    <w:rsid w:val="003C6052"/>
    <w:rsid w:val="003D5151"/>
    <w:rsid w:val="003E1FB7"/>
    <w:rsid w:val="00405F7C"/>
    <w:rsid w:val="00411682"/>
    <w:rsid w:val="00420603"/>
    <w:rsid w:val="004331CC"/>
    <w:rsid w:val="0044372E"/>
    <w:rsid w:val="004627CA"/>
    <w:rsid w:val="004879EA"/>
    <w:rsid w:val="00487ED1"/>
    <w:rsid w:val="004C1E7B"/>
    <w:rsid w:val="005025A5"/>
    <w:rsid w:val="00514197"/>
    <w:rsid w:val="00526B85"/>
    <w:rsid w:val="00531926"/>
    <w:rsid w:val="0054019F"/>
    <w:rsid w:val="00553254"/>
    <w:rsid w:val="005557E4"/>
    <w:rsid w:val="00576390"/>
    <w:rsid w:val="0058308E"/>
    <w:rsid w:val="005B62B3"/>
    <w:rsid w:val="005F5DEE"/>
    <w:rsid w:val="00603B4D"/>
    <w:rsid w:val="006262FE"/>
    <w:rsid w:val="00663D09"/>
    <w:rsid w:val="00671107"/>
    <w:rsid w:val="006745C1"/>
    <w:rsid w:val="006C5CA6"/>
    <w:rsid w:val="006D23F4"/>
    <w:rsid w:val="00715AFC"/>
    <w:rsid w:val="00731022"/>
    <w:rsid w:val="00742278"/>
    <w:rsid w:val="00760281"/>
    <w:rsid w:val="007929FB"/>
    <w:rsid w:val="007B2FE0"/>
    <w:rsid w:val="007F1909"/>
    <w:rsid w:val="007F7C6C"/>
    <w:rsid w:val="008340AF"/>
    <w:rsid w:val="0083483E"/>
    <w:rsid w:val="00857266"/>
    <w:rsid w:val="00865293"/>
    <w:rsid w:val="008900DA"/>
    <w:rsid w:val="008A0076"/>
    <w:rsid w:val="008A1DE1"/>
    <w:rsid w:val="008A67A4"/>
    <w:rsid w:val="008E409E"/>
    <w:rsid w:val="008E657F"/>
    <w:rsid w:val="00972162"/>
    <w:rsid w:val="009836B7"/>
    <w:rsid w:val="00995495"/>
    <w:rsid w:val="009B23DF"/>
    <w:rsid w:val="009C021B"/>
    <w:rsid w:val="009C2FBF"/>
    <w:rsid w:val="00A00B65"/>
    <w:rsid w:val="00A02B66"/>
    <w:rsid w:val="00A064F3"/>
    <w:rsid w:val="00A14114"/>
    <w:rsid w:val="00A3478F"/>
    <w:rsid w:val="00A40BCE"/>
    <w:rsid w:val="00A472BD"/>
    <w:rsid w:val="00A47DA1"/>
    <w:rsid w:val="00A65C60"/>
    <w:rsid w:val="00A71C94"/>
    <w:rsid w:val="00AC63FB"/>
    <w:rsid w:val="00AD1A38"/>
    <w:rsid w:val="00B00489"/>
    <w:rsid w:val="00B06992"/>
    <w:rsid w:val="00B21CC0"/>
    <w:rsid w:val="00B97A70"/>
    <w:rsid w:val="00BD5ADF"/>
    <w:rsid w:val="00BF3B9F"/>
    <w:rsid w:val="00C2718A"/>
    <w:rsid w:val="00C3028D"/>
    <w:rsid w:val="00C53B88"/>
    <w:rsid w:val="00C84696"/>
    <w:rsid w:val="00CC185A"/>
    <w:rsid w:val="00CC3DF5"/>
    <w:rsid w:val="00CD1056"/>
    <w:rsid w:val="00CD3E20"/>
    <w:rsid w:val="00D0125A"/>
    <w:rsid w:val="00D0381A"/>
    <w:rsid w:val="00D63CCE"/>
    <w:rsid w:val="00D83922"/>
    <w:rsid w:val="00DB7805"/>
    <w:rsid w:val="00DD00F2"/>
    <w:rsid w:val="00E17F09"/>
    <w:rsid w:val="00E32D95"/>
    <w:rsid w:val="00E63848"/>
    <w:rsid w:val="00EB4D72"/>
    <w:rsid w:val="00EC73DC"/>
    <w:rsid w:val="00EF39F9"/>
    <w:rsid w:val="00F05BE5"/>
    <w:rsid w:val="00F11B25"/>
    <w:rsid w:val="00F36EBB"/>
    <w:rsid w:val="00F53BA2"/>
    <w:rsid w:val="00F86769"/>
    <w:rsid w:val="00FB2C67"/>
    <w:rsid w:val="00FB3896"/>
    <w:rsid w:val="00FF16D8"/>
    <w:rsid w:val="00FF51B1"/>
    <w:rsid w:val="01497B09"/>
    <w:rsid w:val="02B32DB9"/>
    <w:rsid w:val="074C0045"/>
    <w:rsid w:val="07E13D6B"/>
    <w:rsid w:val="0E175D18"/>
    <w:rsid w:val="0EDC0C85"/>
    <w:rsid w:val="10781FCD"/>
    <w:rsid w:val="11C21DA6"/>
    <w:rsid w:val="12F54EB3"/>
    <w:rsid w:val="16626B95"/>
    <w:rsid w:val="17CA6FF4"/>
    <w:rsid w:val="1B3E0945"/>
    <w:rsid w:val="1C2A656D"/>
    <w:rsid w:val="1C607847"/>
    <w:rsid w:val="1E5A0A0E"/>
    <w:rsid w:val="1EB27D37"/>
    <w:rsid w:val="1ECA5DFA"/>
    <w:rsid w:val="20A00D13"/>
    <w:rsid w:val="212817AF"/>
    <w:rsid w:val="232229EB"/>
    <w:rsid w:val="23662395"/>
    <w:rsid w:val="240B6907"/>
    <w:rsid w:val="25813938"/>
    <w:rsid w:val="2C020C08"/>
    <w:rsid w:val="2C7A3C39"/>
    <w:rsid w:val="2DB245DA"/>
    <w:rsid w:val="2EA91DFB"/>
    <w:rsid w:val="30297EDA"/>
    <w:rsid w:val="316B5D64"/>
    <w:rsid w:val="32E9205C"/>
    <w:rsid w:val="349436AC"/>
    <w:rsid w:val="353E2CC6"/>
    <w:rsid w:val="367250E2"/>
    <w:rsid w:val="3862042D"/>
    <w:rsid w:val="391055E1"/>
    <w:rsid w:val="3986282C"/>
    <w:rsid w:val="398E5251"/>
    <w:rsid w:val="3C710F56"/>
    <w:rsid w:val="3CC72F54"/>
    <w:rsid w:val="3E0C209B"/>
    <w:rsid w:val="3EB46FC0"/>
    <w:rsid w:val="4138189B"/>
    <w:rsid w:val="44CC351E"/>
    <w:rsid w:val="462416ED"/>
    <w:rsid w:val="482736E9"/>
    <w:rsid w:val="49543F44"/>
    <w:rsid w:val="4AC705C3"/>
    <w:rsid w:val="4FD73056"/>
    <w:rsid w:val="571C2F84"/>
    <w:rsid w:val="59593967"/>
    <w:rsid w:val="5C570245"/>
    <w:rsid w:val="5D326A43"/>
    <w:rsid w:val="60EA6218"/>
    <w:rsid w:val="618E2BF7"/>
    <w:rsid w:val="63611D5B"/>
    <w:rsid w:val="63FC2F8D"/>
    <w:rsid w:val="68A21128"/>
    <w:rsid w:val="6A654B09"/>
    <w:rsid w:val="6F16070F"/>
    <w:rsid w:val="725E1882"/>
    <w:rsid w:val="729A3D44"/>
    <w:rsid w:val="74406B6D"/>
    <w:rsid w:val="75567D69"/>
    <w:rsid w:val="7A585AA1"/>
    <w:rsid w:val="7ACE0231"/>
    <w:rsid w:val="7B3C1066"/>
    <w:rsid w:val="7BE41FBD"/>
    <w:rsid w:val="7CA74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autoSpaceDE w:val="0"/>
      <w:autoSpaceDN w:val="0"/>
      <w:ind w:left="828" w:hanging="420"/>
      <w:jc w:val="left"/>
      <w:outlineLvl w:val="0"/>
    </w:pPr>
    <w:rPr>
      <w:rFonts w:ascii="黑体" w:hAnsi="黑体" w:eastAsia="黑体" w:cs="黑体"/>
      <w:b/>
      <w:bCs/>
      <w:kern w:val="0"/>
      <w:szCs w:val="21"/>
      <w:lang w:eastAsia="en-US"/>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link w:val="19"/>
    <w:qFormat/>
    <w:uiPriority w:val="1"/>
    <w:pPr>
      <w:autoSpaceDE w:val="0"/>
      <w:autoSpaceDN w:val="0"/>
      <w:jc w:val="left"/>
    </w:pPr>
    <w:rPr>
      <w:rFonts w:ascii="宋体" w:hAnsi="宋体" w:eastAsia="宋体" w:cs="宋体"/>
      <w:kern w:val="0"/>
      <w:szCs w:val="21"/>
      <w:lang w:eastAsia="en-US"/>
    </w:rPr>
  </w:style>
  <w:style w:type="paragraph" w:styleId="5">
    <w:name w:val="toc 3"/>
    <w:basedOn w:val="1"/>
    <w:next w:val="1"/>
    <w:unhideWhenUsed/>
    <w:qFormat/>
    <w:uiPriority w:val="39"/>
    <w:pPr>
      <w:widowControl/>
      <w:spacing w:after="100" w:line="259" w:lineRule="auto"/>
      <w:ind w:left="440"/>
      <w:jc w:val="left"/>
    </w:pPr>
    <w:rPr>
      <w:rFonts w:cs="Times New Roman"/>
      <w:kern w:val="0"/>
      <w:sz w:val="22"/>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napToGrid w:val="0"/>
      <w:spacing w:line="480" w:lineRule="auto"/>
      <w:ind w:left="150" w:hanging="150" w:hangingChars="150"/>
      <w:jc w:val="left"/>
    </w:pPr>
    <w:rPr>
      <w:rFonts w:ascii="Times New Roman" w:hAnsi="Times New Roman" w:eastAsia="宋体" w:cs="Times New Roman"/>
      <w:kern w:val="0"/>
    </w:rPr>
  </w:style>
  <w:style w:type="paragraph" w:styleId="9">
    <w:name w:val="footnote text"/>
    <w:basedOn w:val="1"/>
    <w:link w:val="20"/>
    <w:semiHidden/>
    <w:unhideWhenUsed/>
    <w:qFormat/>
    <w:uiPriority w:val="99"/>
    <w:pPr>
      <w:autoSpaceDE w:val="0"/>
      <w:autoSpaceDN w:val="0"/>
      <w:snapToGrid w:val="0"/>
      <w:jc w:val="left"/>
    </w:pPr>
    <w:rPr>
      <w:rFonts w:ascii="宋体" w:hAnsi="宋体" w:eastAsia="宋体" w:cs="宋体"/>
      <w:kern w:val="0"/>
      <w:sz w:val="18"/>
      <w:szCs w:val="18"/>
      <w:lang w:eastAsia="en-US"/>
    </w:rPr>
  </w:style>
  <w:style w:type="paragraph" w:styleId="10">
    <w:name w:val="toc 2"/>
    <w:basedOn w:val="1"/>
    <w:next w:val="1"/>
    <w:unhideWhenUsed/>
    <w:qFormat/>
    <w:uiPriority w:val="39"/>
    <w:pPr>
      <w:widowControl/>
      <w:spacing w:after="100" w:line="259" w:lineRule="auto"/>
      <w:ind w:left="220"/>
      <w:jc w:val="left"/>
    </w:pPr>
    <w:rPr>
      <w:rFonts w:eastAsia="宋体" w:cs="Times New Roman"/>
      <w:kern w:val="0"/>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styleId="15">
    <w:name w:val="footnote reference"/>
    <w:basedOn w:val="13"/>
    <w:semiHidden/>
    <w:unhideWhenUsed/>
    <w:qFormat/>
    <w:uiPriority w:val="99"/>
    <w:rPr>
      <w:vertAlign w:val="superscript"/>
    </w:rPr>
  </w:style>
  <w:style w:type="character" w:customStyle="1" w:styleId="16">
    <w:name w:val="页眉 字符"/>
    <w:basedOn w:val="13"/>
    <w:link w:val="7"/>
    <w:qFormat/>
    <w:uiPriority w:val="99"/>
    <w:rPr>
      <w:sz w:val="18"/>
      <w:szCs w:val="18"/>
    </w:rPr>
  </w:style>
  <w:style w:type="character" w:customStyle="1" w:styleId="17">
    <w:name w:val="页脚 字符"/>
    <w:basedOn w:val="13"/>
    <w:link w:val="6"/>
    <w:qFormat/>
    <w:uiPriority w:val="99"/>
    <w:rPr>
      <w:sz w:val="18"/>
      <w:szCs w:val="18"/>
    </w:rPr>
  </w:style>
  <w:style w:type="character" w:customStyle="1" w:styleId="18">
    <w:name w:val="标题 1 字符"/>
    <w:basedOn w:val="13"/>
    <w:link w:val="2"/>
    <w:qFormat/>
    <w:uiPriority w:val="9"/>
    <w:rPr>
      <w:rFonts w:ascii="黑体" w:hAnsi="黑体" w:eastAsia="黑体" w:cs="黑体"/>
      <w:b/>
      <w:bCs/>
      <w:kern w:val="0"/>
      <w:szCs w:val="21"/>
      <w:lang w:eastAsia="en-US"/>
    </w:rPr>
  </w:style>
  <w:style w:type="character" w:customStyle="1" w:styleId="19">
    <w:name w:val="正文文本 字符"/>
    <w:basedOn w:val="13"/>
    <w:link w:val="4"/>
    <w:qFormat/>
    <w:uiPriority w:val="1"/>
    <w:rPr>
      <w:rFonts w:ascii="宋体" w:hAnsi="宋体" w:eastAsia="宋体" w:cs="宋体"/>
      <w:kern w:val="0"/>
      <w:szCs w:val="21"/>
      <w:lang w:eastAsia="en-US"/>
    </w:rPr>
  </w:style>
  <w:style w:type="character" w:customStyle="1" w:styleId="20">
    <w:name w:val="脚注文本 字符"/>
    <w:basedOn w:val="13"/>
    <w:link w:val="9"/>
    <w:semiHidden/>
    <w:qFormat/>
    <w:uiPriority w:val="99"/>
    <w:rPr>
      <w:rFonts w:ascii="宋体" w:hAnsi="宋体" w:eastAsia="宋体" w:cs="宋体"/>
      <w:kern w:val="0"/>
      <w:sz w:val="18"/>
      <w:szCs w:val="18"/>
      <w:lang w:eastAsia="en-US"/>
    </w:rPr>
  </w:style>
  <w:style w:type="character" w:styleId="21">
    <w:name w:val="Placeholder Text"/>
    <w:basedOn w:val="13"/>
    <w:semiHidden/>
    <w:qFormat/>
    <w:uiPriority w:val="99"/>
    <w:rPr>
      <w:color w:val="666666"/>
    </w:rPr>
  </w:style>
  <w:style w:type="paragraph" w:customStyle="1" w:styleId="22">
    <w:name w:val="TOC 标题1"/>
    <w:basedOn w:val="2"/>
    <w:next w:val="1"/>
    <w:unhideWhenUsed/>
    <w:qFormat/>
    <w:uiPriority w:val="39"/>
    <w:pPr>
      <w:keepNext/>
      <w:keepLines/>
      <w:widowControl/>
      <w:autoSpaceDE/>
      <w:autoSpaceDN/>
      <w:spacing w:before="240" w:line="259" w:lineRule="auto"/>
      <w:ind w:left="0" w:firstLine="0"/>
      <w:outlineLvl w:val="9"/>
    </w:pPr>
    <w:rPr>
      <w:rFonts w:asciiTheme="majorHAnsi" w:hAnsiTheme="majorHAnsi" w:eastAsiaTheme="majorEastAsia" w:cstheme="majorBidi"/>
      <w:b w:val="0"/>
      <w:bCs w:val="0"/>
      <w:color w:val="2F5597" w:themeColor="accent1" w:themeShade="BF"/>
      <w:sz w:val="32"/>
      <w:szCs w:val="32"/>
      <w:lang w:eastAsia="zh-CN"/>
    </w:rPr>
  </w:style>
  <w:style w:type="paragraph" w:customStyle="1" w:styleId="23">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24">
    <w:name w:val="章标题 字符"/>
    <w:link w:val="25"/>
    <w:qFormat/>
    <w:uiPriority w:val="0"/>
    <w:rPr>
      <w:rFonts w:ascii="黑体" w:hAnsi="黑体" w:eastAsia="黑体" w:cs="黑体"/>
      <w:sz w:val="21"/>
      <w:szCs w:val="21"/>
    </w:rPr>
  </w:style>
  <w:style w:type="paragraph" w:customStyle="1" w:styleId="25">
    <w:name w:val="章标题"/>
    <w:basedOn w:val="1"/>
    <w:next w:val="1"/>
    <w:link w:val="24"/>
    <w:qFormat/>
    <w:uiPriority w:val="0"/>
    <w:pPr>
      <w:widowControl/>
      <w:numPr>
        <w:ilvl w:val="1"/>
        <w:numId w:val="1"/>
      </w:numPr>
      <w:spacing w:beforeLines="100" w:afterLines="100"/>
      <w:outlineLvl w:val="0"/>
    </w:pPr>
    <w:rPr>
      <w:rFonts w:ascii="黑体" w:hAnsi="黑体" w:eastAsia="黑体" w:cs="黑体"/>
      <w:kern w:val="0"/>
      <w:szCs w:val="21"/>
    </w:rPr>
  </w:style>
  <w:style w:type="paragraph" w:styleId="2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caa24433-8599-4897-83d6-c35dabe15e68</errorID>
      <errorWord>减排</errorWord>
      <group>L1_Punc</group>
      <groupName>标点问题</groupName>
      <ability>L2_Punc_CN</ability>
      <abilityName>标点符号问题</abilityName>
      <candidateList>
        <item>. 减排</item>
      </candidateList>
      <explain/>
      <paraID>4E05064D</paraID>
      <start>0</start>
      <end>2</end>
      <status>ignored</status>
      <modifiedWord/>
      <trackRevisions>false</trackRevisions>
    </reviewItem>
    <reviewItem>
      <errorID>a5d789ab-624e-45f9-9457-d335726557f7</errorID>
      <errorWord>数据</errorWord>
      <group>L1_Punc</group>
      <groupName>标点问题</groupName>
      <ability>L2_Punc_CN</ability>
      <abilityName>标点符号问题</abilityName>
      <candidateList>
        <item>. 数据</item>
      </candidateList>
      <explain/>
      <paraID>788AE6EA</paraID>
      <start>0</start>
      <end>2</end>
      <status>ignored</status>
      <modifiedWord/>
      <trackRevisions>false</trackRevisions>
    </reviewItem>
    <reviewItem>
      <errorID>f4cfcd05-ed89-42e3-a275-678482aa56fb</errorID>
      <errorWord>和</errorWord>
      <group>L1_Grammar</group>
      <groupName>语法问题</groupName>
      <ability>L2_Grammar</ability>
      <abilityName>语法错误</abilityName>
      <candidateList>
        <item>使其与</item>
      </candidateList>
      <explain/>
      <paraID>5EAEB469</paraID>
      <start>59</start>
      <end>60</end>
      <status>ignored</status>
      <modifiedWord/>
      <trackRevisions>false</trackRevisions>
    </reviewItem>
  </reviewItems>
  <config/>
</contractReview>
</file>

<file path=customXml/itemProps1.xml><?xml version="1.0" encoding="utf-8"?>
<ds:datastoreItem xmlns:ds="http://schemas.openxmlformats.org/officeDocument/2006/customXml" ds:itemID="{42587319-be46-46de-9c77-e90f3f795d68}">
  <ds:schemaRefs/>
</ds:datastoreItem>
</file>

<file path=docProps/app.xml><?xml version="1.0" encoding="utf-8"?>
<Properties xmlns="http://schemas.openxmlformats.org/officeDocument/2006/extended-properties" xmlns:vt="http://schemas.openxmlformats.org/officeDocument/2006/docPropsVTypes">
  <Template>Normal</Template>
  <Pages>12</Pages>
  <Words>2854</Words>
  <Characters>3090</Characters>
  <Lines>42</Lines>
  <Paragraphs>11</Paragraphs>
  <TotalTime>25</TotalTime>
  <ScaleCrop>false</ScaleCrop>
  <LinksUpToDate>false</LinksUpToDate>
  <CharactersWithSpaces>3157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2024-07-25T16:50:00Z</dcterms:created>
  <dc:creator>Yidan WANG</dc:creator>
  <cp:lastModifiedBy>沙浅岛</cp:lastModifiedBy>
  <dcterms:modified xsi:type="dcterms:W3CDTF">2026-09-21T09:35:39Z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6A4E620A487D49CD9412CA5CB1DD60B0_13</vt:lpwstr>
  </property>
  <property fmtid="{D5CDD505-2E9C-101B-9397-08002B2CF9AE}" pid="4" name="MTWinEqns">
    <vt:bool>true</vt:bool>
  </property>
  <property fmtid="{D5CDD505-2E9C-101B-9397-08002B2CF9AE}" pid="5" name="KSOTemplateDocerSaveRecord">
    <vt:lpwstr>eyJoZGlkIjoiNjJhNTE5YzkwNGZmYTUyM2RmZmVlNjk1YTg0NjIzM2QiLCJ1c2VySWQiOiIzODAxMzE1ODEifQ==</vt:lpwstr>
  </property>
</Properties>
</file>