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8BC44">
      <w:pPr>
        <w:autoSpaceDE w:val="0"/>
        <w:autoSpaceDN w:val="0"/>
        <w:spacing w:before="55"/>
        <w:ind w:left="408"/>
        <w:jc w:val="left"/>
        <w:rPr>
          <w:rFonts w:hint="eastAsia" w:ascii="黑体" w:hAnsi="宋体" w:eastAsia="黑体" w:cs="宋体"/>
          <w:kern w:val="0"/>
          <w:sz w:val="32"/>
        </w:rPr>
      </w:pPr>
    </w:p>
    <w:p w14:paraId="790B3712">
      <w:pPr>
        <w:autoSpaceDE w:val="0"/>
        <w:autoSpaceDN w:val="0"/>
        <w:jc w:val="left"/>
        <w:rPr>
          <w:rFonts w:hint="eastAsia" w:ascii="黑体" w:hAnsi="宋体" w:eastAsia="宋体" w:cs="宋体"/>
          <w:kern w:val="0"/>
          <w:sz w:val="32"/>
          <w:szCs w:val="21"/>
        </w:rPr>
      </w:pPr>
    </w:p>
    <w:p w14:paraId="3E4C9A7C">
      <w:pPr>
        <w:autoSpaceDE w:val="0"/>
        <w:autoSpaceDN w:val="0"/>
        <w:jc w:val="left"/>
        <w:rPr>
          <w:rFonts w:hint="eastAsia" w:ascii="黑体" w:hAnsi="宋体" w:eastAsia="宋体" w:cs="宋体"/>
          <w:kern w:val="0"/>
          <w:sz w:val="32"/>
          <w:szCs w:val="21"/>
        </w:rPr>
      </w:pPr>
    </w:p>
    <w:p w14:paraId="1BCF6516">
      <w:pPr>
        <w:autoSpaceDE w:val="0"/>
        <w:autoSpaceDN w:val="0"/>
        <w:jc w:val="left"/>
        <w:rPr>
          <w:rFonts w:hint="eastAsia" w:ascii="黑体" w:hAnsi="宋体" w:eastAsia="宋体" w:cs="宋体"/>
          <w:kern w:val="0"/>
          <w:sz w:val="32"/>
          <w:szCs w:val="21"/>
        </w:rPr>
      </w:pPr>
    </w:p>
    <w:p w14:paraId="7E65AEE4">
      <w:pPr>
        <w:autoSpaceDE w:val="0"/>
        <w:autoSpaceDN w:val="0"/>
        <w:jc w:val="left"/>
        <w:rPr>
          <w:rFonts w:hint="eastAsia" w:ascii="黑体" w:hAnsi="宋体" w:eastAsia="宋体" w:cs="宋体"/>
          <w:kern w:val="0"/>
          <w:sz w:val="32"/>
          <w:szCs w:val="21"/>
        </w:rPr>
      </w:pPr>
    </w:p>
    <w:p w14:paraId="1DF35FFC">
      <w:pPr>
        <w:autoSpaceDE w:val="0"/>
        <w:autoSpaceDN w:val="0"/>
        <w:jc w:val="left"/>
        <w:rPr>
          <w:rFonts w:hint="eastAsia" w:ascii="黑体" w:hAnsi="宋体" w:eastAsia="宋体" w:cs="宋体"/>
          <w:kern w:val="0"/>
          <w:sz w:val="32"/>
          <w:szCs w:val="21"/>
        </w:rPr>
      </w:pPr>
    </w:p>
    <w:p w14:paraId="1CB60377">
      <w:pPr>
        <w:autoSpaceDE w:val="0"/>
        <w:autoSpaceDN w:val="0"/>
        <w:jc w:val="left"/>
        <w:rPr>
          <w:rFonts w:hint="eastAsia" w:ascii="黑体" w:hAnsi="宋体" w:eastAsia="宋体" w:cs="宋体"/>
          <w:kern w:val="0"/>
          <w:sz w:val="32"/>
          <w:szCs w:val="21"/>
        </w:rPr>
      </w:pPr>
    </w:p>
    <w:p w14:paraId="0DAFB98F">
      <w:pPr>
        <w:autoSpaceDE w:val="0"/>
        <w:autoSpaceDN w:val="0"/>
        <w:jc w:val="left"/>
        <w:rPr>
          <w:rFonts w:hint="eastAsia" w:ascii="黑体" w:hAnsi="宋体" w:eastAsia="宋体" w:cs="宋体"/>
          <w:kern w:val="0"/>
          <w:sz w:val="32"/>
          <w:szCs w:val="21"/>
        </w:rPr>
      </w:pPr>
    </w:p>
    <w:p w14:paraId="296E67CF">
      <w:pPr>
        <w:keepNext w:val="0"/>
        <w:keepLines w:val="0"/>
        <w:pageBreakBefore w:val="0"/>
        <w:widowControl w:val="0"/>
        <w:kinsoku/>
        <w:wordWrap/>
        <w:overflowPunct/>
        <w:topLinePunct w:val="0"/>
        <w:autoSpaceDE w:val="0"/>
        <w:autoSpaceDN w:val="0"/>
        <w:bidi w:val="0"/>
        <w:adjustRightInd/>
        <w:snapToGrid w:val="0"/>
        <w:ind w:right="0"/>
        <w:jc w:val="center"/>
        <w:textAlignment w:val="auto"/>
        <w:rPr>
          <w:rFonts w:hint="eastAsia" w:ascii="黑体" w:hAnsi="黑体" w:eastAsia="黑体" w:cs="黑体"/>
          <w:b w:val="0"/>
          <w:bCs w:val="0"/>
          <w:spacing w:val="-2"/>
          <w:w w:val="95"/>
          <w:kern w:val="0"/>
          <w:sz w:val="52"/>
          <w:szCs w:val="52"/>
          <w:lang w:val="en-US" w:eastAsia="zh-CN"/>
        </w:rPr>
      </w:pPr>
      <w:r>
        <w:rPr>
          <w:rFonts w:hint="eastAsia" w:ascii="黑体" w:hAnsi="黑体" w:eastAsia="黑体" w:cs="黑体"/>
          <w:b w:val="0"/>
          <w:bCs w:val="0"/>
          <w:w w:val="95"/>
          <w:kern w:val="0"/>
          <w:sz w:val="52"/>
          <w:szCs w:val="52"/>
        </w:rPr>
        <w:t>南京市</w:t>
      </w:r>
      <w:r>
        <w:rPr>
          <w:rFonts w:hint="eastAsia" w:ascii="黑体" w:hAnsi="黑体" w:eastAsia="黑体" w:cs="黑体"/>
          <w:b w:val="0"/>
          <w:bCs w:val="0"/>
          <w:w w:val="95"/>
          <w:kern w:val="0"/>
          <w:sz w:val="52"/>
          <w:szCs w:val="52"/>
          <w:lang w:val="en-US" w:eastAsia="zh-CN"/>
        </w:rPr>
        <w:t>电化学储能</w:t>
      </w:r>
      <w:r>
        <w:rPr>
          <w:rFonts w:hint="eastAsia" w:ascii="黑体" w:hAnsi="黑体" w:eastAsia="黑体" w:cs="黑体"/>
          <w:b w:val="0"/>
          <w:bCs w:val="0"/>
          <w:w w:val="95"/>
          <w:kern w:val="0"/>
          <w:sz w:val="52"/>
          <w:szCs w:val="52"/>
          <w:highlight w:val="none"/>
          <w:lang w:val="en-US" w:eastAsia="zh-CN"/>
        </w:rPr>
        <w:t>电站</w:t>
      </w:r>
      <w:r>
        <w:rPr>
          <w:rFonts w:hint="eastAsia" w:ascii="黑体" w:hAnsi="黑体" w:eastAsia="黑体" w:cs="黑体"/>
          <w:b w:val="0"/>
          <w:bCs w:val="0"/>
          <w:spacing w:val="-2"/>
          <w:w w:val="95"/>
          <w:kern w:val="0"/>
          <w:sz w:val="52"/>
          <w:szCs w:val="52"/>
          <w:lang w:val="en-US" w:eastAsia="zh-CN"/>
        </w:rPr>
        <w:t>碳普惠方法学</w:t>
      </w:r>
    </w:p>
    <w:p w14:paraId="01709D27">
      <w:pPr>
        <w:keepNext w:val="0"/>
        <w:keepLines w:val="0"/>
        <w:pageBreakBefore w:val="0"/>
        <w:widowControl w:val="0"/>
        <w:kinsoku/>
        <w:wordWrap/>
        <w:overflowPunct/>
        <w:topLinePunct w:val="0"/>
        <w:autoSpaceDE w:val="0"/>
        <w:autoSpaceDN w:val="0"/>
        <w:bidi w:val="0"/>
        <w:adjustRightInd/>
        <w:snapToGrid w:val="0"/>
        <w:ind w:right="0"/>
        <w:jc w:val="center"/>
        <w:textAlignment w:val="auto"/>
        <w:rPr>
          <w:rFonts w:hint="eastAsia" w:ascii="方正楷体_GBK" w:hAnsi="方正楷体_GBK" w:eastAsia="方正楷体_GBK" w:cs="方正楷体_GBK"/>
          <w:b w:val="0"/>
          <w:bCs w:val="0"/>
          <w:spacing w:val="0"/>
          <w:w w:val="95"/>
          <w:kern w:val="0"/>
          <w:sz w:val="40"/>
          <w:szCs w:val="40"/>
          <w:lang w:val="en-US" w:eastAsia="zh-CN"/>
        </w:rPr>
      </w:pPr>
      <w:r>
        <w:rPr>
          <w:rFonts w:hint="eastAsia" w:ascii="方正楷体_GBK" w:hAnsi="方正楷体_GBK" w:eastAsia="方正楷体_GBK" w:cs="方正楷体_GBK"/>
          <w:b w:val="0"/>
          <w:bCs w:val="0"/>
          <w:spacing w:val="0"/>
          <w:w w:val="95"/>
          <w:kern w:val="0"/>
          <w:sz w:val="40"/>
          <w:szCs w:val="40"/>
          <w:lang w:val="en-US" w:eastAsia="zh-CN"/>
        </w:rPr>
        <w:t>（公示稿）</w:t>
      </w:r>
    </w:p>
    <w:p w14:paraId="5F67D817">
      <w:pPr>
        <w:autoSpaceDE w:val="0"/>
        <w:autoSpaceDN w:val="0"/>
        <w:jc w:val="left"/>
        <w:rPr>
          <w:rFonts w:hint="eastAsia" w:ascii="黑体" w:hAnsi="宋体" w:eastAsia="宋体" w:cs="宋体"/>
          <w:b/>
          <w:kern w:val="0"/>
          <w:sz w:val="40"/>
          <w:szCs w:val="21"/>
        </w:rPr>
      </w:pPr>
    </w:p>
    <w:p w14:paraId="2DD9C2C6">
      <w:pPr>
        <w:autoSpaceDE w:val="0"/>
        <w:autoSpaceDN w:val="0"/>
        <w:jc w:val="left"/>
        <w:rPr>
          <w:rFonts w:hint="eastAsia" w:ascii="黑体" w:hAnsi="宋体" w:eastAsia="宋体" w:cs="宋体"/>
          <w:b/>
          <w:kern w:val="0"/>
          <w:sz w:val="40"/>
          <w:szCs w:val="21"/>
        </w:rPr>
      </w:pPr>
    </w:p>
    <w:p w14:paraId="1611E64C">
      <w:pPr>
        <w:autoSpaceDE w:val="0"/>
        <w:autoSpaceDN w:val="0"/>
        <w:jc w:val="left"/>
        <w:rPr>
          <w:rFonts w:hint="eastAsia" w:ascii="黑体" w:hAnsi="宋体" w:eastAsia="宋体" w:cs="宋体"/>
          <w:b/>
          <w:kern w:val="0"/>
          <w:sz w:val="40"/>
          <w:szCs w:val="21"/>
        </w:rPr>
      </w:pPr>
    </w:p>
    <w:p w14:paraId="47BCA635">
      <w:pPr>
        <w:autoSpaceDE w:val="0"/>
        <w:autoSpaceDN w:val="0"/>
        <w:jc w:val="left"/>
        <w:rPr>
          <w:rFonts w:hint="eastAsia" w:ascii="黑体" w:hAnsi="宋体" w:eastAsia="宋体" w:cs="宋体"/>
          <w:b/>
          <w:kern w:val="0"/>
          <w:sz w:val="40"/>
          <w:szCs w:val="21"/>
        </w:rPr>
      </w:pPr>
    </w:p>
    <w:p w14:paraId="2B412CBA">
      <w:pPr>
        <w:autoSpaceDE w:val="0"/>
        <w:autoSpaceDN w:val="0"/>
        <w:jc w:val="left"/>
        <w:rPr>
          <w:rFonts w:hint="eastAsia" w:ascii="黑体" w:hAnsi="宋体" w:eastAsia="宋体" w:cs="宋体"/>
          <w:b/>
          <w:kern w:val="0"/>
          <w:sz w:val="40"/>
          <w:szCs w:val="21"/>
        </w:rPr>
      </w:pPr>
    </w:p>
    <w:p w14:paraId="7E5D9D81">
      <w:pPr>
        <w:autoSpaceDE w:val="0"/>
        <w:autoSpaceDN w:val="0"/>
        <w:jc w:val="left"/>
        <w:rPr>
          <w:rFonts w:hint="eastAsia" w:ascii="黑体" w:hAnsi="宋体" w:eastAsia="宋体" w:cs="宋体"/>
          <w:b/>
          <w:kern w:val="0"/>
          <w:sz w:val="40"/>
          <w:szCs w:val="21"/>
        </w:rPr>
      </w:pPr>
    </w:p>
    <w:p w14:paraId="68705812">
      <w:pPr>
        <w:autoSpaceDE w:val="0"/>
        <w:autoSpaceDN w:val="0"/>
        <w:jc w:val="left"/>
        <w:rPr>
          <w:rFonts w:hint="eastAsia" w:ascii="黑体" w:hAnsi="宋体" w:eastAsia="宋体" w:cs="宋体"/>
          <w:b/>
          <w:kern w:val="0"/>
          <w:sz w:val="40"/>
          <w:szCs w:val="21"/>
        </w:rPr>
      </w:pPr>
    </w:p>
    <w:p w14:paraId="7AA94EE8">
      <w:pPr>
        <w:autoSpaceDE w:val="0"/>
        <w:autoSpaceDN w:val="0"/>
        <w:jc w:val="left"/>
        <w:rPr>
          <w:rFonts w:hint="eastAsia" w:ascii="黑体" w:hAnsi="宋体" w:eastAsia="宋体" w:cs="宋体"/>
          <w:b/>
          <w:kern w:val="0"/>
          <w:sz w:val="40"/>
          <w:szCs w:val="21"/>
        </w:rPr>
      </w:pPr>
    </w:p>
    <w:p w14:paraId="51157630">
      <w:pPr>
        <w:autoSpaceDE w:val="0"/>
        <w:autoSpaceDN w:val="0"/>
        <w:jc w:val="left"/>
        <w:rPr>
          <w:rFonts w:hint="eastAsia" w:ascii="黑体" w:hAnsi="宋体" w:eastAsia="宋体" w:cs="宋体"/>
          <w:b/>
          <w:kern w:val="0"/>
          <w:sz w:val="40"/>
          <w:szCs w:val="21"/>
        </w:rPr>
      </w:pPr>
    </w:p>
    <w:p w14:paraId="04241F3A">
      <w:pPr>
        <w:autoSpaceDE w:val="0"/>
        <w:autoSpaceDN w:val="0"/>
        <w:jc w:val="left"/>
        <w:rPr>
          <w:rFonts w:hint="eastAsia" w:ascii="黑体" w:hAnsi="宋体" w:eastAsia="宋体" w:cs="宋体"/>
          <w:b/>
          <w:kern w:val="0"/>
          <w:sz w:val="40"/>
          <w:szCs w:val="21"/>
        </w:rPr>
      </w:pPr>
    </w:p>
    <w:p w14:paraId="5931BDD7">
      <w:pPr>
        <w:autoSpaceDE w:val="0"/>
        <w:autoSpaceDN w:val="0"/>
        <w:spacing w:before="7"/>
        <w:jc w:val="left"/>
        <w:rPr>
          <w:rFonts w:hint="eastAsia" w:ascii="黑体" w:hAnsi="宋体" w:eastAsia="宋体" w:cs="宋体"/>
          <w:b/>
          <w:kern w:val="0"/>
          <w:sz w:val="40"/>
          <w:szCs w:val="21"/>
        </w:rPr>
      </w:pPr>
    </w:p>
    <w:p w14:paraId="644CB39A">
      <w:pPr>
        <w:keepNext w:val="0"/>
        <w:keepLines w:val="0"/>
        <w:pageBreakBefore w:val="0"/>
        <w:widowControl w:val="0"/>
        <w:kinsoku/>
        <w:wordWrap/>
        <w:overflowPunct/>
        <w:topLinePunct w:val="0"/>
        <w:autoSpaceDE w:val="0"/>
        <w:autoSpaceDN w:val="0"/>
        <w:bidi w:val="0"/>
        <w:adjustRightInd/>
        <w:snapToGrid w:val="0"/>
        <w:ind w:right="0"/>
        <w:jc w:val="center"/>
        <w:textAlignment w:val="auto"/>
        <w:rPr>
          <w:rFonts w:hint="eastAsia" w:ascii="黑体" w:hAnsi="宋体" w:eastAsia="黑体" w:cs="宋体"/>
          <w:spacing w:val="-2"/>
          <w:kern w:val="0"/>
          <w:sz w:val="28"/>
        </w:rPr>
      </w:pPr>
      <w:r>
        <w:rPr>
          <w:rFonts w:hint="eastAsia" w:ascii="Times New Roman" w:hAnsi="Times New Roman" w:eastAsia="黑体" w:cs="宋体"/>
          <w:spacing w:val="-2"/>
          <w:kern w:val="0"/>
          <w:sz w:val="28"/>
        </w:rPr>
        <w:t>202</w:t>
      </w:r>
      <w:r>
        <w:rPr>
          <w:rFonts w:hint="eastAsia" w:ascii="Times New Roman" w:hAnsi="Times New Roman" w:eastAsia="黑体" w:cs="宋体"/>
          <w:spacing w:val="-2"/>
          <w:kern w:val="0"/>
          <w:sz w:val="28"/>
          <w:lang w:val="en-US" w:eastAsia="zh-CN"/>
        </w:rPr>
        <w:t>6</w:t>
      </w:r>
      <w:r>
        <w:rPr>
          <w:rFonts w:hint="eastAsia" w:ascii="黑体" w:hAnsi="宋体" w:eastAsia="黑体" w:cs="宋体"/>
          <w:spacing w:val="-2"/>
          <w:kern w:val="0"/>
          <w:sz w:val="28"/>
        </w:rPr>
        <w:t>年</w:t>
      </w:r>
      <w:r>
        <w:rPr>
          <w:rFonts w:hint="eastAsia" w:ascii="黑体" w:hAnsi="宋体" w:eastAsia="黑体" w:cs="宋体"/>
          <w:spacing w:val="-2"/>
          <w:kern w:val="0"/>
          <w:sz w:val="28"/>
          <w:lang w:val="en-US" w:eastAsia="zh-CN"/>
        </w:rPr>
        <w:t>9</w:t>
      </w:r>
      <w:r>
        <w:rPr>
          <w:rFonts w:hint="eastAsia" w:ascii="黑体" w:hAnsi="宋体" w:eastAsia="黑体" w:cs="宋体"/>
          <w:spacing w:val="-2"/>
          <w:kern w:val="0"/>
          <w:sz w:val="28"/>
        </w:rPr>
        <w:t>月</w:t>
      </w:r>
    </w:p>
    <w:p w14:paraId="478799FC">
      <w:pPr>
        <w:autoSpaceDE w:val="0"/>
        <w:autoSpaceDN w:val="0"/>
        <w:ind w:right="814"/>
        <w:jc w:val="center"/>
        <w:rPr>
          <w:rFonts w:hint="eastAsia" w:ascii="黑体" w:hAnsi="宋体" w:eastAsia="黑体" w:cs="宋体"/>
          <w:spacing w:val="-40"/>
          <w:kern w:val="0"/>
          <w:sz w:val="28"/>
        </w:rPr>
        <w:sectPr>
          <w:footerReference r:id="rId3" w:type="default"/>
          <w:pgSz w:w="11906" w:h="16838"/>
          <w:pgMar w:top="1440" w:right="1800" w:bottom="1440" w:left="1800" w:header="851" w:footer="992" w:gutter="0"/>
          <w:cols w:space="425" w:num="1"/>
          <w:docGrid w:type="lines" w:linePitch="312" w:charSpace="0"/>
        </w:sectPr>
      </w:pPr>
    </w:p>
    <w:p w14:paraId="39B17599">
      <w:pPr>
        <w:keepNext w:val="0"/>
        <w:keepLines w:val="0"/>
        <w:pageBreakBefore w:val="0"/>
        <w:widowControl w:val="0"/>
        <w:tabs>
          <w:tab w:val="left" w:pos="803"/>
        </w:tabs>
        <w:kinsoku/>
        <w:wordWrap/>
        <w:overflowPunct/>
        <w:topLinePunct w:val="0"/>
        <w:autoSpaceDE w:val="0"/>
        <w:autoSpaceDN w:val="0"/>
        <w:bidi w:val="0"/>
        <w:adjustRightInd/>
        <w:snapToGrid w:val="0"/>
        <w:spacing w:line="360" w:lineRule="auto"/>
        <w:ind w:right="0"/>
        <w:jc w:val="center"/>
        <w:textAlignment w:val="auto"/>
        <w:rPr>
          <w:rFonts w:hint="eastAsia" w:ascii="黑体" w:hAnsi="宋体" w:eastAsia="黑体" w:cs="宋体"/>
          <w:b w:val="0"/>
          <w:bCs/>
          <w:spacing w:val="-10"/>
          <w:kern w:val="0"/>
          <w:sz w:val="32"/>
        </w:rPr>
      </w:pPr>
      <w:r>
        <w:rPr>
          <w:rFonts w:hint="eastAsia" w:ascii="黑体" w:hAnsi="宋体" w:eastAsia="黑体" w:cs="宋体"/>
          <w:b w:val="0"/>
          <w:bCs/>
          <w:spacing w:val="-10"/>
          <w:kern w:val="0"/>
          <w:sz w:val="32"/>
        </w:rPr>
        <w:t>目</w:t>
      </w:r>
      <w:r>
        <w:rPr>
          <w:rFonts w:hint="eastAsia" w:ascii="黑体" w:hAnsi="宋体" w:eastAsia="黑体" w:cs="宋体"/>
          <w:b w:val="0"/>
          <w:bCs/>
          <w:kern w:val="0"/>
          <w:sz w:val="32"/>
        </w:rPr>
        <w:tab/>
      </w:r>
      <w:r>
        <w:rPr>
          <w:rFonts w:hint="eastAsia" w:ascii="黑体" w:hAnsi="宋体" w:eastAsia="黑体" w:cs="宋体"/>
          <w:b w:val="0"/>
          <w:bCs/>
          <w:spacing w:val="-10"/>
          <w:kern w:val="0"/>
          <w:sz w:val="32"/>
        </w:rPr>
        <w:t>录</w:t>
      </w:r>
    </w:p>
    <w:p w14:paraId="7D954FD8">
      <w:pPr>
        <w:pStyle w:val="8"/>
        <w:tabs>
          <w:tab w:val="right" w:leader="dot" w:pos="8306"/>
        </w:tabs>
      </w:pPr>
      <w:r>
        <w:rPr>
          <w:b w:val="0"/>
          <w:bCs/>
          <w:sz w:val="32"/>
        </w:rPr>
        <w:fldChar w:fldCharType="begin"/>
      </w:r>
      <w:r>
        <w:rPr>
          <w:b w:val="0"/>
          <w:bCs/>
          <w:sz w:val="32"/>
        </w:rPr>
        <w:instrText xml:space="preserve"> TOC \o "1-1" \h \z \u </w:instrText>
      </w:r>
      <w:r>
        <w:rPr>
          <w:b w:val="0"/>
          <w:bCs/>
          <w:sz w:val="32"/>
        </w:rPr>
        <w:fldChar w:fldCharType="separate"/>
      </w: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_Toc19100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1 </w:t>
      </w:r>
      <w:r>
        <w:rPr>
          <w:rFonts w:hint="eastAsia" w:ascii="黑体" w:hAnsi="黑体" w:eastAsia="黑体" w:cs="黑体"/>
          <w:bCs w:val="0"/>
          <w:spacing w:val="-2"/>
          <w:w w:val="95"/>
          <w:kern w:val="0"/>
          <w:szCs w:val="28"/>
          <w:lang w:val="en-US" w:eastAsia="zh-CN"/>
        </w:rPr>
        <w:t>引言</w:t>
      </w:r>
      <w:r>
        <w:tab/>
      </w:r>
      <w:r>
        <w:fldChar w:fldCharType="begin"/>
      </w:r>
      <w:r>
        <w:instrText xml:space="preserve"> PAGEREF _Toc19100 \h </w:instrText>
      </w:r>
      <w:r>
        <w:fldChar w:fldCharType="separate"/>
      </w:r>
      <w:r>
        <w:t>3</w:t>
      </w:r>
      <w:r>
        <w:fldChar w:fldCharType="end"/>
      </w:r>
      <w:r>
        <w:rPr>
          <w:rFonts w:ascii="Times New Roman" w:hAnsi="Times New Roman" w:eastAsia="宋体" w:cs="Times New Roman"/>
          <w:bCs/>
          <w:kern w:val="0"/>
        </w:rPr>
        <w:fldChar w:fldCharType="end"/>
      </w:r>
    </w:p>
    <w:p w14:paraId="02FD1CF4">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_Toc32406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2 </w:t>
      </w:r>
      <w:r>
        <w:rPr>
          <w:rFonts w:hint="eastAsia" w:ascii="黑体" w:hAnsi="黑体" w:eastAsia="黑体" w:cs="黑体"/>
          <w:bCs w:val="0"/>
          <w:spacing w:val="-2"/>
          <w:w w:val="95"/>
          <w:kern w:val="0"/>
          <w:szCs w:val="28"/>
          <w:lang w:val="en-US" w:eastAsia="en-US"/>
        </w:rPr>
        <w:t>适用</w:t>
      </w:r>
      <w:r>
        <w:rPr>
          <w:rFonts w:hint="eastAsia" w:ascii="黑体" w:hAnsi="黑体" w:eastAsia="黑体" w:cs="黑体"/>
          <w:bCs w:val="0"/>
          <w:spacing w:val="-2"/>
          <w:w w:val="95"/>
          <w:kern w:val="0"/>
          <w:szCs w:val="28"/>
          <w:lang w:val="en-US" w:eastAsia="zh-CN"/>
        </w:rPr>
        <w:t>范围</w:t>
      </w:r>
      <w:r>
        <w:tab/>
      </w:r>
      <w:r>
        <w:fldChar w:fldCharType="begin"/>
      </w:r>
      <w:r>
        <w:instrText xml:space="preserve"> PAGEREF _Toc32406 \h </w:instrText>
      </w:r>
      <w:r>
        <w:fldChar w:fldCharType="separate"/>
      </w:r>
      <w:r>
        <w:t>3</w:t>
      </w:r>
      <w:r>
        <w:fldChar w:fldCharType="end"/>
      </w:r>
      <w:r>
        <w:rPr>
          <w:rFonts w:ascii="Times New Roman" w:hAnsi="Times New Roman" w:eastAsia="宋体" w:cs="Times New Roman"/>
          <w:bCs/>
          <w:kern w:val="0"/>
        </w:rPr>
        <w:fldChar w:fldCharType="end"/>
      </w:r>
    </w:p>
    <w:p w14:paraId="3FF38AA0">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_Toc27577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3 </w:t>
      </w:r>
      <w:r>
        <w:rPr>
          <w:rFonts w:hint="eastAsia" w:ascii="黑体" w:hAnsi="黑体" w:eastAsia="黑体" w:cs="黑体"/>
          <w:bCs w:val="0"/>
          <w:spacing w:val="-2"/>
          <w:w w:val="95"/>
          <w:kern w:val="0"/>
          <w:szCs w:val="28"/>
          <w:lang w:val="en-US" w:eastAsia="en-US"/>
        </w:rPr>
        <w:t>引用文件</w:t>
      </w:r>
      <w:r>
        <w:tab/>
      </w:r>
      <w:r>
        <w:fldChar w:fldCharType="begin"/>
      </w:r>
      <w:r>
        <w:instrText xml:space="preserve"> PAGEREF _Toc27577 \h </w:instrText>
      </w:r>
      <w:r>
        <w:fldChar w:fldCharType="separate"/>
      </w:r>
      <w:r>
        <w:t>4</w:t>
      </w:r>
      <w:r>
        <w:fldChar w:fldCharType="end"/>
      </w:r>
      <w:r>
        <w:rPr>
          <w:rFonts w:ascii="Times New Roman" w:hAnsi="Times New Roman" w:eastAsia="宋体" w:cs="Times New Roman"/>
          <w:bCs/>
          <w:kern w:val="0"/>
        </w:rPr>
        <w:fldChar w:fldCharType="end"/>
      </w:r>
    </w:p>
    <w:p w14:paraId="697D3A2C">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_Toc9358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4 </w:t>
      </w:r>
      <w:r>
        <w:rPr>
          <w:rFonts w:hint="eastAsia" w:ascii="黑体" w:hAnsi="黑体" w:eastAsia="黑体" w:cs="黑体"/>
          <w:bCs w:val="0"/>
          <w:spacing w:val="-2"/>
          <w:w w:val="95"/>
          <w:kern w:val="0"/>
          <w:szCs w:val="28"/>
          <w:lang w:val="en-US" w:eastAsia="en-US"/>
        </w:rPr>
        <w:t>术语和定义</w:t>
      </w:r>
      <w:r>
        <w:tab/>
      </w:r>
      <w:r>
        <w:fldChar w:fldCharType="begin"/>
      </w:r>
      <w:r>
        <w:instrText xml:space="preserve"> PAGEREF _Toc9358 \h </w:instrText>
      </w:r>
      <w:r>
        <w:fldChar w:fldCharType="separate"/>
      </w:r>
      <w:r>
        <w:t>4</w:t>
      </w:r>
      <w:r>
        <w:fldChar w:fldCharType="end"/>
      </w:r>
      <w:r>
        <w:rPr>
          <w:rFonts w:ascii="Times New Roman" w:hAnsi="Times New Roman" w:eastAsia="宋体" w:cs="Times New Roman"/>
          <w:bCs/>
          <w:kern w:val="0"/>
        </w:rPr>
        <w:fldChar w:fldCharType="end"/>
      </w:r>
    </w:p>
    <w:p w14:paraId="74C3440D">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_Toc26370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5 </w:t>
      </w:r>
      <w:r>
        <w:rPr>
          <w:rFonts w:hint="eastAsia" w:ascii="黑体" w:hAnsi="黑体" w:eastAsia="黑体" w:cs="黑体"/>
          <w:bCs w:val="0"/>
          <w:spacing w:val="-2"/>
          <w:w w:val="95"/>
          <w:kern w:val="0"/>
          <w:szCs w:val="28"/>
          <w:lang w:val="en-US" w:eastAsia="zh-CN"/>
        </w:rPr>
        <w:t>基本要求</w:t>
      </w:r>
      <w:r>
        <w:tab/>
      </w:r>
      <w:r>
        <w:fldChar w:fldCharType="begin"/>
      </w:r>
      <w:r>
        <w:instrText xml:space="preserve"> PAGEREF _Toc26370 \h </w:instrText>
      </w:r>
      <w:r>
        <w:fldChar w:fldCharType="separate"/>
      </w:r>
      <w:r>
        <w:t>5</w:t>
      </w:r>
      <w:r>
        <w:fldChar w:fldCharType="end"/>
      </w:r>
      <w:r>
        <w:rPr>
          <w:rFonts w:ascii="Times New Roman" w:hAnsi="Times New Roman" w:eastAsia="宋体" w:cs="Times New Roman"/>
          <w:bCs/>
          <w:kern w:val="0"/>
        </w:rPr>
        <w:fldChar w:fldCharType="end"/>
      </w:r>
    </w:p>
    <w:p w14:paraId="3F01CFB4">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_Toc20418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6 </w:t>
      </w:r>
      <w:r>
        <w:rPr>
          <w:rFonts w:hint="eastAsia" w:ascii="黑体" w:hAnsi="黑体" w:eastAsia="黑体" w:cs="黑体"/>
          <w:bCs w:val="0"/>
          <w:spacing w:val="-2"/>
          <w:w w:val="95"/>
          <w:kern w:val="0"/>
          <w:szCs w:val="28"/>
          <w:highlight w:val="none"/>
          <w:lang w:val="en-US" w:eastAsia="zh-CN"/>
        </w:rPr>
        <w:t>核算边界及排放源</w:t>
      </w:r>
      <w:r>
        <w:tab/>
      </w:r>
      <w:r>
        <w:fldChar w:fldCharType="begin"/>
      </w:r>
      <w:r>
        <w:instrText xml:space="preserve"> PAGEREF _Toc20418 \h </w:instrText>
      </w:r>
      <w:r>
        <w:fldChar w:fldCharType="separate"/>
      </w:r>
      <w:r>
        <w:t>5</w:t>
      </w:r>
      <w:r>
        <w:fldChar w:fldCharType="end"/>
      </w:r>
      <w:r>
        <w:rPr>
          <w:rFonts w:ascii="Times New Roman" w:hAnsi="Times New Roman" w:eastAsia="宋体" w:cs="Times New Roman"/>
          <w:bCs/>
          <w:kern w:val="0"/>
        </w:rPr>
        <w:fldChar w:fldCharType="end"/>
      </w:r>
    </w:p>
    <w:p w14:paraId="27731797">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_Toc24667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7 </w:t>
      </w:r>
      <w:r>
        <w:rPr>
          <w:rFonts w:hint="eastAsia" w:ascii="黑体" w:hAnsi="黑体" w:eastAsia="黑体" w:cs="黑体"/>
          <w:bCs w:val="0"/>
          <w:spacing w:val="-2"/>
          <w:w w:val="95"/>
          <w:kern w:val="0"/>
          <w:szCs w:val="28"/>
          <w:lang w:val="en-US" w:eastAsia="zh-CN"/>
        </w:rPr>
        <w:t>减排量计算</w:t>
      </w:r>
      <w:r>
        <w:tab/>
      </w:r>
      <w:r>
        <w:fldChar w:fldCharType="begin"/>
      </w:r>
      <w:r>
        <w:instrText xml:space="preserve"> PAGEREF _Toc24667 \h </w:instrText>
      </w:r>
      <w:r>
        <w:fldChar w:fldCharType="separate"/>
      </w:r>
      <w:r>
        <w:t>6</w:t>
      </w:r>
      <w:r>
        <w:fldChar w:fldCharType="end"/>
      </w:r>
      <w:r>
        <w:rPr>
          <w:rFonts w:ascii="Times New Roman" w:hAnsi="Times New Roman" w:eastAsia="宋体" w:cs="Times New Roman"/>
          <w:bCs/>
          <w:kern w:val="0"/>
        </w:rPr>
        <w:fldChar w:fldCharType="end"/>
      </w:r>
    </w:p>
    <w:p w14:paraId="6D47E471">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_Toc31860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8 </w:t>
      </w:r>
      <w:r>
        <w:rPr>
          <w:rFonts w:hint="eastAsia" w:ascii="黑体" w:hAnsi="黑体" w:eastAsia="黑体" w:cs="黑体"/>
          <w:bCs w:val="0"/>
          <w:spacing w:val="-2"/>
          <w:w w:val="95"/>
          <w:kern w:val="0"/>
          <w:szCs w:val="28"/>
          <w:lang w:val="en-US" w:eastAsia="zh-CN"/>
        </w:rPr>
        <w:t>数据来源及监测</w:t>
      </w:r>
      <w:r>
        <w:tab/>
      </w:r>
      <w:r>
        <w:fldChar w:fldCharType="begin"/>
      </w:r>
      <w:r>
        <w:instrText xml:space="preserve"> PAGEREF _Toc31860 \h </w:instrText>
      </w:r>
      <w:r>
        <w:fldChar w:fldCharType="separate"/>
      </w:r>
      <w:r>
        <w:t>9</w:t>
      </w:r>
      <w:r>
        <w:fldChar w:fldCharType="end"/>
      </w:r>
      <w:r>
        <w:rPr>
          <w:rFonts w:ascii="Times New Roman" w:hAnsi="Times New Roman" w:eastAsia="宋体" w:cs="Times New Roman"/>
          <w:bCs/>
          <w:kern w:val="0"/>
        </w:rPr>
        <w:fldChar w:fldCharType="end"/>
      </w:r>
    </w:p>
    <w:p w14:paraId="01B5C2A2">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_Toc29481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9 </w:t>
      </w:r>
      <w:r>
        <w:rPr>
          <w:rFonts w:hint="eastAsia" w:ascii="黑体" w:hAnsi="黑体" w:eastAsia="黑体" w:cs="黑体"/>
          <w:bCs w:val="0"/>
          <w:spacing w:val="-2"/>
          <w:w w:val="95"/>
          <w:kern w:val="0"/>
          <w:szCs w:val="28"/>
          <w:highlight w:val="none"/>
          <w:lang w:val="en-US" w:eastAsia="zh-CN"/>
        </w:rPr>
        <w:t>项目审定与核查要点</w:t>
      </w:r>
      <w:r>
        <w:tab/>
      </w:r>
      <w:r>
        <w:fldChar w:fldCharType="begin"/>
      </w:r>
      <w:r>
        <w:instrText xml:space="preserve"> PAGEREF _Toc29481 \h </w:instrText>
      </w:r>
      <w:r>
        <w:fldChar w:fldCharType="separate"/>
      </w:r>
      <w:r>
        <w:t>10</w:t>
      </w:r>
      <w:r>
        <w:fldChar w:fldCharType="end"/>
      </w:r>
      <w:r>
        <w:rPr>
          <w:rFonts w:ascii="Times New Roman" w:hAnsi="Times New Roman" w:eastAsia="宋体" w:cs="Times New Roman"/>
          <w:bCs/>
          <w:kern w:val="0"/>
        </w:rPr>
        <w:fldChar w:fldCharType="end"/>
      </w:r>
    </w:p>
    <w:p w14:paraId="07681C9F">
      <w:pPr>
        <w:tabs>
          <w:tab w:val="left" w:pos="803"/>
        </w:tabs>
        <w:autoSpaceDE w:val="0"/>
        <w:autoSpaceDN w:val="0"/>
        <w:spacing w:before="54"/>
        <w:ind w:right="1100"/>
        <w:jc w:val="center"/>
        <w:rPr>
          <w:rFonts w:hint="eastAsia" w:ascii="黑体" w:hAnsi="宋体" w:eastAsia="黑体" w:cs="宋体"/>
          <w:b/>
          <w:kern w:val="0"/>
          <w:sz w:val="32"/>
        </w:rPr>
      </w:pPr>
      <w:r>
        <w:rPr>
          <w:rFonts w:ascii="Times New Roman" w:hAnsi="Times New Roman" w:eastAsia="宋体" w:cs="Times New Roman"/>
          <w:bCs/>
          <w:kern w:val="0"/>
        </w:rPr>
        <w:fldChar w:fldCharType="end"/>
      </w:r>
    </w:p>
    <w:p w14:paraId="303DE857">
      <w:pPr>
        <w:tabs>
          <w:tab w:val="left" w:pos="563"/>
          <w:tab w:val="left" w:pos="564"/>
          <w:tab w:val="right" w:leader="dot" w:pos="8427"/>
        </w:tabs>
        <w:autoSpaceDE w:val="0"/>
        <w:autoSpaceDN w:val="0"/>
        <w:spacing w:before="855"/>
        <w:jc w:val="left"/>
        <w:rPr>
          <w:rFonts w:hint="eastAsia" w:ascii="黑体" w:hAnsi="宋体" w:eastAsia="黑体" w:cs="宋体"/>
          <w:kern w:val="0"/>
          <w:sz w:val="28"/>
          <w:lang w:eastAsia="en-US"/>
        </w:rPr>
        <w:sectPr>
          <w:footerReference r:id="rId4" w:type="default"/>
          <w:pgSz w:w="11906" w:h="16838"/>
          <w:pgMar w:top="1440" w:right="1800" w:bottom="1440" w:left="1800" w:header="851" w:footer="992" w:gutter="0"/>
          <w:cols w:space="425" w:num="1"/>
          <w:docGrid w:type="lines" w:linePitch="312" w:charSpace="0"/>
        </w:sectPr>
      </w:pPr>
    </w:p>
    <w:p w14:paraId="10D3CC07">
      <w:pPr>
        <w:keepNext w:val="0"/>
        <w:keepLines w:val="0"/>
        <w:pageBreakBefore w:val="0"/>
        <w:widowControl w:val="0"/>
        <w:numPr>
          <w:ilvl w:val="0"/>
          <w:numId w:val="0"/>
        </w:numPr>
        <w:tabs>
          <w:tab w:val="left" w:pos="847"/>
          <w:tab w:val="left" w:pos="848"/>
        </w:tabs>
        <w:kinsoku/>
        <w:wordWrap/>
        <w:overflowPunct/>
        <w:topLinePunct w:val="0"/>
        <w:autoSpaceDE w:val="0"/>
        <w:autoSpaceDN w:val="0"/>
        <w:bidi w:val="0"/>
        <w:adjustRightInd/>
        <w:snapToGrid w:val="0"/>
        <w:spacing w:before="312" w:beforeLines="100" w:after="312" w:afterLines="100"/>
        <w:ind w:leftChars="0"/>
        <w:jc w:val="center"/>
        <w:textAlignment w:val="auto"/>
        <w:outlineLvl w:val="9"/>
        <w:rPr>
          <w:rFonts w:hint="eastAsia" w:ascii="黑体" w:hAnsi="黑体" w:eastAsia="黑体" w:cs="黑体"/>
          <w:b w:val="0"/>
          <w:bCs w:val="0"/>
          <w:spacing w:val="-2"/>
          <w:w w:val="95"/>
          <w:kern w:val="0"/>
          <w:sz w:val="52"/>
          <w:szCs w:val="52"/>
          <w:lang w:eastAsia="en-US"/>
        </w:rPr>
      </w:pPr>
      <w:bookmarkStart w:id="0" w:name="_Toc170134103"/>
      <w:r>
        <w:rPr>
          <w:rFonts w:hint="eastAsia" w:ascii="黑体" w:hAnsi="黑体" w:eastAsia="黑体" w:cs="黑体"/>
          <w:b w:val="0"/>
          <w:bCs w:val="0"/>
          <w:spacing w:val="-2"/>
          <w:w w:val="95"/>
          <w:kern w:val="0"/>
          <w:sz w:val="52"/>
          <w:szCs w:val="52"/>
          <w:lang w:eastAsia="en-US"/>
        </w:rPr>
        <w:t>南京市电化学储能电站碳普惠方法学</w:t>
      </w:r>
    </w:p>
    <w:p w14:paraId="674A43B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1" w:name="_Toc24307"/>
      <w:bookmarkStart w:id="2" w:name="_Toc21628"/>
      <w:bookmarkStart w:id="3" w:name="_Toc31703"/>
      <w:bookmarkStart w:id="4" w:name="_Toc19100"/>
      <w:r>
        <w:rPr>
          <w:rFonts w:hint="eastAsia" w:ascii="黑体" w:hAnsi="黑体" w:eastAsia="黑体" w:cs="黑体"/>
          <w:b w:val="0"/>
          <w:bCs w:val="0"/>
          <w:spacing w:val="-2"/>
          <w:w w:val="95"/>
          <w:kern w:val="0"/>
          <w:sz w:val="28"/>
          <w:szCs w:val="28"/>
          <w:lang w:val="en-US" w:eastAsia="zh-CN"/>
        </w:rPr>
        <w:t>引言</w:t>
      </w:r>
      <w:bookmarkEnd w:id="1"/>
      <w:bookmarkEnd w:id="2"/>
      <w:bookmarkEnd w:id="3"/>
      <w:bookmarkEnd w:id="4"/>
    </w:p>
    <w:p w14:paraId="49191DE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highlight w:val="none"/>
          <w:lang w:val="en-US" w:eastAsia="zh-CN"/>
        </w:rPr>
      </w:pPr>
      <w:r>
        <w:rPr>
          <w:rFonts w:hint="eastAsia" w:ascii="宋体" w:hAnsi="宋体" w:eastAsia="宋体" w:cs="宋体"/>
          <w:kern w:val="0"/>
          <w:sz w:val="28"/>
          <w:szCs w:val="28"/>
          <w:lang w:val="en-US" w:eastAsia="zh-CN"/>
        </w:rPr>
        <w:t>为深入贯彻落实国家“双碳”战略部署，充分发挥能源企业在构建新型电力系统中的支撑作用，进一步挖掘和量化电化学储能电站充放电运行过程的碳减排贡献，国网南京供电公司积极探索建立符合本地实际的碳普惠机制。在此背景下，特编制《南京市电化学储能电站碳普惠方法学》。本方法学紧密贴合电化学储能电站的运行实际与南京市碳普惠体系建设要求，经过储能领域专家学者及多方利益相关者的深入研讨与反复论证，确保了内容的科学性、合理性与可操作性。其旨在通过科学量化储能项目充放电过程的温室气体减排贡献，打通电化学储能参与碳普惠交易的路径，以市场化机制激发储能设施建设与运行的积极性。本方法学为南京市碳普惠项目方法学（</w:t>
      </w:r>
      <w:r>
        <w:rPr>
          <w:rFonts w:hint="default" w:ascii="Times New Roman" w:hAnsi="Times New Roman" w:eastAsia="宋体" w:cs="Times New Roman"/>
          <w:kern w:val="0"/>
          <w:sz w:val="28"/>
          <w:szCs w:val="28"/>
          <w:lang w:val="en-US" w:eastAsia="zh-CN"/>
        </w:rPr>
        <w:t>Ⅰ</w:t>
      </w:r>
      <w:r>
        <w:rPr>
          <w:rFonts w:hint="eastAsia" w:ascii="宋体" w:hAnsi="宋体" w:eastAsia="宋体" w:cs="宋体"/>
          <w:kern w:val="0"/>
          <w:sz w:val="28"/>
          <w:szCs w:val="28"/>
          <w:lang w:val="en-US" w:eastAsia="zh-CN"/>
        </w:rPr>
        <w:t>类），新开发版本，无需额外性论证。方法学可为南京市电化学储能电站开展碳普惠减排核算提供统一规范的技术依据，助力本市新型电力系统建设与碳普惠场景落地</w:t>
      </w:r>
      <w:r>
        <w:rPr>
          <w:rFonts w:hint="eastAsia" w:ascii="宋体" w:hAnsi="宋体" w:eastAsia="宋体" w:cs="宋体"/>
          <w:kern w:val="0"/>
          <w:sz w:val="28"/>
          <w:szCs w:val="28"/>
          <w:highlight w:val="none"/>
          <w:lang w:val="en-US" w:eastAsia="zh-CN"/>
        </w:rPr>
        <w:t>。</w:t>
      </w:r>
    </w:p>
    <w:p w14:paraId="75F42FA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5" w:name="_Toc16494"/>
      <w:bookmarkStart w:id="6" w:name="_Toc32406"/>
      <w:bookmarkStart w:id="7" w:name="_Toc28136"/>
      <w:bookmarkStart w:id="8" w:name="_Toc4126"/>
      <w:r>
        <w:rPr>
          <w:rFonts w:hint="eastAsia" w:ascii="黑体" w:hAnsi="黑体" w:eastAsia="黑体" w:cs="黑体"/>
          <w:b w:val="0"/>
          <w:bCs w:val="0"/>
          <w:spacing w:val="-2"/>
          <w:w w:val="95"/>
          <w:kern w:val="0"/>
          <w:sz w:val="28"/>
          <w:szCs w:val="28"/>
          <w:lang w:val="en-US" w:eastAsia="en-US"/>
        </w:rPr>
        <w:t>适用</w:t>
      </w:r>
      <w:bookmarkEnd w:id="0"/>
      <w:r>
        <w:rPr>
          <w:rFonts w:hint="eastAsia" w:ascii="黑体" w:hAnsi="黑体" w:eastAsia="黑体" w:cs="黑体"/>
          <w:b w:val="0"/>
          <w:bCs w:val="0"/>
          <w:spacing w:val="-2"/>
          <w:w w:val="95"/>
          <w:kern w:val="0"/>
          <w:sz w:val="28"/>
          <w:szCs w:val="28"/>
          <w:lang w:val="en-US" w:eastAsia="zh-CN"/>
        </w:rPr>
        <w:t>范围</w:t>
      </w:r>
      <w:bookmarkEnd w:id="5"/>
      <w:bookmarkEnd w:id="6"/>
      <w:bookmarkEnd w:id="7"/>
      <w:bookmarkEnd w:id="8"/>
    </w:p>
    <w:p w14:paraId="79F8935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bookmarkStart w:id="9" w:name="_Toc170134104"/>
      <w:r>
        <w:rPr>
          <w:rFonts w:hint="eastAsia" w:ascii="宋体" w:hAnsi="宋体" w:eastAsia="宋体" w:cs="宋体"/>
          <w:kern w:val="0"/>
          <w:sz w:val="28"/>
          <w:szCs w:val="28"/>
          <w:lang w:val="en-US" w:eastAsia="zh-CN"/>
        </w:rPr>
        <w:t>本方法学适用于南京市行政区域内完成备案、并网的电化学储能电站，电化学储能电站应与所在电网有独立的集电线路相连，且电量可以单独计量，本适用项目需同时满足以下条件：</w:t>
      </w:r>
    </w:p>
    <w:p w14:paraId="7FFD171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a）</w:t>
      </w:r>
      <w:r>
        <w:rPr>
          <w:rFonts w:hint="default" w:ascii="Times New Roman" w:hAnsi="Times New Roman" w:eastAsia="宋体" w:cs="Times New Roman"/>
          <w:kern w:val="0"/>
          <w:sz w:val="28"/>
          <w:szCs w:val="28"/>
          <w:lang w:val="en-US" w:eastAsia="zh-CN"/>
        </w:rPr>
        <w:t xml:space="preserve"> 本方法学</w:t>
      </w:r>
      <w:r>
        <w:rPr>
          <w:rFonts w:hint="eastAsia" w:ascii="Times New Roman" w:hAnsi="Times New Roman" w:eastAsia="宋体" w:cs="Times New Roman"/>
          <w:kern w:val="0"/>
          <w:sz w:val="28"/>
          <w:szCs w:val="28"/>
          <w:lang w:val="en-US" w:eastAsia="zh-CN"/>
        </w:rPr>
        <w:t>适用于</w:t>
      </w:r>
      <w:r>
        <w:rPr>
          <w:rFonts w:hint="default" w:ascii="Times New Roman" w:hAnsi="Times New Roman" w:eastAsia="宋体" w:cs="Times New Roman"/>
          <w:kern w:val="0"/>
          <w:sz w:val="28"/>
          <w:szCs w:val="28"/>
          <w:lang w:val="en-US" w:eastAsia="zh-CN"/>
        </w:rPr>
        <w:t>电网侧电化学储能电站</w:t>
      </w:r>
      <w:r>
        <w:rPr>
          <w:rFonts w:hint="eastAsia" w:ascii="Times New Roman" w:hAnsi="Times New Roman" w:eastAsia="宋体" w:cs="Times New Roman"/>
          <w:kern w:val="0"/>
          <w:sz w:val="28"/>
          <w:szCs w:val="28"/>
          <w:lang w:val="en-US" w:eastAsia="zh-CN"/>
        </w:rPr>
        <w:t>，即不享受储能专项补贴、电价优惠政策的电化学储能项目</w:t>
      </w:r>
      <w:r>
        <w:rPr>
          <w:rFonts w:hint="default" w:ascii="Times New Roman" w:hAnsi="Times New Roman" w:eastAsia="宋体" w:cs="Times New Roman"/>
          <w:kern w:val="0"/>
          <w:sz w:val="28"/>
          <w:szCs w:val="28"/>
          <w:lang w:val="en-US" w:eastAsia="zh-CN"/>
        </w:rPr>
        <w:t>；</w:t>
      </w:r>
    </w:p>
    <w:p w14:paraId="4F542F3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b）</w:t>
      </w:r>
      <w:r>
        <w:rPr>
          <w:rFonts w:hint="default" w:ascii="Times New Roman" w:hAnsi="Times New Roman" w:eastAsia="宋体" w:cs="Times New Roman"/>
          <w:kern w:val="0"/>
          <w:sz w:val="28"/>
          <w:szCs w:val="28"/>
          <w:lang w:val="en-US" w:eastAsia="zh-CN"/>
        </w:rPr>
        <w:t xml:space="preserve"> 本方法学仅核算由电化学储能电站</w:t>
      </w:r>
      <w:r>
        <w:rPr>
          <w:rFonts w:hint="eastAsia" w:ascii="Times New Roman" w:hAnsi="Times New Roman" w:eastAsia="宋体" w:cs="Times New Roman"/>
          <w:kern w:val="0"/>
          <w:sz w:val="28"/>
          <w:szCs w:val="28"/>
          <w:lang w:val="en-US" w:eastAsia="zh-CN"/>
        </w:rPr>
        <w:t>有效充放电工况开展的</w:t>
      </w:r>
      <w:r>
        <w:rPr>
          <w:rFonts w:hint="eastAsia" w:ascii="Times New Roman" w:hAnsi="Times New Roman" w:eastAsia="宋体" w:cs="Times New Roman"/>
          <w:kern w:val="0"/>
          <w:sz w:val="28"/>
          <w:szCs w:val="28"/>
          <w:highlight w:val="none"/>
          <w:lang w:val="en-US" w:eastAsia="zh-CN"/>
        </w:rPr>
        <w:t>调峰</w:t>
      </w:r>
      <w:r>
        <w:rPr>
          <w:rFonts w:hint="default" w:ascii="Times New Roman" w:hAnsi="Times New Roman" w:eastAsia="宋体" w:cs="Times New Roman"/>
          <w:kern w:val="0"/>
          <w:sz w:val="28"/>
          <w:szCs w:val="28"/>
          <w:lang w:val="en-US" w:eastAsia="zh-CN"/>
        </w:rPr>
        <w:t>产生的碳减排量；</w:t>
      </w:r>
    </w:p>
    <w:p w14:paraId="4A6D08CA">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c） 分时核算过程中若计算得出负减排量，当期减排量统一计为0，负差值不得结转至后续核算周期抵扣；</w:t>
      </w:r>
    </w:p>
    <w:p w14:paraId="517FA61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d） 项目依法合规完成备案、建设、并网及后续运营，符合电力行业安全运行、并网管理及南京市碳普惠体系相关管理规定。</w:t>
      </w:r>
    </w:p>
    <w:p w14:paraId="5CE3C2F9">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10" w:name="_Toc6836"/>
      <w:bookmarkStart w:id="11" w:name="_Toc27577"/>
      <w:bookmarkStart w:id="12" w:name="_Toc25304"/>
      <w:bookmarkStart w:id="13" w:name="_Toc10727"/>
      <w:r>
        <w:rPr>
          <w:rFonts w:hint="eastAsia" w:ascii="黑体" w:hAnsi="黑体" w:eastAsia="黑体" w:cs="黑体"/>
          <w:b w:val="0"/>
          <w:bCs w:val="0"/>
          <w:spacing w:val="-2"/>
          <w:w w:val="95"/>
          <w:kern w:val="0"/>
          <w:sz w:val="28"/>
          <w:szCs w:val="28"/>
          <w:lang w:val="en-US" w:eastAsia="en-US"/>
        </w:rPr>
        <w:t>引用文件</w:t>
      </w:r>
      <w:bookmarkEnd w:id="9"/>
      <w:bookmarkEnd w:id="10"/>
      <w:bookmarkEnd w:id="11"/>
      <w:bookmarkEnd w:id="12"/>
      <w:bookmarkEnd w:id="13"/>
    </w:p>
    <w:p w14:paraId="28BBB8E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rPr>
        <w:t>本方法学引用了下列文件或其中的条款。凡是注日期的引用文件，仅注日期的版本适用于本方法学。凡是未注日期的引用文件，其有效版本（包括所有的修改单）适用于本方法学。</w:t>
      </w:r>
    </w:p>
    <w:p w14:paraId="06AC019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left="0" w:leftChars="0" w:firstLine="560" w:firstLineChars="200"/>
        <w:jc w:val="both"/>
        <w:textAlignment w:val="auto"/>
        <w:rPr>
          <w:rFonts w:hint="default" w:ascii="Times New Roman" w:hAnsi="Times New Roman" w:eastAsia="宋体" w:cs="Times New Roman"/>
          <w:kern w:val="0"/>
          <w:sz w:val="28"/>
          <w:szCs w:val="28"/>
        </w:rPr>
      </w:pPr>
      <w:bookmarkStart w:id="14" w:name="_Toc170134105"/>
      <w:r>
        <w:rPr>
          <w:rFonts w:hint="default" w:ascii="Times New Roman" w:hAnsi="Times New Roman" w:eastAsia="宋体" w:cs="Times New Roman"/>
          <w:kern w:val="0"/>
          <w:sz w:val="28"/>
          <w:szCs w:val="28"/>
        </w:rPr>
        <w:t>CNCA—CCER—01</w:t>
      </w:r>
      <w:r>
        <w:rPr>
          <w:rFonts w:hint="default" w:ascii="Times New Roman" w:hAnsi="Times New Roman" w:eastAsia="宋体" w:cs="Times New Roman"/>
          <w:kern w:val="0"/>
          <w:sz w:val="28"/>
          <w:szCs w:val="28"/>
          <w:lang w:val="en-US" w:eastAsia="zh-CN"/>
        </w:rPr>
        <w:t xml:space="preserve">  </w:t>
      </w:r>
      <w:r>
        <w:rPr>
          <w:rFonts w:hint="default" w:ascii="Times New Roman" w:hAnsi="Times New Roman" w:eastAsia="宋体" w:cs="Times New Roman"/>
          <w:kern w:val="0"/>
          <w:sz w:val="28"/>
          <w:szCs w:val="28"/>
        </w:rPr>
        <w:t>温室气体自愿减排项目审定与减排量核查实施规则</w:t>
      </w:r>
    </w:p>
    <w:p w14:paraId="0944ABC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left="0" w:leftChars="0"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rPr>
        <w:t>GB/T 31464</w:t>
      </w:r>
      <w:r>
        <w:rPr>
          <w:rFonts w:hint="default" w:ascii="Times New Roman" w:hAnsi="Times New Roman" w:eastAsia="宋体" w:cs="Times New Roman"/>
          <w:kern w:val="0"/>
          <w:sz w:val="28"/>
          <w:szCs w:val="28"/>
          <w:lang w:val="en-US" w:eastAsia="zh-CN"/>
        </w:rPr>
        <w:t xml:space="preserve">  电网运行准则</w:t>
      </w:r>
    </w:p>
    <w:p w14:paraId="70DC824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left="0" w:leftChars="0" w:firstLine="560" w:firstLineChars="200"/>
        <w:jc w:val="both"/>
        <w:textAlignment w:val="auto"/>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rPr>
        <w:t xml:space="preserve">GB/T 33760 </w:t>
      </w:r>
      <w:r>
        <w:rPr>
          <w:rFonts w:hint="default" w:ascii="Times New Roman" w:hAnsi="Times New Roman" w:eastAsia="宋体" w:cs="Times New Roman"/>
          <w:kern w:val="0"/>
          <w:sz w:val="28"/>
          <w:szCs w:val="28"/>
          <w:lang w:val="en-US" w:eastAsia="zh-CN"/>
        </w:rPr>
        <w:t xml:space="preserve"> </w:t>
      </w:r>
      <w:r>
        <w:rPr>
          <w:rFonts w:hint="default" w:ascii="Times New Roman" w:hAnsi="Times New Roman" w:eastAsia="宋体" w:cs="Times New Roman"/>
          <w:kern w:val="0"/>
          <w:sz w:val="28"/>
          <w:szCs w:val="28"/>
        </w:rPr>
        <w:t>基于项目的温室气体减排量评估技术规范 通用要求</w:t>
      </w:r>
    </w:p>
    <w:p w14:paraId="1BE68292">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left="0" w:leftChars="0"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rPr>
        <w:t>DL/T 2528</w:t>
      </w:r>
      <w:r>
        <w:rPr>
          <w:rFonts w:hint="default" w:ascii="Times New Roman" w:hAnsi="Times New Roman" w:eastAsia="宋体" w:cs="Times New Roman"/>
          <w:kern w:val="0"/>
          <w:sz w:val="28"/>
          <w:szCs w:val="28"/>
          <w:lang w:val="en-US" w:eastAsia="zh-CN"/>
        </w:rPr>
        <w:t xml:space="preserve">  电力储能基本术语</w:t>
      </w:r>
    </w:p>
    <w:p w14:paraId="659BC1A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left="0" w:leftChars="0" w:firstLine="560" w:firstLineChars="200"/>
        <w:jc w:val="both"/>
        <w:textAlignment w:val="auto"/>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rPr>
        <w:t xml:space="preserve">ISO 14064-2 </w:t>
      </w:r>
      <w:r>
        <w:rPr>
          <w:rFonts w:hint="default" w:ascii="Times New Roman" w:hAnsi="Times New Roman" w:eastAsia="宋体" w:cs="Times New Roman"/>
          <w:kern w:val="0"/>
          <w:sz w:val="28"/>
          <w:szCs w:val="28"/>
          <w:lang w:val="en-US" w:eastAsia="zh-CN"/>
        </w:rPr>
        <w:t xml:space="preserve"> </w:t>
      </w:r>
      <w:r>
        <w:rPr>
          <w:rFonts w:hint="default" w:ascii="Times New Roman" w:hAnsi="Times New Roman" w:eastAsia="宋体" w:cs="Times New Roman"/>
          <w:kern w:val="0"/>
          <w:sz w:val="28"/>
          <w:szCs w:val="28"/>
        </w:rPr>
        <w:t>温室气体第二部分 项目层次上对温室气体减排和清除增加的量化、监测和</w:t>
      </w:r>
      <w:r>
        <w:rPr>
          <w:rFonts w:hint="default" w:ascii="Times New Roman" w:hAnsi="Times New Roman" w:eastAsia="宋体" w:cs="Times New Roman"/>
          <w:kern w:val="0"/>
          <w:sz w:val="28"/>
          <w:szCs w:val="28"/>
          <w:lang w:eastAsia="zh-CN"/>
        </w:rPr>
        <w:t>报告</w:t>
      </w:r>
      <w:r>
        <w:rPr>
          <w:rFonts w:hint="default" w:ascii="Times New Roman" w:hAnsi="Times New Roman" w:eastAsia="宋体" w:cs="Times New Roman"/>
          <w:kern w:val="0"/>
          <w:sz w:val="28"/>
          <w:szCs w:val="28"/>
        </w:rPr>
        <w:t>的规范及指南</w:t>
      </w:r>
    </w:p>
    <w:p w14:paraId="1D3CBEA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15" w:name="_Toc9358"/>
      <w:bookmarkStart w:id="16" w:name="_Toc23929"/>
      <w:bookmarkStart w:id="17" w:name="_Toc22959"/>
      <w:bookmarkStart w:id="18" w:name="_Toc17926"/>
      <w:r>
        <w:rPr>
          <w:rFonts w:hint="eastAsia" w:ascii="黑体" w:hAnsi="黑体" w:eastAsia="黑体" w:cs="黑体"/>
          <w:b w:val="0"/>
          <w:bCs w:val="0"/>
          <w:spacing w:val="-2"/>
          <w:w w:val="95"/>
          <w:kern w:val="0"/>
          <w:sz w:val="28"/>
          <w:szCs w:val="28"/>
          <w:lang w:val="en-US" w:eastAsia="en-US"/>
        </w:rPr>
        <w:t>术语和定义</w:t>
      </w:r>
      <w:bookmarkEnd w:id="14"/>
      <w:bookmarkEnd w:id="15"/>
      <w:bookmarkEnd w:id="16"/>
      <w:bookmarkEnd w:id="17"/>
      <w:bookmarkEnd w:id="18"/>
    </w:p>
    <w:p w14:paraId="7EC79C8A">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bookmarkStart w:id="19" w:name="3.1"/>
      <w:bookmarkEnd w:id="19"/>
      <w:r>
        <w:rPr>
          <w:rFonts w:hint="eastAsia" w:cs="宋体"/>
          <w:b w:val="0"/>
          <w:bCs/>
          <w:spacing w:val="-5"/>
          <w:sz w:val="28"/>
          <w:szCs w:val="28"/>
          <w:lang w:val="en-US" w:eastAsia="zh-CN"/>
        </w:rPr>
        <w:t>4.1 电化学储能电站</w:t>
      </w:r>
    </w:p>
    <w:p w14:paraId="71742FF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电能存储采用电化学储能介质的储能电站。电化学储能类型主要包括锂离子电池储能、铅酸/铅炭电池储能、液流电池储能、钠离子电池储能、钠硫电池储能、燃料电池储能等。</w:t>
      </w:r>
    </w:p>
    <w:p w14:paraId="2AF914B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rPr>
        <w:t>[来源：DL/T 2528，3</w:t>
      </w:r>
      <w:r>
        <w:rPr>
          <w:rFonts w:hint="default" w:ascii="Times New Roman" w:hAnsi="Times New Roman" w:eastAsia="宋体" w:cs="Times New Roman"/>
          <w:kern w:val="0"/>
          <w:sz w:val="28"/>
          <w:szCs w:val="28"/>
          <w:lang w:val="en-US" w:eastAsia="zh-CN"/>
        </w:rPr>
        <w:t>.2.1.1</w:t>
      </w:r>
      <w:r>
        <w:rPr>
          <w:rFonts w:hint="default" w:ascii="Times New Roman" w:hAnsi="Times New Roman" w:eastAsia="宋体" w:cs="Times New Roman"/>
          <w:kern w:val="0"/>
          <w:sz w:val="28"/>
          <w:szCs w:val="28"/>
        </w:rPr>
        <w:t>]</w:t>
      </w:r>
    </w:p>
    <w:p w14:paraId="5B18692E">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4.2 调峰</w:t>
      </w:r>
    </w:p>
    <w:p w14:paraId="1D655DEF">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储能电站在用电高峰时段释放电能、在用电低谷时段存储电能的一种运行模式。</w:t>
      </w:r>
    </w:p>
    <w:p w14:paraId="02BC0D2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default" w:ascii="Times New Roman" w:hAnsi="Times New Roman" w:eastAsia="宋体" w:cs="Times New Roman"/>
          <w:kern w:val="0"/>
          <w:sz w:val="28"/>
          <w:szCs w:val="28"/>
        </w:rPr>
        <w:t>[来源：DL/T 2528，3</w:t>
      </w:r>
      <w:r>
        <w:rPr>
          <w:rFonts w:hint="default" w:ascii="Times New Roman" w:hAnsi="Times New Roman" w:eastAsia="宋体" w:cs="Times New Roman"/>
          <w:kern w:val="0"/>
          <w:sz w:val="28"/>
          <w:szCs w:val="28"/>
          <w:lang w:val="en-US" w:eastAsia="zh-CN"/>
        </w:rPr>
        <w:t>.</w:t>
      </w:r>
      <w:r>
        <w:rPr>
          <w:rFonts w:hint="eastAsia" w:ascii="Times New Roman" w:hAnsi="Times New Roman" w:eastAsia="宋体" w:cs="Times New Roman"/>
          <w:kern w:val="0"/>
          <w:sz w:val="28"/>
          <w:szCs w:val="28"/>
          <w:lang w:val="en-US" w:eastAsia="zh-CN"/>
        </w:rPr>
        <w:t>3</w:t>
      </w:r>
      <w:r>
        <w:rPr>
          <w:rFonts w:hint="default" w:ascii="Times New Roman" w:hAnsi="Times New Roman" w:eastAsia="宋体" w:cs="Times New Roman"/>
          <w:kern w:val="0"/>
          <w:sz w:val="28"/>
          <w:szCs w:val="28"/>
          <w:lang w:val="en-US" w:eastAsia="zh-CN"/>
        </w:rPr>
        <w:t>.1</w:t>
      </w:r>
      <w:r>
        <w:rPr>
          <w:rFonts w:hint="default" w:ascii="Times New Roman" w:hAnsi="Times New Roman" w:eastAsia="宋体" w:cs="Times New Roman"/>
          <w:kern w:val="0"/>
          <w:sz w:val="28"/>
          <w:szCs w:val="28"/>
        </w:rPr>
        <w:t>]</w:t>
      </w:r>
    </w:p>
    <w:p w14:paraId="6E1B7E7E">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4.3 有效充电工况</w:t>
      </w:r>
    </w:p>
    <w:p w14:paraId="4DEBC06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储</w:t>
      </w:r>
      <w:r>
        <w:rPr>
          <w:rFonts w:hint="eastAsia" w:ascii="宋体" w:hAnsi="宋体" w:eastAsia="宋体" w:cs="宋体"/>
          <w:kern w:val="0"/>
          <w:sz w:val="28"/>
          <w:szCs w:val="28"/>
        </w:rPr>
        <w:t>能系统发生净能量存入电芯的充电工况</w:t>
      </w:r>
      <w:r>
        <w:rPr>
          <w:rFonts w:hint="eastAsia" w:ascii="宋体" w:hAnsi="宋体" w:eastAsia="宋体" w:cs="宋体"/>
          <w:kern w:val="0"/>
          <w:sz w:val="28"/>
          <w:szCs w:val="28"/>
          <w:lang w:eastAsia="zh-CN"/>
        </w:rPr>
        <w:t>，</w:t>
      </w:r>
      <w:r>
        <w:rPr>
          <w:rFonts w:hint="eastAsia" w:ascii="宋体" w:hAnsi="宋体" w:eastAsia="宋体" w:cs="宋体"/>
          <w:kern w:val="0"/>
          <w:sz w:val="28"/>
          <w:szCs w:val="28"/>
          <w:lang w:val="en-US" w:eastAsia="zh-CN"/>
        </w:rPr>
        <w:t>荷电状态</w:t>
      </w:r>
      <w:r>
        <w:rPr>
          <w:rFonts w:hint="eastAsia" w:ascii="宋体" w:hAnsi="宋体" w:eastAsia="宋体" w:cs="宋体"/>
          <w:kern w:val="0"/>
          <w:sz w:val="28"/>
          <w:szCs w:val="28"/>
          <w:lang w:eastAsia="zh-CN"/>
        </w:rPr>
        <w:t>显著抬升的受控充电运行时段，剔除小幅功率波动等无实际储能作用的低功率运行时段</w:t>
      </w:r>
      <w:r>
        <w:rPr>
          <w:rFonts w:hint="eastAsia" w:ascii="宋体" w:hAnsi="宋体" w:eastAsia="宋体" w:cs="宋体"/>
          <w:kern w:val="0"/>
          <w:sz w:val="28"/>
          <w:szCs w:val="28"/>
        </w:rPr>
        <w:t>。</w:t>
      </w:r>
    </w:p>
    <w:p w14:paraId="3E522A90">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20" w:name="_Toc26370"/>
      <w:bookmarkStart w:id="21" w:name="_Toc31481"/>
      <w:bookmarkStart w:id="22" w:name="_Toc25768"/>
      <w:bookmarkStart w:id="23" w:name="_Toc11594"/>
      <w:r>
        <w:rPr>
          <w:rFonts w:hint="eastAsia" w:ascii="黑体" w:hAnsi="黑体" w:eastAsia="黑体" w:cs="黑体"/>
          <w:b w:val="0"/>
          <w:bCs w:val="0"/>
          <w:spacing w:val="-2"/>
          <w:w w:val="95"/>
          <w:kern w:val="0"/>
          <w:sz w:val="28"/>
          <w:szCs w:val="28"/>
          <w:lang w:val="en-US" w:eastAsia="zh-CN"/>
        </w:rPr>
        <w:t>基本要求</w:t>
      </w:r>
      <w:bookmarkEnd w:id="20"/>
      <w:bookmarkEnd w:id="21"/>
      <w:bookmarkEnd w:id="22"/>
      <w:bookmarkEnd w:id="23"/>
    </w:p>
    <w:p w14:paraId="1E8ACA6F">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eastAsia="en-US"/>
        </w:rPr>
      </w:pPr>
      <w:r>
        <w:rPr>
          <w:rFonts w:hint="eastAsia" w:cs="宋体"/>
          <w:b w:val="0"/>
          <w:bCs/>
          <w:spacing w:val="-5"/>
          <w:sz w:val="28"/>
          <w:szCs w:val="28"/>
          <w:lang w:eastAsia="en-US"/>
        </w:rPr>
        <w:t>5.1 合规性说明</w:t>
      </w:r>
    </w:p>
    <w:p w14:paraId="78CCF82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本</w:t>
      </w:r>
      <w:r>
        <w:rPr>
          <w:rFonts w:hint="eastAsia" w:ascii="宋体" w:hAnsi="宋体" w:eastAsia="宋体" w:cs="宋体"/>
          <w:kern w:val="0"/>
          <w:sz w:val="28"/>
          <w:szCs w:val="28"/>
          <w:lang w:eastAsia="zh-CN"/>
        </w:rPr>
        <w:t>项目</w:t>
      </w:r>
      <w:r>
        <w:rPr>
          <w:rFonts w:hint="eastAsia" w:ascii="宋体" w:hAnsi="宋体" w:eastAsia="宋体" w:cs="宋体"/>
          <w:kern w:val="0"/>
          <w:sz w:val="28"/>
          <w:szCs w:val="28"/>
        </w:rPr>
        <w:t>需要在合法合规的前提下进行，</w:t>
      </w:r>
      <w:r>
        <w:rPr>
          <w:rFonts w:hint="eastAsia" w:ascii="宋体" w:hAnsi="宋体" w:eastAsia="宋体" w:cs="宋体"/>
          <w:kern w:val="0"/>
          <w:sz w:val="28"/>
          <w:szCs w:val="28"/>
          <w:lang w:eastAsia="zh-CN"/>
        </w:rPr>
        <w:t>项目</w:t>
      </w:r>
      <w:r>
        <w:rPr>
          <w:rFonts w:hint="eastAsia" w:ascii="宋体" w:hAnsi="宋体" w:eastAsia="宋体" w:cs="宋体"/>
          <w:kern w:val="0"/>
          <w:sz w:val="28"/>
          <w:szCs w:val="28"/>
        </w:rPr>
        <w:t>开发主体不得非法收集、使用、加工、传输用户信息，不得非法买卖、提供或者公开用户信息。</w:t>
      </w:r>
    </w:p>
    <w:p w14:paraId="04877D83">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eastAsia="en-US"/>
        </w:rPr>
      </w:pPr>
      <w:r>
        <w:rPr>
          <w:rFonts w:hint="eastAsia" w:cs="宋体"/>
          <w:b w:val="0"/>
          <w:bCs/>
          <w:spacing w:val="-5"/>
          <w:sz w:val="28"/>
          <w:szCs w:val="28"/>
          <w:lang w:eastAsia="en-US"/>
        </w:rPr>
        <w:t>5.2 普惠性说明</w:t>
      </w:r>
    </w:p>
    <w:p w14:paraId="2063720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当前本市电化学储能电站建设已形成一定规模，电网运行主体主动开展</w:t>
      </w:r>
      <w:r>
        <w:rPr>
          <w:rFonts w:hint="eastAsia" w:ascii="宋体" w:hAnsi="宋体" w:eastAsia="宋体" w:cs="宋体"/>
          <w:kern w:val="0"/>
          <w:sz w:val="28"/>
          <w:szCs w:val="28"/>
          <w:lang w:val="en-US" w:eastAsia="zh-CN"/>
        </w:rPr>
        <w:t>调峰</w:t>
      </w:r>
      <w:r>
        <w:rPr>
          <w:rFonts w:hint="eastAsia" w:ascii="宋体" w:hAnsi="宋体" w:eastAsia="宋体" w:cs="宋体"/>
          <w:kern w:val="0"/>
          <w:sz w:val="28"/>
          <w:szCs w:val="28"/>
        </w:rPr>
        <w:t>、提升区域新能源消纳水平的实施条件成熟，项目落地具备良好的实施基础；本方法学适用于</w:t>
      </w:r>
      <w:r>
        <w:rPr>
          <w:rFonts w:hint="eastAsia" w:ascii="宋体" w:hAnsi="宋体" w:eastAsia="宋体" w:cs="宋体"/>
          <w:kern w:val="0"/>
          <w:sz w:val="28"/>
          <w:szCs w:val="28"/>
          <w:lang w:val="en-US" w:eastAsia="zh-CN"/>
        </w:rPr>
        <w:t>电网侧</w:t>
      </w:r>
      <w:r>
        <w:rPr>
          <w:rFonts w:hint="eastAsia" w:ascii="宋体" w:hAnsi="宋体" w:eastAsia="宋体" w:cs="宋体"/>
          <w:kern w:val="0"/>
          <w:sz w:val="28"/>
          <w:szCs w:val="28"/>
        </w:rPr>
        <w:t>电化学储能电站替代常规调峰电源带来的减排量核算，具备一定普适性；基于本方法学核算并申请获得的碳普惠</w:t>
      </w:r>
      <w:r>
        <w:rPr>
          <w:rFonts w:hint="eastAsia" w:ascii="宋体" w:hAnsi="宋体" w:eastAsia="宋体" w:cs="宋体"/>
          <w:kern w:val="0"/>
          <w:sz w:val="28"/>
          <w:szCs w:val="28"/>
          <w:lang w:eastAsia="zh-CN"/>
        </w:rPr>
        <w:t>项目</w:t>
      </w:r>
      <w:r>
        <w:rPr>
          <w:rFonts w:hint="eastAsia" w:ascii="宋体" w:hAnsi="宋体" w:eastAsia="宋体" w:cs="宋体"/>
          <w:kern w:val="0"/>
          <w:sz w:val="28"/>
          <w:szCs w:val="28"/>
        </w:rPr>
        <w:t>减排量，其第一获益人为储能电站投资运营主体，落地可操作性高，能够充分调动市场主体参与电网侧储能项目建设、优化储能调度运行的积极性，具备良好的政策激励作用。</w:t>
      </w:r>
    </w:p>
    <w:p w14:paraId="26C6FF6F">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highlight w:val="none"/>
          <w:lang w:val="en-US" w:eastAsia="zh-CN"/>
        </w:rPr>
      </w:pPr>
      <w:bookmarkStart w:id="24" w:name="_Toc19735"/>
      <w:bookmarkStart w:id="25" w:name="_Toc20418"/>
      <w:bookmarkStart w:id="26" w:name="_Toc201"/>
      <w:bookmarkStart w:id="27" w:name="_Toc21461"/>
      <w:r>
        <w:rPr>
          <w:rFonts w:hint="eastAsia" w:ascii="黑体" w:hAnsi="黑体" w:eastAsia="黑体" w:cs="黑体"/>
          <w:b w:val="0"/>
          <w:bCs w:val="0"/>
          <w:spacing w:val="-2"/>
          <w:w w:val="95"/>
          <w:kern w:val="0"/>
          <w:sz w:val="28"/>
          <w:szCs w:val="28"/>
          <w:highlight w:val="none"/>
          <w:lang w:val="en-US" w:eastAsia="zh-CN"/>
        </w:rPr>
        <w:t>核算边界及排放源</w:t>
      </w:r>
      <w:bookmarkEnd w:id="24"/>
      <w:bookmarkEnd w:id="25"/>
      <w:bookmarkEnd w:id="26"/>
      <w:bookmarkEnd w:id="27"/>
    </w:p>
    <w:p w14:paraId="0A948FED">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firstLine="0" w:firstLineChars="0"/>
        <w:textAlignment w:val="auto"/>
        <w:outlineLvl w:val="9"/>
        <w:rPr>
          <w:rFonts w:hint="eastAsia" w:ascii="黑体" w:hAnsi="黑体" w:eastAsia="黑体" w:cs="宋体"/>
          <w:bCs/>
          <w:spacing w:val="-5"/>
          <w:kern w:val="0"/>
          <w:sz w:val="28"/>
          <w:szCs w:val="28"/>
          <w:lang w:val="en-US" w:eastAsia="en-US"/>
        </w:rPr>
      </w:pPr>
      <w:r>
        <w:rPr>
          <w:rFonts w:hint="eastAsia" w:ascii="黑体" w:hAnsi="黑体" w:eastAsia="黑体" w:cs="宋体"/>
          <w:bCs/>
          <w:spacing w:val="-5"/>
          <w:kern w:val="0"/>
          <w:sz w:val="28"/>
          <w:szCs w:val="28"/>
          <w:lang w:val="en-US" w:eastAsia="en-US"/>
        </w:rPr>
        <w:t>6.1 核算边界</w:t>
      </w:r>
    </w:p>
    <w:p w14:paraId="5B4E932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rPr>
        <w:t>项目边界的空间范围包括</w:t>
      </w:r>
      <w:r>
        <w:rPr>
          <w:rFonts w:hint="eastAsia" w:ascii="宋体" w:hAnsi="宋体" w:eastAsia="宋体" w:cs="宋体"/>
          <w:kern w:val="0"/>
          <w:sz w:val="28"/>
          <w:szCs w:val="28"/>
          <w:lang w:val="en-US" w:eastAsia="zh-CN"/>
        </w:rPr>
        <w:t>电网侧</w:t>
      </w:r>
      <w:r>
        <w:rPr>
          <w:rFonts w:hint="eastAsia" w:ascii="宋体" w:hAnsi="宋体" w:eastAsia="宋体" w:cs="宋体"/>
          <w:kern w:val="0"/>
          <w:sz w:val="28"/>
          <w:szCs w:val="28"/>
        </w:rPr>
        <w:t>电化学储能电站</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本项目接入的电网中的</w:t>
      </w:r>
      <w:r>
        <w:rPr>
          <w:rFonts w:hint="eastAsia" w:ascii="宋体" w:hAnsi="宋体" w:eastAsia="宋体" w:cs="宋体"/>
          <w:kern w:val="0"/>
          <w:sz w:val="28"/>
          <w:szCs w:val="28"/>
          <w:lang w:val="en-US" w:eastAsia="zh-CN"/>
        </w:rPr>
        <w:t>专用线缆、电网侧表计。核算仅采集有效充放电工况下对应的充放电电量数据。</w:t>
      </w:r>
    </w:p>
    <w:p w14:paraId="4DF550D9">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firstLine="0" w:firstLineChars="0"/>
        <w:textAlignment w:val="auto"/>
        <w:outlineLvl w:val="9"/>
        <w:rPr>
          <w:rFonts w:hint="eastAsia" w:ascii="黑体" w:hAnsi="黑体" w:eastAsia="黑体" w:cs="宋体"/>
          <w:bCs/>
          <w:spacing w:val="-5"/>
          <w:kern w:val="0"/>
          <w:sz w:val="28"/>
          <w:szCs w:val="28"/>
          <w:lang w:val="en-US" w:eastAsia="en-US"/>
        </w:rPr>
      </w:pPr>
      <w:r>
        <w:rPr>
          <w:rFonts w:hint="eastAsia" w:ascii="黑体" w:hAnsi="黑体" w:eastAsia="黑体" w:cs="宋体"/>
          <w:bCs/>
          <w:spacing w:val="-5"/>
          <w:kern w:val="0"/>
          <w:sz w:val="28"/>
          <w:szCs w:val="28"/>
          <w:lang w:val="en-US" w:eastAsia="en-US"/>
        </w:rPr>
        <w:t>6.2 计入期</w:t>
      </w:r>
    </w:p>
    <w:p w14:paraId="215278F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目计入期为可申请碳普惠项目减排量登记的时间期限，计入期不超过10年。新建储能设施计入期自项目实际对外投运开展储能服务的运营起始日起算；对于2026年之前已经投运的存量储能设施，计入期统一自2026年1月1日起开始计算。项目监测的最小时间单元为小时，所有用于减排核算的活动数据、参数记录、电量数据均应以小时粒度开展采集存储。</w:t>
      </w:r>
    </w:p>
    <w:p w14:paraId="1D5434F8">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firstLine="0" w:firstLineChars="0"/>
        <w:textAlignment w:val="auto"/>
        <w:outlineLvl w:val="9"/>
        <w:rPr>
          <w:rFonts w:hint="eastAsia" w:ascii="黑体" w:hAnsi="黑体" w:eastAsia="黑体" w:cs="宋体"/>
          <w:bCs/>
          <w:spacing w:val="-5"/>
          <w:kern w:val="0"/>
          <w:sz w:val="28"/>
          <w:szCs w:val="28"/>
          <w:lang w:val="en-US" w:eastAsia="en-US"/>
        </w:rPr>
      </w:pPr>
      <w:r>
        <w:rPr>
          <w:rFonts w:hint="eastAsia" w:ascii="黑体" w:hAnsi="黑体" w:eastAsia="黑体" w:cs="宋体"/>
          <w:bCs/>
          <w:spacing w:val="-5"/>
          <w:kern w:val="0"/>
          <w:sz w:val="28"/>
          <w:szCs w:val="28"/>
          <w:lang w:val="en-US" w:eastAsia="en-US"/>
        </w:rPr>
        <w:t>6.3 温室气体排放源</w:t>
      </w:r>
    </w:p>
    <w:p w14:paraId="3A88480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r>
        <w:rPr>
          <w:rFonts w:hint="eastAsia" w:ascii="宋体" w:hAnsi="宋体" w:eastAsia="宋体" w:cs="宋体"/>
          <w:kern w:val="0"/>
          <w:sz w:val="28"/>
          <w:szCs w:val="28"/>
        </w:rPr>
        <w:t>边界内包括或者不包括的温室气体种类以及排放源如表1所示。</w:t>
      </w:r>
    </w:p>
    <w:p w14:paraId="197FCD0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jc w:val="center"/>
        <w:textAlignment w:val="auto"/>
        <w:rPr>
          <w:rFonts w:ascii="Arial"/>
          <w:b/>
          <w:bCs/>
          <w:sz w:val="2"/>
        </w:rPr>
      </w:pPr>
      <w:r>
        <w:rPr>
          <w:rFonts w:hint="eastAsia" w:ascii="黑体" w:hAnsi="黑体" w:eastAsia="黑体" w:cs="黑体"/>
          <w:kern w:val="0"/>
          <w:sz w:val="24"/>
          <w:szCs w:val="24"/>
        </w:rPr>
        <w:t>表1 项目边界内包括或者不包括的排放源</w:t>
      </w:r>
    </w:p>
    <w:tbl>
      <w:tblPr>
        <w:tblStyle w:val="29"/>
        <w:tblW w:w="8282" w:type="dxa"/>
        <w:tblInd w:w="2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9"/>
        <w:gridCol w:w="2318"/>
        <w:gridCol w:w="1747"/>
        <w:gridCol w:w="1200"/>
        <w:gridCol w:w="2208"/>
      </w:tblGrid>
      <w:tr w14:paraId="20F1E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3127" w:type="dxa"/>
            <w:gridSpan w:val="2"/>
            <w:tcBorders>
              <w:top w:val="single" w:color="000000" w:sz="6" w:space="0"/>
              <w:left w:val="single" w:color="000000" w:sz="6" w:space="0"/>
            </w:tcBorders>
            <w:vAlign w:val="center"/>
          </w:tcPr>
          <w:p w14:paraId="426C7E95">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b/>
                <w:bCs/>
                <w:color w:val="000000"/>
                <w:sz w:val="24"/>
                <w:szCs w:val="24"/>
              </w:rPr>
            </w:pPr>
            <w:r>
              <w:rPr>
                <w:rFonts w:ascii="Times New Roman"/>
                <w:b/>
                <w:bCs/>
                <w:color w:val="000000"/>
                <w:sz w:val="24"/>
                <w:szCs w:val="24"/>
              </w:rPr>
              <w:t>排放源</w:t>
            </w:r>
          </w:p>
        </w:tc>
        <w:tc>
          <w:tcPr>
            <w:tcW w:w="1747" w:type="dxa"/>
            <w:tcBorders>
              <w:top w:val="single" w:color="000000" w:sz="6" w:space="0"/>
            </w:tcBorders>
            <w:vAlign w:val="center"/>
          </w:tcPr>
          <w:p w14:paraId="71D03129">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b/>
                <w:bCs/>
                <w:color w:val="000000"/>
                <w:sz w:val="24"/>
                <w:szCs w:val="24"/>
              </w:rPr>
            </w:pPr>
            <w:r>
              <w:rPr>
                <w:rFonts w:ascii="Times New Roman"/>
                <w:b/>
                <w:bCs/>
                <w:color w:val="000000"/>
                <w:sz w:val="24"/>
                <w:szCs w:val="24"/>
              </w:rPr>
              <w:t>温室气体种类</w:t>
            </w:r>
          </w:p>
        </w:tc>
        <w:tc>
          <w:tcPr>
            <w:tcW w:w="1200" w:type="dxa"/>
            <w:tcBorders>
              <w:top w:val="single" w:color="000000" w:sz="6" w:space="0"/>
            </w:tcBorders>
            <w:vAlign w:val="center"/>
          </w:tcPr>
          <w:p w14:paraId="3010D655">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b/>
                <w:bCs/>
                <w:color w:val="000000"/>
                <w:sz w:val="24"/>
                <w:szCs w:val="24"/>
              </w:rPr>
            </w:pPr>
            <w:r>
              <w:rPr>
                <w:rFonts w:ascii="Times New Roman"/>
                <w:b/>
                <w:bCs/>
                <w:color w:val="000000"/>
                <w:sz w:val="24"/>
                <w:szCs w:val="24"/>
              </w:rPr>
              <w:t>是否包括</w:t>
            </w:r>
          </w:p>
        </w:tc>
        <w:tc>
          <w:tcPr>
            <w:tcW w:w="2208" w:type="dxa"/>
            <w:tcBorders>
              <w:top w:val="single" w:color="000000" w:sz="6" w:space="0"/>
              <w:right w:val="single" w:color="000000" w:sz="6" w:space="0"/>
            </w:tcBorders>
            <w:vAlign w:val="center"/>
          </w:tcPr>
          <w:p w14:paraId="29645CB6">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b/>
                <w:bCs/>
                <w:color w:val="000000"/>
                <w:sz w:val="24"/>
                <w:szCs w:val="24"/>
              </w:rPr>
            </w:pPr>
            <w:r>
              <w:rPr>
                <w:rFonts w:ascii="Times New Roman"/>
                <w:b/>
                <w:bCs/>
                <w:color w:val="000000"/>
                <w:sz w:val="24"/>
                <w:szCs w:val="24"/>
              </w:rPr>
              <w:t>说明理由/解释</w:t>
            </w:r>
          </w:p>
        </w:tc>
      </w:tr>
      <w:tr w14:paraId="5E4D4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809" w:type="dxa"/>
            <w:vMerge w:val="restart"/>
            <w:tcBorders>
              <w:left w:val="single" w:color="000000" w:sz="6" w:space="0"/>
            </w:tcBorders>
            <w:vAlign w:val="center"/>
          </w:tcPr>
          <w:p w14:paraId="0FC271D9">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p w14:paraId="154EB383">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基准线</w:t>
            </w:r>
          </w:p>
        </w:tc>
        <w:tc>
          <w:tcPr>
            <w:tcW w:w="2318" w:type="dxa"/>
            <w:vMerge w:val="restart"/>
            <w:vAlign w:val="center"/>
          </w:tcPr>
          <w:p w14:paraId="38AFFB6D">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p w14:paraId="1952C061">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由于项目</w:t>
            </w:r>
            <w:r>
              <w:rPr>
                <w:rFonts w:hint="eastAsia" w:ascii="Times New Roman"/>
                <w:color w:val="000000"/>
                <w:sz w:val="24"/>
                <w:szCs w:val="24"/>
                <w:lang w:val="en-US" w:eastAsia="zh-CN"/>
              </w:rPr>
              <w:t>放电</w:t>
            </w:r>
            <w:r>
              <w:rPr>
                <w:rFonts w:ascii="Times New Roman"/>
                <w:color w:val="000000"/>
                <w:sz w:val="24"/>
                <w:szCs w:val="24"/>
              </w:rPr>
              <w:t>活动</w:t>
            </w:r>
            <w:r>
              <w:rPr>
                <w:rFonts w:hint="eastAsia" w:ascii="Times New Roman"/>
                <w:color w:val="000000"/>
                <w:sz w:val="24"/>
                <w:szCs w:val="24"/>
                <w:lang w:val="en-US" w:eastAsia="zh-CN"/>
              </w:rPr>
              <w:t>时</w:t>
            </w:r>
            <w:r>
              <w:rPr>
                <w:rFonts w:ascii="Times New Roman"/>
                <w:color w:val="000000"/>
                <w:sz w:val="24"/>
                <w:szCs w:val="24"/>
              </w:rPr>
              <w:t>被替代的</w:t>
            </w:r>
            <w:r>
              <w:rPr>
                <w:rFonts w:hint="eastAsia" w:ascii="Times New Roman"/>
                <w:color w:val="000000"/>
                <w:sz w:val="24"/>
                <w:szCs w:val="24"/>
                <w:lang w:val="en-US" w:eastAsia="zh-CN"/>
              </w:rPr>
              <w:t>电网调峰电源</w:t>
            </w:r>
            <w:r>
              <w:rPr>
                <w:rFonts w:ascii="Times New Roman"/>
                <w:color w:val="000000"/>
                <w:sz w:val="24"/>
                <w:szCs w:val="24"/>
              </w:rPr>
              <w:t>产生的CO</w:t>
            </w:r>
            <w:r>
              <w:rPr>
                <w:rFonts w:ascii="Times New Roman"/>
                <w:color w:val="000000"/>
                <w:sz w:val="24"/>
                <w:szCs w:val="24"/>
                <w:vertAlign w:val="subscript"/>
              </w:rPr>
              <w:t>2</w:t>
            </w:r>
            <w:r>
              <w:rPr>
                <w:rFonts w:ascii="Times New Roman"/>
                <w:color w:val="000000"/>
                <w:sz w:val="24"/>
                <w:szCs w:val="24"/>
              </w:rPr>
              <w:t>排放</w:t>
            </w:r>
          </w:p>
        </w:tc>
        <w:tc>
          <w:tcPr>
            <w:tcW w:w="1747" w:type="dxa"/>
            <w:vAlign w:val="center"/>
          </w:tcPr>
          <w:p w14:paraId="75D49BC5">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CO</w:t>
            </w:r>
            <w:r>
              <w:rPr>
                <w:rFonts w:ascii="Times New Roman"/>
                <w:color w:val="000000"/>
                <w:sz w:val="24"/>
                <w:szCs w:val="24"/>
                <w:vertAlign w:val="subscript"/>
              </w:rPr>
              <w:t>2</w:t>
            </w:r>
          </w:p>
        </w:tc>
        <w:tc>
          <w:tcPr>
            <w:tcW w:w="1200" w:type="dxa"/>
            <w:vAlign w:val="center"/>
          </w:tcPr>
          <w:p w14:paraId="043D1977">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是</w:t>
            </w:r>
          </w:p>
        </w:tc>
        <w:tc>
          <w:tcPr>
            <w:tcW w:w="2208" w:type="dxa"/>
            <w:tcBorders>
              <w:right w:val="single" w:color="000000" w:sz="6" w:space="0"/>
            </w:tcBorders>
            <w:vAlign w:val="center"/>
          </w:tcPr>
          <w:p w14:paraId="178B92C2">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主要排放源</w:t>
            </w:r>
          </w:p>
        </w:tc>
      </w:tr>
      <w:tr w14:paraId="02F4F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809" w:type="dxa"/>
            <w:vMerge w:val="continue"/>
            <w:tcBorders>
              <w:left w:val="single" w:color="000000" w:sz="6" w:space="0"/>
            </w:tcBorders>
            <w:vAlign w:val="center"/>
          </w:tcPr>
          <w:p w14:paraId="48855F45">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2318" w:type="dxa"/>
            <w:vMerge w:val="continue"/>
            <w:vAlign w:val="center"/>
          </w:tcPr>
          <w:p w14:paraId="25EC07BE">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1747" w:type="dxa"/>
            <w:vAlign w:val="center"/>
          </w:tcPr>
          <w:p w14:paraId="7A819E52">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CH</w:t>
            </w:r>
            <w:r>
              <w:rPr>
                <w:rFonts w:ascii="Times New Roman"/>
                <w:color w:val="000000"/>
                <w:sz w:val="24"/>
                <w:szCs w:val="24"/>
                <w:vertAlign w:val="subscript"/>
              </w:rPr>
              <w:t>4</w:t>
            </w:r>
          </w:p>
        </w:tc>
        <w:tc>
          <w:tcPr>
            <w:tcW w:w="1200" w:type="dxa"/>
            <w:vAlign w:val="center"/>
          </w:tcPr>
          <w:p w14:paraId="41F82242">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否</w:t>
            </w:r>
          </w:p>
        </w:tc>
        <w:tc>
          <w:tcPr>
            <w:tcW w:w="2208" w:type="dxa"/>
            <w:tcBorders>
              <w:right w:val="single" w:color="000000" w:sz="6" w:space="0"/>
            </w:tcBorders>
            <w:vAlign w:val="center"/>
          </w:tcPr>
          <w:p w14:paraId="076E120F">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为简化而排除</w:t>
            </w:r>
          </w:p>
        </w:tc>
      </w:tr>
      <w:tr w14:paraId="0308D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809" w:type="dxa"/>
            <w:vMerge w:val="continue"/>
            <w:tcBorders>
              <w:left w:val="single" w:color="000000" w:sz="6" w:space="0"/>
            </w:tcBorders>
            <w:vAlign w:val="center"/>
          </w:tcPr>
          <w:p w14:paraId="76F3C2DA">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2318" w:type="dxa"/>
            <w:vMerge w:val="continue"/>
            <w:vAlign w:val="center"/>
          </w:tcPr>
          <w:p w14:paraId="248A9E81">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1747" w:type="dxa"/>
            <w:vAlign w:val="center"/>
          </w:tcPr>
          <w:p w14:paraId="1BEA11E0">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N</w:t>
            </w:r>
            <w:r>
              <w:rPr>
                <w:rFonts w:ascii="Times New Roman"/>
                <w:color w:val="000000"/>
                <w:sz w:val="24"/>
                <w:szCs w:val="24"/>
                <w:vertAlign w:val="subscript"/>
              </w:rPr>
              <w:t>2</w:t>
            </w:r>
            <w:r>
              <w:rPr>
                <w:rFonts w:ascii="Times New Roman"/>
                <w:color w:val="000000"/>
                <w:sz w:val="24"/>
                <w:szCs w:val="24"/>
              </w:rPr>
              <w:t>O</w:t>
            </w:r>
          </w:p>
        </w:tc>
        <w:tc>
          <w:tcPr>
            <w:tcW w:w="1200" w:type="dxa"/>
            <w:vAlign w:val="center"/>
          </w:tcPr>
          <w:p w14:paraId="442CF608">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否</w:t>
            </w:r>
          </w:p>
        </w:tc>
        <w:tc>
          <w:tcPr>
            <w:tcW w:w="2208" w:type="dxa"/>
            <w:tcBorders>
              <w:right w:val="single" w:color="000000" w:sz="6" w:space="0"/>
            </w:tcBorders>
            <w:vAlign w:val="center"/>
          </w:tcPr>
          <w:p w14:paraId="5F74BCA7">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次要排放源</w:t>
            </w:r>
          </w:p>
        </w:tc>
      </w:tr>
      <w:tr w14:paraId="709AA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809" w:type="dxa"/>
            <w:vMerge w:val="continue"/>
            <w:tcBorders>
              <w:left w:val="single" w:color="000000" w:sz="6" w:space="0"/>
            </w:tcBorders>
            <w:vAlign w:val="center"/>
          </w:tcPr>
          <w:p w14:paraId="4E826EAA">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2318" w:type="dxa"/>
            <w:vMerge w:val="continue"/>
            <w:vAlign w:val="center"/>
          </w:tcPr>
          <w:p w14:paraId="6D241612">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1747" w:type="dxa"/>
            <w:vAlign w:val="center"/>
          </w:tcPr>
          <w:p w14:paraId="143C7044">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hint="eastAsia" w:ascii="Times New Roman"/>
                <w:color w:val="000000"/>
                <w:sz w:val="24"/>
                <w:szCs w:val="24"/>
              </w:rPr>
              <w:t>PFCs</w:t>
            </w:r>
          </w:p>
        </w:tc>
        <w:tc>
          <w:tcPr>
            <w:tcW w:w="1200" w:type="dxa"/>
            <w:shd w:val="clear" w:color="auto" w:fill="auto"/>
            <w:vAlign w:val="center"/>
          </w:tcPr>
          <w:p w14:paraId="53B965B9">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hAnsi="Times New Roman" w:eastAsia="宋体" w:cs="Times New Roman"/>
                <w:color w:val="000000"/>
                <w:sz w:val="24"/>
                <w:szCs w:val="24"/>
                <w:lang w:val="en-US" w:eastAsia="zh-CN" w:bidi="ar-SA"/>
              </w:rPr>
            </w:pPr>
            <w:r>
              <w:rPr>
                <w:rFonts w:ascii="Times New Roman"/>
                <w:color w:val="000000"/>
                <w:sz w:val="24"/>
                <w:szCs w:val="24"/>
              </w:rPr>
              <w:t>否</w:t>
            </w:r>
          </w:p>
        </w:tc>
        <w:tc>
          <w:tcPr>
            <w:tcW w:w="2208" w:type="dxa"/>
            <w:tcBorders>
              <w:right w:val="single" w:color="000000" w:sz="6" w:space="0"/>
            </w:tcBorders>
            <w:shd w:val="clear" w:color="auto" w:fill="auto"/>
            <w:vAlign w:val="center"/>
          </w:tcPr>
          <w:p w14:paraId="2DE93084">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hAnsi="Times New Roman" w:eastAsia="宋体" w:cs="Times New Roman"/>
                <w:color w:val="000000"/>
                <w:sz w:val="24"/>
                <w:szCs w:val="24"/>
                <w:lang w:val="en-US" w:eastAsia="zh-CN" w:bidi="ar-SA"/>
              </w:rPr>
            </w:pPr>
            <w:r>
              <w:rPr>
                <w:rFonts w:ascii="Times New Roman"/>
                <w:color w:val="000000"/>
                <w:sz w:val="24"/>
                <w:szCs w:val="24"/>
              </w:rPr>
              <w:t>次要排放源</w:t>
            </w:r>
          </w:p>
        </w:tc>
      </w:tr>
      <w:tr w14:paraId="22DE8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0" w:hRule="atLeast"/>
        </w:trPr>
        <w:tc>
          <w:tcPr>
            <w:tcW w:w="809" w:type="dxa"/>
            <w:vMerge w:val="restart"/>
            <w:tcBorders>
              <w:left w:val="single" w:color="000000" w:sz="6" w:space="0"/>
            </w:tcBorders>
            <w:vAlign w:val="center"/>
          </w:tcPr>
          <w:p w14:paraId="1D015C17">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项目</w:t>
            </w:r>
          </w:p>
          <w:p w14:paraId="1BD0C194">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活动</w:t>
            </w:r>
          </w:p>
        </w:tc>
        <w:tc>
          <w:tcPr>
            <w:tcW w:w="2318" w:type="dxa"/>
            <w:vMerge w:val="restart"/>
            <w:vAlign w:val="center"/>
          </w:tcPr>
          <w:p w14:paraId="386012DE">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hint="eastAsia" w:ascii="宋体" w:hAnsi="宋体" w:eastAsia="宋体" w:cs="宋体"/>
                <w:sz w:val="24"/>
                <w:szCs w:val="24"/>
              </w:rPr>
              <w:t>储能有效充电工况下充电从电网取电产生的</w:t>
            </w:r>
            <w:r>
              <w:rPr>
                <w:rFonts w:hint="default" w:ascii="Times New Roman" w:hAnsi="Times New Roman" w:eastAsia="宋体" w:cs="Times New Roman"/>
                <w:sz w:val="24"/>
                <w:szCs w:val="24"/>
              </w:rPr>
              <w:t>CO</w:t>
            </w:r>
            <w:r>
              <w:rPr>
                <w:rFonts w:hint="default" w:ascii="Times New Roman" w:hAnsi="Times New Roman" w:cs="Times New Roman"/>
                <w:sz w:val="24"/>
                <w:szCs w:val="24"/>
                <w:vertAlign w:val="subscript"/>
                <w:lang w:val="en-US" w:eastAsia="zh-CN"/>
              </w:rPr>
              <w:t>2</w:t>
            </w:r>
            <w:r>
              <w:rPr>
                <w:rFonts w:hint="eastAsia" w:ascii="宋体" w:hAnsi="宋体" w:eastAsia="宋体" w:cs="宋体"/>
                <w:sz w:val="24"/>
                <w:szCs w:val="24"/>
              </w:rPr>
              <w:t>排放</w:t>
            </w:r>
          </w:p>
        </w:tc>
        <w:tc>
          <w:tcPr>
            <w:tcW w:w="1747" w:type="dxa"/>
            <w:vAlign w:val="center"/>
          </w:tcPr>
          <w:p w14:paraId="04C192CE">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CO</w:t>
            </w:r>
            <w:r>
              <w:rPr>
                <w:rFonts w:ascii="Times New Roman"/>
                <w:color w:val="000000"/>
                <w:sz w:val="24"/>
                <w:szCs w:val="24"/>
                <w:vertAlign w:val="subscript"/>
              </w:rPr>
              <w:t>2</w:t>
            </w:r>
          </w:p>
        </w:tc>
        <w:tc>
          <w:tcPr>
            <w:tcW w:w="1200" w:type="dxa"/>
            <w:vAlign w:val="center"/>
          </w:tcPr>
          <w:p w14:paraId="176903B5">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否</w:t>
            </w:r>
          </w:p>
        </w:tc>
        <w:tc>
          <w:tcPr>
            <w:tcW w:w="2208" w:type="dxa"/>
            <w:tcBorders>
              <w:right w:val="single" w:color="000000" w:sz="6" w:space="0"/>
            </w:tcBorders>
            <w:vAlign w:val="center"/>
          </w:tcPr>
          <w:p w14:paraId="6C1A0F3C">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hint="eastAsia" w:ascii="Times New Roman"/>
                <w:color w:val="000000"/>
                <w:sz w:val="24"/>
                <w:szCs w:val="24"/>
                <w:lang w:val="en-US" w:eastAsia="zh-CN"/>
              </w:rPr>
              <w:t>主要排放源</w:t>
            </w:r>
          </w:p>
        </w:tc>
      </w:tr>
      <w:tr w14:paraId="4ED95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809" w:type="dxa"/>
            <w:vMerge w:val="continue"/>
            <w:tcBorders>
              <w:left w:val="single" w:color="000000" w:sz="6" w:space="0"/>
            </w:tcBorders>
            <w:vAlign w:val="center"/>
          </w:tcPr>
          <w:p w14:paraId="6A780855">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2318" w:type="dxa"/>
            <w:vMerge w:val="continue"/>
            <w:vAlign w:val="center"/>
          </w:tcPr>
          <w:p w14:paraId="4843B3CB">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1747" w:type="dxa"/>
            <w:vAlign w:val="center"/>
          </w:tcPr>
          <w:p w14:paraId="4B80B504">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CH</w:t>
            </w:r>
            <w:r>
              <w:rPr>
                <w:rFonts w:ascii="Times New Roman"/>
                <w:color w:val="000000"/>
                <w:sz w:val="24"/>
                <w:szCs w:val="24"/>
                <w:vertAlign w:val="subscript"/>
              </w:rPr>
              <w:t>4</w:t>
            </w:r>
          </w:p>
        </w:tc>
        <w:tc>
          <w:tcPr>
            <w:tcW w:w="1200" w:type="dxa"/>
            <w:vAlign w:val="center"/>
          </w:tcPr>
          <w:p w14:paraId="6D0CC7C9">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否</w:t>
            </w:r>
          </w:p>
        </w:tc>
        <w:tc>
          <w:tcPr>
            <w:tcW w:w="2208" w:type="dxa"/>
            <w:tcBorders>
              <w:right w:val="single" w:color="000000" w:sz="6" w:space="0"/>
            </w:tcBorders>
            <w:vAlign w:val="center"/>
          </w:tcPr>
          <w:p w14:paraId="14A88002">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为简化而排除</w:t>
            </w:r>
          </w:p>
        </w:tc>
      </w:tr>
      <w:tr w14:paraId="405D8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809" w:type="dxa"/>
            <w:vMerge w:val="continue"/>
            <w:tcBorders>
              <w:left w:val="single" w:color="000000" w:sz="6" w:space="0"/>
            </w:tcBorders>
            <w:vAlign w:val="center"/>
          </w:tcPr>
          <w:p w14:paraId="5319BBDD">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2318" w:type="dxa"/>
            <w:vMerge w:val="continue"/>
            <w:vAlign w:val="center"/>
          </w:tcPr>
          <w:p w14:paraId="3765FEC4">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1747" w:type="dxa"/>
            <w:vAlign w:val="center"/>
          </w:tcPr>
          <w:p w14:paraId="6B8D48DE">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N</w:t>
            </w:r>
            <w:r>
              <w:rPr>
                <w:rFonts w:ascii="Times New Roman"/>
                <w:color w:val="000000"/>
                <w:sz w:val="24"/>
                <w:szCs w:val="24"/>
                <w:vertAlign w:val="subscript"/>
              </w:rPr>
              <w:t>2</w:t>
            </w:r>
            <w:r>
              <w:rPr>
                <w:rFonts w:ascii="Times New Roman"/>
                <w:color w:val="000000"/>
                <w:sz w:val="24"/>
                <w:szCs w:val="24"/>
              </w:rPr>
              <w:t>O</w:t>
            </w:r>
          </w:p>
        </w:tc>
        <w:tc>
          <w:tcPr>
            <w:tcW w:w="1200" w:type="dxa"/>
            <w:vAlign w:val="center"/>
          </w:tcPr>
          <w:p w14:paraId="4ED6A4AA">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否</w:t>
            </w:r>
          </w:p>
        </w:tc>
        <w:tc>
          <w:tcPr>
            <w:tcW w:w="2208" w:type="dxa"/>
            <w:tcBorders>
              <w:right w:val="single" w:color="000000" w:sz="6" w:space="0"/>
            </w:tcBorders>
            <w:vAlign w:val="center"/>
          </w:tcPr>
          <w:p w14:paraId="2AB9C1EF">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ascii="Times New Roman"/>
                <w:color w:val="000000"/>
                <w:sz w:val="24"/>
                <w:szCs w:val="24"/>
              </w:rPr>
              <w:t>为简化而排除</w:t>
            </w:r>
          </w:p>
        </w:tc>
      </w:tr>
      <w:tr w14:paraId="406FD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09" w:type="dxa"/>
            <w:vMerge w:val="continue"/>
            <w:tcBorders>
              <w:left w:val="single" w:color="000000" w:sz="6" w:space="0"/>
            </w:tcBorders>
            <w:vAlign w:val="center"/>
          </w:tcPr>
          <w:p w14:paraId="7E4EB7EA">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2318" w:type="dxa"/>
            <w:vMerge w:val="continue"/>
            <w:vAlign w:val="center"/>
          </w:tcPr>
          <w:p w14:paraId="18E76A09">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p>
        </w:tc>
        <w:tc>
          <w:tcPr>
            <w:tcW w:w="1747" w:type="dxa"/>
            <w:vAlign w:val="center"/>
          </w:tcPr>
          <w:p w14:paraId="474CD4AC">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color w:val="000000"/>
                <w:sz w:val="24"/>
                <w:szCs w:val="24"/>
              </w:rPr>
            </w:pPr>
            <w:r>
              <w:rPr>
                <w:rFonts w:hint="eastAsia" w:ascii="Times New Roman"/>
                <w:color w:val="000000"/>
                <w:sz w:val="24"/>
                <w:szCs w:val="24"/>
              </w:rPr>
              <w:t>PFCs</w:t>
            </w:r>
          </w:p>
        </w:tc>
        <w:tc>
          <w:tcPr>
            <w:tcW w:w="1200" w:type="dxa"/>
            <w:shd w:val="clear" w:color="auto" w:fill="auto"/>
            <w:vAlign w:val="center"/>
          </w:tcPr>
          <w:p w14:paraId="19D24011">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hAnsi="Times New Roman" w:eastAsia="宋体" w:cs="Times New Roman"/>
                <w:color w:val="000000"/>
                <w:sz w:val="24"/>
                <w:szCs w:val="24"/>
                <w:lang w:val="en-US" w:eastAsia="zh-CN" w:bidi="ar-SA"/>
              </w:rPr>
            </w:pPr>
            <w:r>
              <w:rPr>
                <w:rFonts w:ascii="Times New Roman"/>
                <w:color w:val="000000"/>
                <w:sz w:val="24"/>
                <w:szCs w:val="24"/>
              </w:rPr>
              <w:t>否</w:t>
            </w:r>
          </w:p>
        </w:tc>
        <w:tc>
          <w:tcPr>
            <w:tcW w:w="2208" w:type="dxa"/>
            <w:tcBorders>
              <w:right w:val="single" w:color="000000" w:sz="6" w:space="0"/>
            </w:tcBorders>
            <w:shd w:val="clear" w:color="auto" w:fill="auto"/>
            <w:vAlign w:val="center"/>
          </w:tcPr>
          <w:p w14:paraId="0F7E34F0">
            <w:pPr>
              <w:pStyle w:val="24"/>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ascii="Times New Roman" w:hAnsi="Times New Roman" w:eastAsia="宋体" w:cs="Times New Roman"/>
                <w:color w:val="000000"/>
                <w:sz w:val="24"/>
                <w:szCs w:val="24"/>
                <w:lang w:val="en-US" w:eastAsia="zh-CN" w:bidi="ar-SA"/>
              </w:rPr>
            </w:pPr>
            <w:r>
              <w:rPr>
                <w:rFonts w:ascii="Times New Roman"/>
                <w:color w:val="000000"/>
                <w:sz w:val="24"/>
                <w:szCs w:val="24"/>
              </w:rPr>
              <w:t>为简化而排除</w:t>
            </w:r>
          </w:p>
        </w:tc>
      </w:tr>
    </w:tbl>
    <w:p w14:paraId="4E05064D">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28" w:name="3.2"/>
      <w:bookmarkEnd w:id="28"/>
      <w:bookmarkStart w:id="29" w:name="_Toc700"/>
      <w:bookmarkStart w:id="30" w:name="_Toc31311"/>
      <w:bookmarkStart w:id="31" w:name="_Toc30167"/>
      <w:bookmarkStart w:id="32" w:name="_Toc24667"/>
      <w:bookmarkStart w:id="33" w:name="_Toc170134106"/>
      <w:r>
        <w:rPr>
          <w:rFonts w:hint="eastAsia" w:ascii="黑体" w:hAnsi="黑体" w:eastAsia="黑体" w:cs="黑体"/>
          <w:b w:val="0"/>
          <w:bCs w:val="0"/>
          <w:spacing w:val="-2"/>
          <w:w w:val="95"/>
          <w:kern w:val="0"/>
          <w:sz w:val="28"/>
          <w:szCs w:val="28"/>
          <w:lang w:val="en-US" w:eastAsia="zh-CN"/>
        </w:rPr>
        <w:t>减排量计算</w:t>
      </w:r>
      <w:bookmarkEnd w:id="29"/>
      <w:bookmarkEnd w:id="30"/>
      <w:bookmarkEnd w:id="31"/>
      <w:bookmarkEnd w:id="32"/>
    </w:p>
    <w:p w14:paraId="1592B8B5">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en-US"/>
        </w:rPr>
      </w:pPr>
      <w:r>
        <w:rPr>
          <w:rFonts w:hint="eastAsia" w:cs="宋体"/>
          <w:b w:val="0"/>
          <w:bCs/>
          <w:spacing w:val="-5"/>
          <w:sz w:val="28"/>
          <w:szCs w:val="28"/>
          <w:lang w:val="en-US" w:eastAsia="zh-CN"/>
        </w:rPr>
        <w:t>7.1 基准线</w:t>
      </w:r>
      <w:bookmarkEnd w:id="33"/>
      <w:r>
        <w:rPr>
          <w:rFonts w:hint="eastAsia" w:cs="宋体"/>
          <w:b w:val="0"/>
          <w:bCs/>
          <w:spacing w:val="-5"/>
          <w:sz w:val="28"/>
          <w:szCs w:val="28"/>
          <w:lang w:val="en-US" w:eastAsia="zh-CN"/>
        </w:rPr>
        <w:t>情景</w:t>
      </w:r>
    </w:p>
    <w:p w14:paraId="38C4B7E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rPr>
        <w:t>确定基准线情景时，基准线电网调度方案与项目情景（储能电站参与电网调度运行）应为电力系统提供可比的服务，在不实施储能电站项目的情况下，为满足相同时序净负荷曲线/调度平衡需求，系统通过增减可调机组出力来实现平衡</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同等的调峰能力、备用容量或新能源消纳支持</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项目所在南京区域电网未投运本项目</w:t>
      </w:r>
      <w:r>
        <w:rPr>
          <w:rFonts w:hint="eastAsia" w:ascii="宋体" w:hAnsi="宋体" w:eastAsia="宋体" w:cs="宋体"/>
          <w:kern w:val="0"/>
          <w:sz w:val="28"/>
          <w:szCs w:val="28"/>
          <w:lang w:val="en-US" w:eastAsia="zh-CN"/>
        </w:rPr>
        <w:t>电网侧</w:t>
      </w:r>
      <w:r>
        <w:rPr>
          <w:rFonts w:hint="eastAsia" w:ascii="宋体" w:hAnsi="宋体" w:eastAsia="宋体" w:cs="宋体"/>
          <w:kern w:val="0"/>
          <w:sz w:val="28"/>
          <w:szCs w:val="28"/>
        </w:rPr>
        <w:t>电化学储能电站</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无同类储能设施参与电网调度运行，完全依托传统燃煤、燃气等常规化石能源机组承担系统调峰、负荷平衡的电网原有常规运行调度情景。</w:t>
      </w:r>
    </w:p>
    <w:p w14:paraId="6DCF923F">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bookmarkStart w:id="34" w:name="_Toc170134108"/>
      <w:r>
        <w:rPr>
          <w:rFonts w:hint="eastAsia" w:cs="宋体"/>
          <w:b w:val="0"/>
          <w:bCs/>
          <w:spacing w:val="-5"/>
          <w:sz w:val="28"/>
          <w:szCs w:val="28"/>
          <w:lang w:val="en-US" w:eastAsia="zh-CN"/>
        </w:rPr>
        <w:t>7.2 额外性</w:t>
      </w:r>
      <w:bookmarkEnd w:id="34"/>
      <w:r>
        <w:rPr>
          <w:rFonts w:hint="eastAsia" w:cs="宋体"/>
          <w:b w:val="0"/>
          <w:bCs/>
          <w:spacing w:val="-5"/>
          <w:sz w:val="28"/>
          <w:szCs w:val="28"/>
          <w:lang w:val="en-US" w:eastAsia="zh-CN"/>
        </w:rPr>
        <w:t>论证</w:t>
      </w:r>
    </w:p>
    <w:p w14:paraId="47D4E9F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rPr>
      </w:pPr>
      <w:bookmarkStart w:id="35" w:name="_Toc170134109"/>
      <w:bookmarkStart w:id="36" w:name="_Hlk170131968"/>
      <w:r>
        <w:rPr>
          <w:rFonts w:hint="eastAsia" w:ascii="宋体" w:hAnsi="宋体" w:eastAsia="宋体" w:cs="宋体"/>
          <w:kern w:val="0"/>
          <w:sz w:val="28"/>
          <w:szCs w:val="28"/>
          <w:lang w:val="en-US" w:eastAsia="zh-CN"/>
        </w:rPr>
        <w:t>从经济额外性角度，电网侧电化学储能电站项目具有初始投资大、收益模式依赖市场化机制（如峰谷价差、辅助服务补偿）且目前难以完全覆盖成本的特点。项目业主对充放电策略的自主决策权受电网调度指令制约，碳减排收益是提升项目经济性的重要补充。本方法学旨在有效激励储能电站参与电网削峰填谷，通过储能在低谷时段充电（对应较低的分时分区电碳因子）、高峰时段放电（对应较高的分时分区电碳因子），实现真正意义上的“时空转移降碳”</w:t>
      </w:r>
      <w:r>
        <w:rPr>
          <w:rFonts w:hint="default" w:ascii="宋体" w:hAnsi="宋体" w:eastAsia="宋体" w:cs="宋体"/>
          <w:kern w:val="0"/>
          <w:sz w:val="28"/>
          <w:szCs w:val="28"/>
          <w:lang w:val="en-US" w:eastAsia="zh-CN"/>
        </w:rPr>
        <w:t>——</w:t>
      </w:r>
      <w:r>
        <w:rPr>
          <w:rFonts w:hint="eastAsia" w:ascii="宋体" w:hAnsi="宋体" w:eastAsia="宋体" w:cs="宋体"/>
          <w:kern w:val="0"/>
          <w:sz w:val="28"/>
          <w:szCs w:val="28"/>
          <w:lang w:val="en-US" w:eastAsia="zh-CN"/>
        </w:rPr>
        <w:t>充电时从电网吸收的单位电量碳排放较低，放电时替代的单位电量碳排放较高，从而产生可量化的净碳减排效益。这一过程同时有利于新能源消纳和电力系统</w:t>
      </w:r>
      <w:r>
        <w:rPr>
          <w:rFonts w:hint="eastAsia" w:ascii="宋体" w:hAnsi="宋体" w:eastAsia="宋体" w:cs="宋体"/>
          <w:kern w:val="0"/>
          <w:sz w:val="28"/>
          <w:szCs w:val="28"/>
        </w:rPr>
        <w:t>安全稳定运行。符合本方法学适用条件的电网侧电化学储能项目，其额外性免予论证。</w:t>
      </w:r>
    </w:p>
    <w:p w14:paraId="2ACC9E2C">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7.3 基准线排放计算</w:t>
      </w:r>
      <w:bookmarkEnd w:id="35"/>
    </w:p>
    <w:bookmarkEnd w:id="36"/>
    <w:p w14:paraId="57794A8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bookmarkStart w:id="37" w:name="_Toc170134110"/>
      <w:r>
        <w:rPr>
          <w:rFonts w:hint="eastAsia" w:ascii="宋体" w:hAnsi="宋体" w:eastAsia="宋体" w:cs="宋体"/>
          <w:kern w:val="0"/>
          <w:sz w:val="28"/>
          <w:szCs w:val="28"/>
          <w:lang w:val="en-US" w:eastAsia="zh-CN"/>
        </w:rPr>
        <w:t>在基准线无储能电站运行情景下，电网高峰负荷缺口依靠传统化石能源机组供电调峰，储能电站高峰放电可替代该部分常规火电发电量，由此产生对应的基准线碳排放，基准线排放量计算公式如下：</w:t>
      </w:r>
    </w:p>
    <w:p w14:paraId="4BD766E0">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right"/>
        <w:textAlignment w:val="auto"/>
        <w:rPr>
          <w:rFonts w:hint="default" w:ascii="Times New Roman" w:hAnsi="Times New Roman" w:eastAsia="宋体" w:cs="Times New Roman"/>
          <w:i/>
          <w:sz w:val="28"/>
          <w:vertAlign w:val="baseline"/>
          <w:lang w:val="en-US" w:eastAsia="zh-CN"/>
        </w:rPr>
      </w:pPr>
      <w:r>
        <w:rPr>
          <w:rFonts w:hint="default" w:ascii="Times New Roman" w:hAnsi="Times New Roman" w:eastAsia="Cambria Math" w:cs="Times New Roman"/>
          <w:i/>
          <w:iCs w:val="0"/>
          <w:position w:val="-10"/>
          <w:sz w:val="28"/>
        </w:rPr>
        <w:object>
          <v:shape id="_x0000_i1025" o:spt="75" type="#_x0000_t75" style="height:17pt;width:9pt;" o:ole="t" filled="f" o:preferrelative="t" stroked="f" coordsize="21600,21600">
            <v:path/>
            <v:fill on="f" focussize="0,0"/>
            <v:stroke on="f"/>
            <v:imagedata r:id="rId8" o:title=""/>
            <o:lock v:ext="edit" aspectratio="t"/>
            <w10:wrap type="none"/>
            <w10:anchorlock/>
          </v:shape>
          <o:OLEObject Type="Embed" ProgID="Equation.KSEE3" ShapeID="_x0000_i1025" DrawAspect="Content" ObjectID="_1468075725" r:id="rId7">
            <o:LockedField>false</o:LockedField>
          </o:OLEObject>
        </w:object>
      </w:r>
      <m:oMath>
        <m:sSub>
          <m:sSubPr>
            <m:ctrlPr>
              <w:rPr>
                <w:rFonts w:hint="default" w:ascii="Cambria Math" w:hAnsi="Cambria Math" w:eastAsia="宋体" w:cs="Times New Roman"/>
                <w:i/>
                <w:iCs w:val="0"/>
                <w:kern w:val="2"/>
                <w:sz w:val="28"/>
                <w:szCs w:val="22"/>
                <w:vertAlign w:val="subscript"/>
                <w:lang w:val="en-US" w:eastAsia="zh-CN" w:bidi="ar-SA"/>
              </w:rPr>
            </m:ctrlPr>
          </m:sSubPr>
          <m:e>
            <m:r>
              <m:rPr/>
              <w:rPr>
                <w:rFonts w:hint="default" w:ascii="Cambria Math" w:hAnsi="Cambria Math" w:eastAsia="宋体" w:cs="Times New Roman"/>
                <w:kern w:val="2"/>
                <w:sz w:val="28"/>
                <w:szCs w:val="22"/>
                <w:vertAlign w:val="subscript"/>
                <w:lang w:val="en-US" w:eastAsia="zh-CN" w:bidi="ar-SA"/>
              </w:rPr>
              <m:t>BE</m:t>
            </m:r>
            <m:ctrlPr>
              <w:rPr>
                <w:rFonts w:hint="default" w:ascii="Cambria Math" w:hAnsi="Cambria Math" w:eastAsia="宋体" w:cs="Times New Roman"/>
                <w:i/>
                <w:iCs w:val="0"/>
                <w:kern w:val="2"/>
                <w:sz w:val="28"/>
                <w:szCs w:val="22"/>
                <w:vertAlign w:val="subscript"/>
                <w:lang w:val="en-US" w:eastAsia="zh-CN" w:bidi="ar-SA"/>
              </w:rPr>
            </m:ctrlPr>
          </m:e>
          <m:sub>
            <m:r>
              <m:rPr/>
              <w:rPr>
                <w:rFonts w:hint="default" w:ascii="Cambria Math" w:hAnsi="Cambria Math" w:eastAsia="宋体" w:cs="Times New Roman"/>
                <w:kern w:val="2"/>
                <w:sz w:val="28"/>
                <w:szCs w:val="22"/>
                <w:vertAlign w:val="subscript"/>
                <w:lang w:val="en-US" w:eastAsia="zh-CN" w:bidi="ar-SA"/>
              </w:rPr>
              <m:t>y</m:t>
            </m:r>
            <m:ctrlPr>
              <w:rPr>
                <w:rFonts w:hint="default" w:ascii="Cambria Math" w:hAnsi="Cambria Math" w:eastAsia="宋体" w:cs="Times New Roman"/>
                <w:i/>
                <w:iCs w:val="0"/>
                <w:kern w:val="2"/>
                <w:sz w:val="28"/>
                <w:szCs w:val="22"/>
                <w:vertAlign w:val="subscript"/>
                <w:lang w:val="en-US" w:eastAsia="zh-CN" w:bidi="ar-SA"/>
              </w:rPr>
            </m:ctrlPr>
          </m:sub>
        </m:sSub>
        <m:r>
          <m:rPr/>
          <w:rPr>
            <w:rFonts w:hint="default" w:ascii="Cambria Math" w:hAnsi="Cambria Math" w:eastAsia="宋体" w:cs="Times New Roman"/>
            <w:kern w:val="2"/>
            <w:sz w:val="28"/>
            <w:szCs w:val="22"/>
            <w:vertAlign w:val="subscript"/>
            <w:lang w:val="en-US" w:eastAsia="zh-CN" w:bidi="ar-SA"/>
          </w:rPr>
          <m:t>=</m:t>
        </m:r>
        <m:nary>
          <m:naryPr>
            <m:chr m:val="∑"/>
            <m:limLoc m:val="undOvr"/>
            <m:supHide m:val="1"/>
            <m:ctrlPr>
              <w:rPr>
                <w:rFonts w:hint="default" w:ascii="Cambria Math" w:hAnsi="Cambria Math" w:eastAsia="宋体" w:cs="Times New Roman"/>
                <w:i/>
                <w:iCs w:val="0"/>
                <w:kern w:val="2"/>
                <w:sz w:val="28"/>
                <w:szCs w:val="22"/>
                <w:vertAlign w:val="subscript"/>
                <w:lang w:val="en-US" w:eastAsia="zh-CN" w:bidi="ar-SA"/>
              </w:rPr>
            </m:ctrlPr>
          </m:naryPr>
          <m:sub>
            <m:r>
              <m:rPr/>
              <w:rPr>
                <w:rFonts w:hint="default" w:ascii="Cambria Math" w:hAnsi="Cambria Math" w:eastAsia="宋体" w:cs="Times New Roman"/>
                <w:kern w:val="2"/>
                <w:sz w:val="28"/>
                <w:szCs w:val="22"/>
                <w:vertAlign w:val="subscript"/>
                <w:lang w:val="en-US" w:eastAsia="zh-CN" w:bidi="ar-SA"/>
              </w:rPr>
              <m:t>i</m:t>
            </m:r>
            <m:ctrlPr>
              <w:rPr>
                <w:rFonts w:hint="default" w:ascii="Cambria Math" w:hAnsi="Cambria Math" w:eastAsia="宋体" w:cs="Times New Roman"/>
                <w:i/>
                <w:iCs w:val="0"/>
                <w:kern w:val="2"/>
                <w:sz w:val="28"/>
                <w:szCs w:val="22"/>
                <w:vertAlign w:val="subscript"/>
                <w:lang w:val="en-US" w:eastAsia="zh-CN" w:bidi="ar-SA"/>
              </w:rPr>
            </m:ctrlPr>
          </m:sub>
          <m:sup>
            <m:ctrlPr>
              <w:rPr>
                <w:rFonts w:hint="default" w:ascii="Cambria Math" w:hAnsi="Cambria Math" w:eastAsia="宋体" w:cs="Times New Roman"/>
                <w:i/>
                <w:iCs w:val="0"/>
                <w:kern w:val="2"/>
                <w:sz w:val="28"/>
                <w:szCs w:val="22"/>
                <w:vertAlign w:val="subscript"/>
                <w:lang w:val="en-US" w:eastAsia="zh-CN" w:bidi="ar-SA"/>
              </w:rPr>
            </m:ctrlPr>
          </m:sup>
          <m:e>
            <m:r>
              <m:rPr/>
              <w:rPr>
                <w:rFonts w:hint="default" w:ascii="Cambria Math" w:hAnsi="Cambria Math" w:eastAsia="宋体" w:cs="Times New Roman"/>
                <w:kern w:val="2"/>
                <w:sz w:val="28"/>
                <w:szCs w:val="22"/>
                <w:vertAlign w:val="subscript"/>
                <w:lang w:val="en-US" w:eastAsia="zh-CN" w:bidi="ar-SA"/>
              </w:rPr>
              <m:t>(</m:t>
            </m:r>
            <m:sSub>
              <m:sSubPr>
                <m:ctrlPr>
                  <w:rPr>
                    <w:rFonts w:hint="default" w:ascii="Cambria Math" w:hAnsi="Cambria Math" w:eastAsia="宋体" w:cs="Times New Roman"/>
                    <w:i/>
                    <w:iCs w:val="0"/>
                    <w:kern w:val="2"/>
                    <w:sz w:val="28"/>
                    <w:szCs w:val="22"/>
                    <w:vertAlign w:val="subscript"/>
                    <w:lang w:val="en-US" w:eastAsia="zh-CN" w:bidi="ar-SA"/>
                  </w:rPr>
                </m:ctrlPr>
              </m:sSubPr>
              <m:e>
                <m:r>
                  <m:rPr/>
                  <w:rPr>
                    <w:rFonts w:hint="default" w:ascii="Cambria Math" w:hAnsi="Cambria Math" w:eastAsia="宋体" w:cs="Times New Roman"/>
                    <w:kern w:val="2"/>
                    <w:sz w:val="28"/>
                    <w:szCs w:val="22"/>
                    <w:vertAlign w:val="subscript"/>
                    <w:lang w:val="en-US" w:eastAsia="zh-CN" w:bidi="ar-SA"/>
                  </w:rPr>
                  <m:t>EG</m:t>
                </m:r>
                <m:ctrlPr>
                  <w:rPr>
                    <w:rFonts w:hint="default" w:ascii="Cambria Math" w:hAnsi="Cambria Math" w:eastAsia="宋体" w:cs="Times New Roman"/>
                    <w:i/>
                    <w:iCs w:val="0"/>
                    <w:kern w:val="2"/>
                    <w:sz w:val="28"/>
                    <w:szCs w:val="22"/>
                    <w:vertAlign w:val="subscript"/>
                    <w:lang w:val="en-US" w:eastAsia="zh-CN" w:bidi="ar-SA"/>
                  </w:rPr>
                </m:ctrlPr>
              </m:e>
              <m:sub>
                <m:r>
                  <m:rPr/>
                  <w:rPr>
                    <w:rFonts w:hint="default" w:ascii="Cambria Math" w:hAnsi="Cambria Math" w:eastAsia="宋体" w:cs="Times New Roman"/>
                    <w:kern w:val="2"/>
                    <w:sz w:val="28"/>
                    <w:szCs w:val="22"/>
                    <w:vertAlign w:val="subscript"/>
                    <w:lang w:val="en-US" w:eastAsia="zh-CN" w:bidi="ar-SA"/>
                  </w:rPr>
                  <m:t>d,y,i</m:t>
                </m:r>
                <m:ctrlPr>
                  <w:rPr>
                    <w:rFonts w:hint="default" w:ascii="Cambria Math" w:hAnsi="Cambria Math" w:eastAsia="宋体" w:cs="Times New Roman"/>
                    <w:i/>
                    <w:iCs w:val="0"/>
                    <w:kern w:val="2"/>
                    <w:sz w:val="28"/>
                    <w:szCs w:val="22"/>
                    <w:vertAlign w:val="subscript"/>
                    <w:lang w:val="en-US" w:eastAsia="zh-CN" w:bidi="ar-SA"/>
                  </w:rPr>
                </m:ctrlPr>
              </m:sub>
            </m:sSub>
            <m:ctrlPr>
              <w:rPr>
                <w:rFonts w:hint="default" w:ascii="Cambria Math" w:hAnsi="Cambria Math" w:eastAsia="宋体" w:cs="Times New Roman"/>
                <w:i/>
                <w:iCs w:val="0"/>
                <w:kern w:val="2"/>
                <w:sz w:val="28"/>
                <w:szCs w:val="22"/>
                <w:vertAlign w:val="subscript"/>
                <w:lang w:val="en-US" w:eastAsia="zh-CN" w:bidi="ar-SA"/>
              </w:rPr>
            </m:ctrlPr>
          </m:e>
        </m:nary>
        <m:r>
          <m:rPr/>
          <w:rPr>
            <w:rFonts w:hint="eastAsia" w:ascii="Cambria Math" w:hAnsi="Cambria Math" w:eastAsia="宋体" w:cs="Times New Roman"/>
            <w:kern w:val="2"/>
            <w:sz w:val="28"/>
            <w:szCs w:val="22"/>
            <w:vertAlign w:val="subscript"/>
            <w:lang w:val="en-US" w:eastAsia="zh-CN" w:bidi="ar-SA"/>
          </w:rPr>
          <m:t>×</m:t>
        </m:r>
        <m:sSub>
          <m:sSubPr>
            <m:ctrlPr>
              <w:rPr>
                <w:rFonts w:hint="eastAsia" w:ascii="Cambria Math" w:hAnsi="Cambria Math" w:eastAsia="宋体" w:cs="Times New Roman"/>
                <w:i/>
                <w:iCs w:val="0"/>
                <w:kern w:val="2"/>
                <w:sz w:val="28"/>
                <w:szCs w:val="22"/>
                <w:vertAlign w:val="subscript"/>
                <w:lang w:val="en-US" w:eastAsia="zh-CN" w:bidi="ar-SA"/>
              </w:rPr>
            </m:ctrlPr>
          </m:sSubPr>
          <m:e>
            <m:r>
              <m:rPr/>
              <w:rPr>
                <w:rFonts w:hint="default" w:ascii="Cambria Math" w:hAnsi="Cambria Math" w:eastAsia="宋体" w:cs="Times New Roman"/>
                <w:kern w:val="2"/>
                <w:sz w:val="28"/>
                <w:szCs w:val="22"/>
                <w:vertAlign w:val="subscript"/>
                <w:lang w:val="en-US" w:eastAsia="zh-CN" w:bidi="ar-SA"/>
              </w:rPr>
              <m:t>EF</m:t>
            </m:r>
            <m:ctrlPr>
              <w:rPr>
                <w:rFonts w:hint="eastAsia" w:ascii="Cambria Math" w:hAnsi="Cambria Math" w:eastAsia="宋体" w:cs="Times New Roman"/>
                <w:i/>
                <w:iCs w:val="0"/>
                <w:kern w:val="2"/>
                <w:sz w:val="28"/>
                <w:szCs w:val="22"/>
                <w:vertAlign w:val="subscript"/>
                <w:lang w:val="en-US" w:eastAsia="zh-CN" w:bidi="ar-SA"/>
              </w:rPr>
            </m:ctrlPr>
          </m:e>
          <m:sub>
            <m:r>
              <m:rPr/>
              <w:rPr>
                <w:rFonts w:hint="default" w:ascii="Cambria Math" w:hAnsi="Cambria Math" w:eastAsia="宋体" w:cs="Times New Roman"/>
                <w:kern w:val="2"/>
                <w:sz w:val="28"/>
                <w:szCs w:val="22"/>
                <w:vertAlign w:val="subscript"/>
                <w:lang w:val="en-US" w:eastAsia="zh-CN" w:bidi="ar-SA"/>
              </w:rPr>
              <m:t>grid,y,i</m:t>
            </m:r>
            <m:ctrlPr>
              <w:rPr>
                <w:rFonts w:hint="eastAsia" w:ascii="Cambria Math" w:hAnsi="Cambria Math" w:eastAsia="宋体" w:cs="Times New Roman"/>
                <w:i/>
                <w:iCs w:val="0"/>
                <w:kern w:val="2"/>
                <w:sz w:val="28"/>
                <w:szCs w:val="22"/>
                <w:vertAlign w:val="subscript"/>
                <w:lang w:val="en-US" w:eastAsia="zh-CN" w:bidi="ar-SA"/>
              </w:rPr>
            </m:ctrlPr>
          </m:sub>
        </m:sSub>
        <m:r>
          <m:rPr/>
          <w:rPr>
            <w:rFonts w:hint="default" w:ascii="Cambria Math" w:hAnsi="Cambria Math" w:eastAsia="宋体" w:cs="Times New Roman"/>
            <w:kern w:val="2"/>
            <w:sz w:val="28"/>
            <w:szCs w:val="22"/>
            <w:vertAlign w:val="subscript"/>
            <w:lang w:val="en-US" w:eastAsia="zh-CN" w:bidi="ar-SA"/>
          </w:rPr>
          <m:t>)</m:t>
        </m:r>
      </m:oMath>
      <w:r>
        <w:rPr>
          <w:rFonts w:hint="default" w:ascii="Times New Roman" w:hAnsi="Times New Roman" w:eastAsia="宋体" w:cs="Times New Roman"/>
          <w:i w:val="0"/>
          <w:iCs/>
          <w:sz w:val="28"/>
          <w:vertAlign w:val="baseline"/>
          <w:lang w:val="en-US" w:eastAsia="zh-CN"/>
        </w:rPr>
        <w:t xml:space="preserve">                </w:t>
      </w:r>
      <w:r>
        <w:rPr>
          <w:rFonts w:hint="eastAsia" w:ascii="Times New Roman" w:hAnsi="Times New Roman" w:eastAsia="宋体" w:cs="Times New Roman"/>
          <w:i w:val="0"/>
          <w:iCs/>
          <w:sz w:val="28"/>
          <w:vertAlign w:val="baseline"/>
          <w:lang w:val="en-US" w:eastAsia="zh-CN"/>
        </w:rPr>
        <w:t>(</w:t>
      </w:r>
      <w:r>
        <w:rPr>
          <w:rFonts w:hint="default" w:ascii="Times New Roman" w:hAnsi="Times New Roman" w:eastAsia="宋体" w:cs="Times New Roman"/>
          <w:i w:val="0"/>
          <w:iCs/>
          <w:sz w:val="28"/>
          <w:vertAlign w:val="baseline"/>
          <w:lang w:val="en-US" w:eastAsia="zh-CN"/>
        </w:rPr>
        <w:t>1</w:t>
      </w:r>
      <w:r>
        <w:rPr>
          <w:rFonts w:hint="eastAsia" w:ascii="Times New Roman" w:hAnsi="Times New Roman" w:eastAsia="宋体" w:cs="Times New Roman"/>
          <w:i w:val="0"/>
          <w:iCs/>
          <w:sz w:val="28"/>
          <w:vertAlign w:val="baseline"/>
          <w:lang w:val="en-US" w:eastAsia="zh-CN"/>
        </w:rPr>
        <w:t>)</w:t>
      </w:r>
    </w:p>
    <w:p w14:paraId="1439760A">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eastAsia" w:ascii="Times New Roman" w:hAnsi="Times New Roman" w:eastAsia="宋体" w:cs="Times New Roman"/>
          <w:i w:val="0"/>
          <w:iCs/>
          <w:position w:val="-2"/>
          <w:sz w:val="28"/>
          <w:szCs w:val="14"/>
          <w:lang w:val="en-US" w:eastAsia="zh-CN"/>
        </w:rPr>
      </w:pPr>
      <w:r>
        <w:rPr>
          <w:rFonts w:hint="eastAsia" w:ascii="Times New Roman" w:hAnsi="Times New Roman" w:eastAsia="宋体" w:cs="Times New Roman"/>
          <w:i w:val="0"/>
          <w:iCs/>
          <w:position w:val="-2"/>
          <w:sz w:val="28"/>
          <w:szCs w:val="14"/>
          <w:lang w:val="en-US" w:eastAsia="zh-CN"/>
        </w:rPr>
        <w:t>式中：</w:t>
      </w:r>
    </w:p>
    <w:p w14:paraId="7145835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Cambria Math" w:cs="Times New Roman"/>
          <w:i w:val="0"/>
          <w:iCs/>
          <w:sz w:val="28"/>
        </w:rPr>
      </w:pPr>
      <w:r>
        <w:rPr>
          <w:rFonts w:hint="default" w:ascii="Times New Roman" w:hAnsi="Times New Roman" w:eastAsia="Cambria Math" w:cs="Times New Roman"/>
          <w:i/>
          <w:iCs w:val="0"/>
          <w:sz w:val="28"/>
        </w:rPr>
        <w:t>BE</w:t>
      </w:r>
      <w:r>
        <w:rPr>
          <w:rFonts w:hint="default" w:ascii="Times New Roman" w:hAnsi="Times New Roman" w:eastAsia="Cambria Math" w:cs="Times New Roman"/>
          <w:i/>
          <w:iCs w:val="0"/>
          <w:sz w:val="28"/>
          <w:vertAlign w:val="subscript"/>
          <w:lang w:val="en-US" w:eastAsia="zh-CN"/>
        </w:rPr>
        <w:t>y</w:t>
      </w:r>
      <w:r>
        <w:rPr>
          <w:rFonts w:hint="default" w:ascii="Times New Roman" w:hAnsi="Times New Roman" w:eastAsia="Cambria Math" w:cs="Times New Roman"/>
          <w:i w:val="0"/>
          <w:iCs/>
          <w:sz w:val="28"/>
        </w:rPr>
        <w:t xml:space="preserve">  — 在 </w:t>
      </w:r>
      <w:r>
        <w:rPr>
          <w:rFonts w:hint="default" w:ascii="Times New Roman" w:hAnsi="Times New Roman" w:eastAsia="Cambria Math" w:cs="Times New Roman"/>
          <w:i/>
          <w:iCs w:val="0"/>
          <w:sz w:val="28"/>
        </w:rPr>
        <w:t>y</w:t>
      </w:r>
      <w:r>
        <w:rPr>
          <w:rFonts w:hint="default" w:ascii="Times New Roman" w:hAnsi="Times New Roman" w:eastAsia="Cambria Math" w:cs="Times New Roman"/>
          <w:i w:val="0"/>
          <w:iCs/>
          <w:sz w:val="28"/>
        </w:rPr>
        <w:t xml:space="preserve"> </w:t>
      </w:r>
      <w:r>
        <w:rPr>
          <w:rFonts w:hint="eastAsia" w:ascii="Times New Roman" w:hAnsi="Times New Roman" w:eastAsia="宋体" w:cs="Times New Roman"/>
          <w:i w:val="0"/>
          <w:iCs/>
          <w:sz w:val="28"/>
          <w:lang w:val="en-US" w:eastAsia="zh-CN"/>
        </w:rPr>
        <w:t>时段内的</w:t>
      </w:r>
      <w:r>
        <w:rPr>
          <w:rFonts w:hint="default" w:ascii="Times New Roman" w:hAnsi="Times New Roman" w:eastAsia="Cambria Math" w:cs="Times New Roman"/>
          <w:i w:val="0"/>
          <w:iCs/>
          <w:sz w:val="28"/>
        </w:rPr>
        <w:t>基准线排放量</w:t>
      </w:r>
      <w:r>
        <w:rPr>
          <w:rFonts w:hint="eastAsia" w:ascii="Times New Roman" w:hAnsi="Times New Roman" w:eastAsia="宋体" w:cs="Times New Roman"/>
          <w:i w:val="0"/>
          <w:iCs/>
          <w:sz w:val="28"/>
          <w:lang w:eastAsia="zh-CN"/>
        </w:rPr>
        <w:t>，</w:t>
      </w:r>
      <w:r>
        <w:rPr>
          <w:rFonts w:hint="eastAsia" w:ascii="Times New Roman" w:hAnsi="Times New Roman" w:eastAsia="宋体" w:cs="Times New Roman"/>
          <w:i w:val="0"/>
          <w:iCs/>
          <w:sz w:val="28"/>
          <w:lang w:val="en-US" w:eastAsia="zh-CN"/>
        </w:rPr>
        <w:t>kg</w:t>
      </w:r>
      <w:r>
        <w:rPr>
          <w:rFonts w:hint="default" w:ascii="Times New Roman" w:hAnsi="Times New Roman" w:eastAsia="Cambria Math" w:cs="Times New Roman"/>
          <w:i w:val="0"/>
          <w:iCs/>
          <w:sz w:val="28"/>
        </w:rPr>
        <w:t>CO</w:t>
      </w:r>
      <w:r>
        <w:rPr>
          <w:rFonts w:hint="default" w:ascii="Times New Roman" w:hAnsi="Times New Roman" w:eastAsia="Cambria Math" w:cs="Times New Roman"/>
          <w:i w:val="0"/>
          <w:iCs/>
          <w:sz w:val="28"/>
          <w:vertAlign w:val="subscript"/>
        </w:rPr>
        <w:t>2</w:t>
      </w:r>
      <w:r>
        <w:rPr>
          <w:rFonts w:hint="default" w:ascii="Times New Roman" w:hAnsi="Times New Roman" w:eastAsia="Cambria Math" w:cs="Times New Roman"/>
          <w:i w:val="0"/>
          <w:iCs/>
          <w:sz w:val="28"/>
        </w:rPr>
        <w:t>；</w:t>
      </w:r>
    </w:p>
    <w:p w14:paraId="1D3D49C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Cambria Math" w:cs="Times New Roman"/>
          <w:i w:val="0"/>
          <w:iCs/>
          <w:sz w:val="28"/>
        </w:rPr>
      </w:pPr>
      <w:r>
        <w:rPr>
          <w:rFonts w:hint="default" w:ascii="Times New Roman" w:hAnsi="Times New Roman" w:eastAsia="Cambria Math" w:cs="Times New Roman"/>
          <w:i/>
          <w:iCs w:val="0"/>
          <w:sz w:val="28"/>
        </w:rPr>
        <w:t>EG</w:t>
      </w:r>
      <w:r>
        <w:rPr>
          <w:rFonts w:hint="default" w:ascii="Times New Roman" w:hAnsi="Times New Roman" w:eastAsia="Cambria Math" w:cs="Times New Roman"/>
          <w:i/>
          <w:iCs w:val="0"/>
          <w:sz w:val="28"/>
          <w:vertAlign w:val="subscript"/>
          <w:lang w:val="en-US" w:eastAsia="zh-CN"/>
        </w:rPr>
        <w:t>d,y</w:t>
      </w:r>
      <w:r>
        <w:rPr>
          <w:rFonts w:hint="eastAsia" w:ascii="Times New Roman" w:hAnsi="Times New Roman" w:eastAsia="Cambria Math" w:cs="Times New Roman"/>
          <w:i/>
          <w:iCs w:val="0"/>
          <w:sz w:val="28"/>
          <w:vertAlign w:val="subscript"/>
          <w:lang w:val="en-US" w:eastAsia="zh-CN"/>
        </w:rPr>
        <w:t>,i</w:t>
      </w:r>
      <w:r>
        <w:rPr>
          <w:rFonts w:hint="default" w:ascii="Times New Roman" w:hAnsi="Times New Roman" w:eastAsia="Cambria Math" w:cs="Times New Roman"/>
          <w:i w:val="0"/>
          <w:iCs/>
          <w:sz w:val="28"/>
          <w:vertAlign w:val="subscript"/>
        </w:rPr>
        <w:t xml:space="preserve"> </w:t>
      </w:r>
      <w:r>
        <w:rPr>
          <w:rFonts w:hint="default" w:ascii="Times New Roman" w:hAnsi="Times New Roman" w:eastAsia="Cambria Math" w:cs="Times New Roman"/>
          <w:i w:val="0"/>
          <w:iCs/>
          <w:sz w:val="28"/>
        </w:rPr>
        <w:t xml:space="preserve"> — 在 </w:t>
      </w:r>
      <w:r>
        <w:rPr>
          <w:rFonts w:hint="default" w:ascii="Times New Roman" w:hAnsi="Times New Roman" w:eastAsia="Cambria Math" w:cs="Times New Roman"/>
          <w:i/>
          <w:iCs w:val="0"/>
          <w:sz w:val="28"/>
        </w:rPr>
        <w:t>y</w:t>
      </w:r>
      <w:r>
        <w:rPr>
          <w:rFonts w:hint="default" w:ascii="Times New Roman" w:hAnsi="Times New Roman" w:eastAsia="Cambria Math" w:cs="Times New Roman"/>
          <w:i w:val="0"/>
          <w:iCs/>
          <w:sz w:val="28"/>
        </w:rPr>
        <w:t xml:space="preserve"> </w:t>
      </w:r>
      <w:r>
        <w:rPr>
          <w:rFonts w:hint="eastAsia" w:ascii="Times New Roman" w:hAnsi="Times New Roman" w:eastAsia="宋体" w:cs="Times New Roman"/>
          <w:i w:val="0"/>
          <w:iCs/>
          <w:sz w:val="28"/>
          <w:lang w:val="en-US" w:eastAsia="zh-CN"/>
        </w:rPr>
        <w:t>时段</w:t>
      </w:r>
      <w:r>
        <w:rPr>
          <w:rFonts w:hint="default" w:ascii="Times New Roman" w:hAnsi="Times New Roman" w:eastAsia="宋体" w:cs="Times New Roman"/>
          <w:i w:val="0"/>
          <w:iCs/>
          <w:sz w:val="28"/>
          <w:lang w:val="en-US" w:eastAsia="zh-CN"/>
        </w:rPr>
        <w:t>内</w:t>
      </w:r>
      <w:r>
        <w:rPr>
          <w:rFonts w:hint="default" w:ascii="Times New Roman" w:hAnsi="Times New Roman" w:eastAsia="Cambria Math" w:cs="Times New Roman"/>
          <w:i w:val="0"/>
          <w:iCs/>
          <w:sz w:val="28"/>
        </w:rPr>
        <w:t>，第</w:t>
      </w:r>
      <w:r>
        <w:rPr>
          <w:rFonts w:hint="eastAsia" w:ascii="Times New Roman" w:hAnsi="Times New Roman" w:eastAsia="宋体" w:cs="Times New Roman"/>
          <w:i w:val="0"/>
          <w:iCs/>
          <w:sz w:val="28"/>
          <w:lang w:val="en-US" w:eastAsia="zh-CN"/>
        </w:rPr>
        <w:t xml:space="preserve"> </w:t>
      </w:r>
      <w:r>
        <w:rPr>
          <w:rFonts w:hint="default" w:ascii="Times New Roman" w:hAnsi="Times New Roman" w:eastAsia="Cambria Math" w:cs="Times New Roman"/>
          <w:i/>
          <w:iCs w:val="0"/>
          <w:sz w:val="28"/>
        </w:rPr>
        <w:t>i</w:t>
      </w:r>
      <w:r>
        <w:rPr>
          <w:rFonts w:hint="eastAsia" w:ascii="Times New Roman" w:hAnsi="Times New Roman" w:eastAsia="宋体" w:cs="Times New Roman"/>
          <w:i/>
          <w:iCs w:val="0"/>
          <w:sz w:val="28"/>
          <w:lang w:val="en-US" w:eastAsia="zh-CN"/>
        </w:rPr>
        <w:t xml:space="preserve"> </w:t>
      </w:r>
      <w:r>
        <w:rPr>
          <w:rFonts w:hint="default" w:ascii="Times New Roman" w:hAnsi="Times New Roman" w:eastAsia="Cambria Math" w:cs="Times New Roman"/>
          <w:i w:val="0"/>
          <w:iCs/>
          <w:sz w:val="28"/>
        </w:rPr>
        <w:t>个放电时段</w:t>
      </w:r>
      <w:r>
        <w:rPr>
          <w:rFonts w:hint="default" w:ascii="Times New Roman" w:hAnsi="Times New Roman" w:eastAsia="宋体" w:cs="Times New Roman"/>
          <w:i w:val="0"/>
          <w:iCs/>
          <w:sz w:val="28"/>
          <w:lang w:val="en-US" w:eastAsia="zh-CN"/>
        </w:rPr>
        <w:t>储能电站的放电电量</w:t>
      </w:r>
      <w:r>
        <w:rPr>
          <w:rFonts w:hint="eastAsia" w:ascii="Times New Roman" w:hAnsi="Times New Roman" w:eastAsia="宋体" w:cs="Times New Roman"/>
          <w:i w:val="0"/>
          <w:iCs/>
          <w:sz w:val="28"/>
          <w:lang w:val="en-US" w:eastAsia="zh-CN"/>
        </w:rPr>
        <w:t>（上网电量）</w:t>
      </w:r>
      <w:r>
        <w:rPr>
          <w:rFonts w:hint="eastAsia" w:ascii="Times New Roman" w:hAnsi="Times New Roman" w:eastAsia="宋体" w:cs="Times New Roman"/>
          <w:i w:val="0"/>
          <w:iCs/>
          <w:sz w:val="28"/>
          <w:lang w:eastAsia="zh-CN"/>
        </w:rPr>
        <w:t>，</w:t>
      </w:r>
      <w:r>
        <w:rPr>
          <w:rFonts w:hint="eastAsia" w:ascii="Times New Roman" w:hAnsi="Times New Roman" w:eastAsia="宋体" w:cs="Times New Roman"/>
          <w:i w:val="0"/>
          <w:iCs/>
          <w:sz w:val="28"/>
          <w:lang w:val="en-US" w:eastAsia="zh-CN"/>
        </w:rPr>
        <w:t>k</w:t>
      </w:r>
      <w:r>
        <w:rPr>
          <w:rFonts w:hint="default" w:ascii="Times New Roman" w:hAnsi="Times New Roman" w:eastAsia="Cambria Math" w:cs="Times New Roman"/>
          <w:i w:val="0"/>
          <w:iCs/>
          <w:sz w:val="28"/>
        </w:rPr>
        <w:t>Wh；</w:t>
      </w:r>
    </w:p>
    <w:p w14:paraId="7939BD5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Cambria Math" w:cs="Times New Roman"/>
          <w:i w:val="0"/>
          <w:iCs/>
          <w:sz w:val="28"/>
          <w:lang w:val="en-US"/>
        </w:rPr>
      </w:pPr>
      <w:r>
        <w:rPr>
          <w:rFonts w:hint="default" w:ascii="Times New Roman" w:hAnsi="Times New Roman" w:eastAsia="Cambria Math" w:cs="Times New Roman"/>
          <w:i/>
          <w:iCs w:val="0"/>
          <w:sz w:val="28"/>
        </w:rPr>
        <w:t>EF</w:t>
      </w:r>
      <w:r>
        <w:rPr>
          <w:rFonts w:hint="eastAsia" w:ascii="Times New Roman" w:hAnsi="Times New Roman" w:eastAsia="Cambria Math" w:cs="Times New Roman"/>
          <w:i/>
          <w:iCs w:val="0"/>
          <w:sz w:val="28"/>
          <w:vertAlign w:val="subscript"/>
          <w:lang w:val="en-US" w:eastAsia="zh-CN"/>
        </w:rPr>
        <w:t>grid</w:t>
      </w:r>
      <w:r>
        <w:rPr>
          <w:rFonts w:hint="default" w:ascii="Times New Roman" w:hAnsi="Times New Roman" w:eastAsia="Cambria Math" w:cs="Times New Roman"/>
          <w:i/>
          <w:iCs w:val="0"/>
          <w:sz w:val="28"/>
          <w:vertAlign w:val="subscript"/>
          <w:lang w:val="en-US" w:eastAsia="zh-CN"/>
        </w:rPr>
        <w:t>,y</w:t>
      </w:r>
      <w:r>
        <w:rPr>
          <w:rFonts w:hint="eastAsia" w:ascii="Times New Roman" w:hAnsi="Times New Roman" w:eastAsia="Cambria Math" w:cs="Times New Roman"/>
          <w:i/>
          <w:iCs w:val="0"/>
          <w:sz w:val="28"/>
          <w:vertAlign w:val="subscript"/>
          <w:lang w:val="en-US" w:eastAsia="zh-CN"/>
        </w:rPr>
        <w:t>,i</w:t>
      </w:r>
      <w:r>
        <w:rPr>
          <w:rFonts w:hint="default" w:ascii="Times New Roman" w:hAnsi="Times New Roman" w:eastAsia="Cambria Math" w:cs="Times New Roman"/>
          <w:i/>
          <w:iCs w:val="0"/>
          <w:sz w:val="28"/>
        </w:rPr>
        <w:t xml:space="preserve"> </w:t>
      </w:r>
      <w:r>
        <w:rPr>
          <w:rFonts w:hint="default" w:ascii="Times New Roman" w:hAnsi="Times New Roman" w:eastAsia="Cambria Math" w:cs="Times New Roman"/>
          <w:i w:val="0"/>
          <w:iCs/>
          <w:sz w:val="28"/>
        </w:rPr>
        <w:t xml:space="preserve">— 在 </w:t>
      </w:r>
      <w:r>
        <w:rPr>
          <w:rFonts w:hint="default" w:ascii="Times New Roman" w:hAnsi="Times New Roman" w:eastAsia="Cambria Math" w:cs="Times New Roman"/>
          <w:i/>
          <w:iCs w:val="0"/>
          <w:sz w:val="28"/>
        </w:rPr>
        <w:t>y</w:t>
      </w:r>
      <w:r>
        <w:rPr>
          <w:rFonts w:hint="default" w:ascii="Times New Roman" w:hAnsi="Times New Roman" w:eastAsia="Cambria Math" w:cs="Times New Roman"/>
          <w:i w:val="0"/>
          <w:iCs/>
          <w:sz w:val="28"/>
        </w:rPr>
        <w:t xml:space="preserve"> </w:t>
      </w:r>
      <w:r>
        <w:rPr>
          <w:rFonts w:hint="eastAsia" w:ascii="Times New Roman" w:hAnsi="Times New Roman" w:eastAsia="宋体" w:cs="Times New Roman"/>
          <w:i w:val="0"/>
          <w:iCs/>
          <w:sz w:val="28"/>
          <w:lang w:val="en-US" w:eastAsia="zh-CN"/>
        </w:rPr>
        <w:t>时段</w:t>
      </w:r>
      <w:r>
        <w:rPr>
          <w:rFonts w:hint="default" w:ascii="Times New Roman" w:hAnsi="Times New Roman" w:eastAsia="宋体" w:cs="Times New Roman"/>
          <w:i w:val="0"/>
          <w:iCs/>
          <w:sz w:val="28"/>
          <w:lang w:val="en-US" w:eastAsia="zh-CN"/>
        </w:rPr>
        <w:t>内，</w:t>
      </w:r>
      <w:r>
        <w:rPr>
          <w:rFonts w:hint="eastAsia" w:ascii="Times New Roman" w:hAnsi="Times New Roman" w:eastAsia="宋体" w:cs="Times New Roman"/>
          <w:i w:val="0"/>
          <w:iCs/>
          <w:sz w:val="28"/>
          <w:lang w:val="en-US" w:eastAsia="zh-CN"/>
        </w:rPr>
        <w:t xml:space="preserve">第 </w:t>
      </w:r>
      <w:r>
        <w:rPr>
          <w:rFonts w:hint="eastAsia" w:ascii="Times New Roman" w:hAnsi="Times New Roman" w:eastAsia="宋体" w:cs="Times New Roman"/>
          <w:i/>
          <w:iCs w:val="0"/>
          <w:sz w:val="28"/>
          <w:lang w:val="en-US" w:eastAsia="zh-CN"/>
        </w:rPr>
        <w:t>i</w:t>
      </w:r>
      <w:r>
        <w:rPr>
          <w:rFonts w:hint="eastAsia" w:ascii="Times New Roman" w:hAnsi="Times New Roman" w:eastAsia="宋体" w:cs="Times New Roman"/>
          <w:i w:val="0"/>
          <w:iCs/>
          <w:sz w:val="28"/>
          <w:lang w:val="en-US" w:eastAsia="zh-CN"/>
        </w:rPr>
        <w:t xml:space="preserve"> 个放电时段对应的南京市分时电力二氧化碳排放因子，kg</w:t>
      </w:r>
      <w:r>
        <w:rPr>
          <w:rFonts w:hint="default" w:ascii="Times New Roman" w:hAnsi="Times New Roman" w:eastAsia="Cambria Math" w:cs="Times New Roman"/>
          <w:i w:val="0"/>
          <w:iCs/>
          <w:sz w:val="28"/>
        </w:rPr>
        <w:t>CO</w:t>
      </w:r>
      <w:r>
        <w:rPr>
          <w:rFonts w:hint="default" w:ascii="Times New Roman" w:hAnsi="Times New Roman" w:eastAsia="Cambria Math" w:cs="Times New Roman"/>
          <w:i w:val="0"/>
          <w:iCs/>
          <w:sz w:val="28"/>
          <w:vertAlign w:val="subscript"/>
        </w:rPr>
        <w:t>2</w:t>
      </w:r>
      <w:r>
        <w:rPr>
          <w:rFonts w:hint="default" w:ascii="Times New Roman" w:hAnsi="Times New Roman" w:eastAsia="宋体" w:cs="Times New Roman"/>
          <w:i w:val="0"/>
          <w:iCs/>
          <w:sz w:val="28"/>
          <w:lang w:val="en-US" w:eastAsia="zh-CN"/>
        </w:rPr>
        <w:t>/</w:t>
      </w:r>
      <w:r>
        <w:rPr>
          <w:rFonts w:hint="eastAsia" w:ascii="Times New Roman" w:hAnsi="Times New Roman" w:eastAsia="宋体" w:cs="Times New Roman"/>
          <w:i w:val="0"/>
          <w:iCs/>
          <w:sz w:val="28"/>
          <w:lang w:val="en-US" w:eastAsia="zh-CN"/>
        </w:rPr>
        <w:t>k</w:t>
      </w:r>
      <w:r>
        <w:rPr>
          <w:rFonts w:hint="default" w:ascii="Times New Roman" w:hAnsi="Times New Roman" w:eastAsia="Cambria Math" w:cs="Times New Roman"/>
          <w:i w:val="0"/>
          <w:iCs/>
          <w:sz w:val="28"/>
        </w:rPr>
        <w:t>Wh</w:t>
      </w:r>
      <w:r>
        <w:rPr>
          <w:rFonts w:hint="eastAsia" w:ascii="Times New Roman" w:hAnsi="Times New Roman" w:eastAsia="宋体" w:cs="Times New Roman"/>
          <w:i w:val="0"/>
          <w:iCs/>
          <w:sz w:val="28"/>
          <w:lang w:val="en-US" w:eastAsia="zh-CN"/>
        </w:rPr>
        <w:t>。</w:t>
      </w:r>
    </w:p>
    <w:p w14:paraId="37C0F0DD">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7.4 减排项目排放</w:t>
      </w:r>
      <w:bookmarkEnd w:id="37"/>
      <w:r>
        <w:rPr>
          <w:rFonts w:hint="eastAsia" w:cs="宋体"/>
          <w:b w:val="0"/>
          <w:bCs/>
          <w:spacing w:val="-5"/>
          <w:sz w:val="28"/>
          <w:szCs w:val="28"/>
          <w:lang w:val="en-US" w:eastAsia="zh-CN"/>
        </w:rPr>
        <w:t>计算</w:t>
      </w:r>
    </w:p>
    <w:p w14:paraId="1999623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项目情景排放量，为储能充电从电网获取下网电量所产生的碳排放。关口计量获取的下网充电电量已包含</w:t>
      </w:r>
      <w:r>
        <w:rPr>
          <w:rFonts w:hint="eastAsia" w:ascii="宋体" w:hAnsi="宋体" w:eastAsia="宋体" w:cs="宋体"/>
          <w:kern w:val="0"/>
          <w:sz w:val="28"/>
          <w:szCs w:val="28"/>
          <w:lang w:val="en-US" w:eastAsia="zh-CN"/>
        </w:rPr>
        <w:t>站用电、</w:t>
      </w:r>
      <w:r>
        <w:rPr>
          <w:rFonts w:hint="default" w:ascii="宋体" w:hAnsi="宋体" w:eastAsia="宋体" w:cs="宋体"/>
          <w:kern w:val="0"/>
          <w:sz w:val="28"/>
          <w:szCs w:val="28"/>
          <w:lang w:val="en-US" w:eastAsia="zh-CN"/>
        </w:rPr>
        <w:t>电池本体损耗、</w:t>
      </w:r>
      <w:r>
        <w:rPr>
          <w:rFonts w:hint="eastAsia" w:ascii="宋体" w:hAnsi="宋体" w:eastAsia="宋体" w:cs="宋体"/>
          <w:kern w:val="0"/>
          <w:sz w:val="28"/>
          <w:szCs w:val="28"/>
          <w:lang w:val="en-US" w:eastAsia="zh-CN"/>
        </w:rPr>
        <w:t>储能变流器</w:t>
      </w:r>
      <w:r>
        <w:rPr>
          <w:rFonts w:hint="default" w:ascii="宋体" w:hAnsi="宋体" w:eastAsia="宋体" w:cs="宋体"/>
          <w:kern w:val="0"/>
          <w:sz w:val="28"/>
          <w:szCs w:val="28"/>
          <w:lang w:val="en-US" w:eastAsia="zh-CN"/>
        </w:rPr>
        <w:t>损耗、站内变压器铜铁损耗、站内电缆母线损耗，以及充电工况、放电工况、全时段待机工况下的全部站用电消耗。</w:t>
      </w:r>
    </w:p>
    <w:p w14:paraId="39D1F84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宋体" w:cs="Times New Roman"/>
          <w:kern w:val="0"/>
          <w:sz w:val="28"/>
          <w:szCs w:val="28"/>
          <w:lang w:val="en-US" w:eastAsia="zh-CN"/>
        </w:rPr>
      </w:pPr>
      <w:r>
        <w:rPr>
          <w:rFonts w:hint="default" w:ascii="宋体" w:hAnsi="宋体" w:eastAsia="宋体" w:cs="宋体"/>
          <w:kern w:val="0"/>
          <w:sz w:val="28"/>
          <w:szCs w:val="28"/>
          <w:lang w:val="en-US" w:eastAsia="zh-CN"/>
        </w:rPr>
        <w:t>项目排放的计</w:t>
      </w:r>
      <w:r>
        <w:rPr>
          <w:rFonts w:hint="default" w:ascii="Times New Roman" w:hAnsi="Times New Roman" w:eastAsia="宋体" w:cs="Times New Roman"/>
          <w:kern w:val="0"/>
          <w:sz w:val="28"/>
          <w:szCs w:val="28"/>
          <w:lang w:val="en-US" w:eastAsia="zh-CN"/>
        </w:rPr>
        <w:t>算公式为：</w:t>
      </w:r>
    </w:p>
    <w:p w14:paraId="2801B02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0" w:firstLineChars="0"/>
        <w:jc w:val="right"/>
        <w:textAlignment w:val="auto"/>
        <w:rPr>
          <w:rFonts w:hint="default" w:ascii="Times New Roman" w:hAnsi="Times New Roman" w:eastAsia="宋体" w:cs="Times New Roman"/>
          <w:i w:val="0"/>
          <w:iCs/>
          <w:sz w:val="28"/>
          <w:lang w:val="en-US" w:eastAsia="zh-CN"/>
        </w:rPr>
      </w:pPr>
      <w:bookmarkStart w:id="38" w:name="_Toc170134111"/>
      <m:oMath>
        <m:sSub>
          <m:sSubPr>
            <m:ctrlPr>
              <w:rPr>
                <w:rFonts w:ascii="Cambria Math" w:hAnsi="Cambria Math" w:cs="Times New Roman"/>
                <w:i/>
                <w:iCs w:val="0"/>
                <w:sz w:val="28"/>
              </w:rPr>
            </m:ctrlPr>
          </m:sSubPr>
          <m:e>
            <m:r>
              <m:rPr/>
              <w:rPr>
                <w:rFonts w:hint="default" w:ascii="Cambria Math" w:hAnsi="Cambria Math" w:cs="Times New Roman"/>
                <w:sz w:val="28"/>
                <w:lang w:val="en-US" w:eastAsia="zh-CN"/>
              </w:rPr>
              <m:t>PE</m:t>
            </m:r>
            <m:ctrlPr>
              <w:rPr>
                <w:rFonts w:ascii="Cambria Math" w:hAnsi="Cambria Math" w:cs="Times New Roman"/>
                <w:i/>
                <w:iCs w:val="0"/>
                <w:sz w:val="28"/>
              </w:rPr>
            </m:ctrlPr>
          </m:e>
          <m:sub>
            <m:r>
              <m:rPr/>
              <w:rPr>
                <w:rFonts w:hint="default" w:ascii="Cambria Math" w:hAnsi="Cambria Math" w:cs="Times New Roman"/>
                <w:sz w:val="28"/>
                <w:lang w:val="en-US" w:eastAsia="zh-CN"/>
              </w:rPr>
              <m:t>y</m:t>
            </m:r>
            <m:ctrlPr>
              <w:rPr>
                <w:rFonts w:ascii="Cambria Math" w:hAnsi="Cambria Math" w:cs="Times New Roman"/>
                <w:i/>
                <w:iCs w:val="0"/>
                <w:sz w:val="28"/>
              </w:rPr>
            </m:ctrlPr>
          </m:sub>
        </m:sSub>
        <m:r>
          <m:rPr/>
          <w:rPr>
            <w:rFonts w:hint="default" w:ascii="Cambria Math" w:hAnsi="Cambria Math" w:cs="Times New Roman"/>
            <w:sz w:val="28"/>
            <w:lang w:val="en-US" w:eastAsia="zh-CN"/>
          </w:rPr>
          <m:t>=</m:t>
        </m:r>
        <m:nary>
          <m:naryPr>
            <m:chr m:val="∑"/>
            <m:limLoc m:val="undOvr"/>
            <m:supHide m:val="1"/>
            <m:ctrlPr>
              <w:rPr>
                <w:rFonts w:hint="default" w:ascii="Cambria Math" w:hAnsi="Cambria Math" w:cs="Times New Roman"/>
                <w:i/>
                <w:iCs w:val="0"/>
                <w:sz w:val="28"/>
                <w:lang w:val="en-US" w:eastAsia="zh-CN"/>
              </w:rPr>
            </m:ctrlPr>
          </m:naryPr>
          <m:sub>
            <m:r>
              <m:rPr/>
              <w:rPr>
                <w:rFonts w:hint="default" w:ascii="Cambria Math" w:hAnsi="Cambria Math" w:cs="Times New Roman"/>
                <w:sz w:val="28"/>
                <w:lang w:val="en-US" w:eastAsia="zh-CN"/>
              </w:rPr>
              <m:t>j</m:t>
            </m:r>
            <m:ctrlPr>
              <w:rPr>
                <w:rFonts w:hint="default" w:ascii="Cambria Math" w:hAnsi="Cambria Math" w:cs="Times New Roman"/>
                <w:i/>
                <w:iCs w:val="0"/>
                <w:sz w:val="28"/>
                <w:lang w:val="en-US" w:eastAsia="zh-CN"/>
              </w:rPr>
            </m:ctrlPr>
          </m:sub>
          <m:sup>
            <m:ctrlPr>
              <w:rPr>
                <w:rFonts w:hint="default" w:ascii="Cambria Math" w:hAnsi="Cambria Math" w:cs="Times New Roman"/>
                <w:i/>
                <w:iCs w:val="0"/>
                <w:sz w:val="28"/>
                <w:lang w:val="en-US" w:eastAsia="zh-CN"/>
              </w:rPr>
            </m:ctrlPr>
          </m:sup>
          <m:e>
            <m:r>
              <m:rPr/>
              <w:rPr>
                <w:rFonts w:hint="default" w:ascii="Cambria Math" w:hAnsi="Cambria Math" w:cs="Times New Roman"/>
                <w:sz w:val="28"/>
                <w:lang w:val="en-US" w:eastAsia="zh-CN"/>
              </w:rPr>
              <m:t>(</m:t>
            </m:r>
            <m:sSub>
              <m:sSubPr>
                <m:ctrlPr>
                  <w:rPr>
                    <w:rFonts w:hint="default" w:ascii="Cambria Math" w:hAnsi="Cambria Math" w:cs="Times New Roman"/>
                    <w:i/>
                    <w:iCs w:val="0"/>
                    <w:sz w:val="28"/>
                    <w:lang w:val="en-US" w:eastAsia="zh-CN"/>
                  </w:rPr>
                </m:ctrlPr>
              </m:sSubPr>
              <m:e>
                <m:r>
                  <m:rPr/>
                  <w:rPr>
                    <w:rFonts w:hint="default" w:ascii="Cambria Math" w:hAnsi="Cambria Math" w:cs="Times New Roman"/>
                    <w:sz w:val="28"/>
                    <w:lang w:val="en-US" w:eastAsia="zh-CN"/>
                  </w:rPr>
                  <m:t>EG</m:t>
                </m:r>
                <m:ctrlPr>
                  <w:rPr>
                    <w:rFonts w:hint="default" w:ascii="Cambria Math" w:hAnsi="Cambria Math" w:cs="Times New Roman"/>
                    <w:i/>
                    <w:iCs w:val="0"/>
                    <w:sz w:val="28"/>
                    <w:lang w:val="en-US" w:eastAsia="zh-CN"/>
                  </w:rPr>
                </m:ctrlPr>
              </m:e>
              <m:sub>
                <m:r>
                  <m:rPr/>
                  <w:rPr>
                    <w:rFonts w:hint="default" w:ascii="Cambria Math" w:hAnsi="Cambria Math" w:cs="Times New Roman"/>
                    <w:sz w:val="28"/>
                    <w:lang w:val="en-US" w:eastAsia="zh-CN"/>
                  </w:rPr>
                  <m:t>c,y,j</m:t>
                </m:r>
                <m:ctrlPr>
                  <w:rPr>
                    <w:rFonts w:hint="default" w:ascii="Cambria Math" w:hAnsi="Cambria Math" w:cs="Times New Roman"/>
                    <w:i/>
                    <w:iCs w:val="0"/>
                    <w:sz w:val="28"/>
                    <w:lang w:val="en-US" w:eastAsia="zh-CN"/>
                  </w:rPr>
                </m:ctrlPr>
              </m:sub>
            </m:sSub>
            <m:r>
              <m:rPr>
                <m:sty m:val="p"/>
              </m:rPr>
              <w:rPr>
                <w:rFonts w:hint="eastAsia" w:ascii="Cambria Math" w:hAnsi="Cambria Math" w:cs="Times New Roman"/>
                <w:sz w:val="28"/>
                <w:lang w:val="en-US" w:eastAsia="zh-CN"/>
              </w:rPr>
              <m:t>×</m:t>
            </m:r>
            <m:sSub>
              <m:sSubPr>
                <m:ctrlPr>
                  <w:rPr>
                    <w:rFonts w:hint="eastAsia" w:ascii="Cambria Math" w:hAnsi="Cambria Math" w:cs="Times New Roman"/>
                    <w:i/>
                    <w:iCs w:val="0"/>
                    <w:sz w:val="28"/>
                    <w:lang w:val="en-US" w:eastAsia="zh-CN"/>
                  </w:rPr>
                </m:ctrlPr>
              </m:sSubPr>
              <m:e>
                <m:r>
                  <m:rPr/>
                  <w:rPr>
                    <w:rFonts w:hint="default" w:ascii="Cambria Math" w:hAnsi="Cambria Math" w:cs="Times New Roman"/>
                    <w:sz w:val="28"/>
                    <w:lang w:val="en-US" w:eastAsia="zh-CN"/>
                  </w:rPr>
                  <m:t>EF</m:t>
                </m:r>
                <m:ctrlPr>
                  <w:rPr>
                    <w:rFonts w:hint="eastAsia" w:ascii="Cambria Math" w:hAnsi="Cambria Math" w:cs="Times New Roman"/>
                    <w:i/>
                    <w:iCs w:val="0"/>
                    <w:sz w:val="28"/>
                    <w:lang w:val="en-US" w:eastAsia="zh-CN"/>
                  </w:rPr>
                </m:ctrlPr>
              </m:e>
              <m:sub>
                <m:r>
                  <m:rPr/>
                  <w:rPr>
                    <w:rFonts w:hint="default" w:ascii="Cambria Math" w:hAnsi="Cambria Math" w:cs="Times New Roman"/>
                    <w:sz w:val="28"/>
                    <w:lang w:val="en-US" w:eastAsia="zh-CN"/>
                  </w:rPr>
                  <m:t>gird,y,j</m:t>
                </m:r>
                <m:ctrlPr>
                  <w:rPr>
                    <w:rFonts w:hint="eastAsia" w:ascii="Cambria Math" w:hAnsi="Cambria Math" w:cs="Times New Roman"/>
                    <w:i/>
                    <w:iCs w:val="0"/>
                    <w:sz w:val="28"/>
                    <w:lang w:val="en-US" w:eastAsia="zh-CN"/>
                  </w:rPr>
                </m:ctrlPr>
              </m:sub>
            </m:sSub>
            <m:r>
              <m:rPr/>
              <w:rPr>
                <w:rFonts w:hint="default" w:ascii="Cambria Math" w:hAnsi="Cambria Math" w:cs="Times New Roman"/>
                <w:sz w:val="28"/>
                <w:lang w:val="en-US" w:eastAsia="zh-CN"/>
              </w:rPr>
              <m:t>)</m:t>
            </m:r>
            <m:ctrlPr>
              <w:rPr>
                <w:rFonts w:hint="default" w:ascii="Cambria Math" w:hAnsi="Cambria Math" w:cs="Times New Roman"/>
                <w:i/>
                <w:iCs w:val="0"/>
                <w:sz w:val="28"/>
                <w:lang w:val="en-US" w:eastAsia="zh-CN"/>
              </w:rPr>
            </m:ctrlPr>
          </m:e>
        </m:nary>
      </m:oMath>
      <w:r>
        <w:rPr>
          <w:rFonts w:hint="default" w:ascii="Times New Roman" w:hAnsi="Times New Roman" w:eastAsia="Cambria Math" w:cs="Times New Roman"/>
          <w:i/>
          <w:iCs w:val="0"/>
          <w:sz w:val="28"/>
          <w:lang w:val="en-US" w:eastAsia="zh-CN"/>
        </w:rPr>
        <w:t xml:space="preserve"> </w:t>
      </w:r>
      <w:r>
        <w:rPr>
          <w:rFonts w:hint="default" w:ascii="Times New Roman" w:hAnsi="Times New Roman" w:eastAsia="宋体" w:cs="Times New Roman"/>
          <w:i w:val="0"/>
          <w:iCs/>
          <w:sz w:val="28"/>
          <w:vertAlign w:val="baseline"/>
          <w:lang w:val="en-US" w:eastAsia="zh-CN"/>
        </w:rPr>
        <w:t xml:space="preserve">   </w:t>
      </w:r>
      <w:r>
        <w:rPr>
          <w:rFonts w:hint="eastAsia" w:ascii="Times New Roman" w:hAnsi="Times New Roman" w:eastAsia="宋体" w:cs="Times New Roman"/>
          <w:i w:val="0"/>
          <w:iCs/>
          <w:sz w:val="28"/>
          <w:vertAlign w:val="baseline"/>
          <w:lang w:val="en-US" w:eastAsia="zh-CN"/>
        </w:rPr>
        <w:t xml:space="preserve">           </w:t>
      </w:r>
      <w:r>
        <w:rPr>
          <w:rFonts w:hint="default" w:ascii="Times New Roman" w:hAnsi="Times New Roman" w:eastAsia="宋体" w:cs="Times New Roman"/>
          <w:i w:val="0"/>
          <w:iCs/>
          <w:sz w:val="28"/>
          <w:vertAlign w:val="baseline"/>
          <w:lang w:val="en-US" w:eastAsia="zh-CN"/>
        </w:rPr>
        <w:t xml:space="preserve">  </w:t>
      </w:r>
      <w:r>
        <w:rPr>
          <w:rFonts w:hint="eastAsia" w:ascii="Times New Roman" w:hAnsi="Times New Roman" w:eastAsia="宋体" w:cs="Times New Roman"/>
          <w:i w:val="0"/>
          <w:iCs/>
          <w:sz w:val="28"/>
          <w:vertAlign w:val="baseline"/>
          <w:lang w:val="en-US" w:eastAsia="zh-CN"/>
        </w:rPr>
        <w:t>(</w:t>
      </w:r>
      <w:r>
        <w:rPr>
          <w:rFonts w:hint="default" w:ascii="Times New Roman" w:hAnsi="Times New Roman" w:eastAsia="宋体" w:cs="Times New Roman"/>
          <w:i w:val="0"/>
          <w:iCs/>
          <w:sz w:val="28"/>
          <w:vertAlign w:val="baseline"/>
          <w:lang w:val="en-US" w:eastAsia="zh-CN"/>
        </w:rPr>
        <w:t>2</w:t>
      </w:r>
      <w:r>
        <w:rPr>
          <w:rFonts w:hint="eastAsia" w:ascii="Times New Roman" w:hAnsi="Times New Roman" w:eastAsia="宋体" w:cs="Times New Roman"/>
          <w:i w:val="0"/>
          <w:iCs/>
          <w:sz w:val="28"/>
          <w:vertAlign w:val="baseline"/>
          <w:lang w:val="en-US" w:eastAsia="zh-CN"/>
        </w:rPr>
        <w:t>)</w:t>
      </w:r>
    </w:p>
    <w:p w14:paraId="5C6112F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Cambria Math" w:cs="Times New Roman"/>
          <w:i w:val="0"/>
          <w:iCs/>
          <w:sz w:val="28"/>
        </w:rPr>
      </w:pPr>
      <w:r>
        <w:rPr>
          <w:rFonts w:hint="default" w:ascii="Times New Roman" w:hAnsi="Times New Roman" w:eastAsia="Cambria Math" w:cs="Times New Roman"/>
          <w:i w:val="0"/>
          <w:iCs/>
          <w:sz w:val="28"/>
        </w:rPr>
        <w:t xml:space="preserve">式中：   </w:t>
      </w:r>
    </w:p>
    <w:p w14:paraId="5E79F2B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Cambria Math" w:cs="Times New Roman"/>
          <w:i w:val="0"/>
          <w:iCs/>
          <w:sz w:val="28"/>
        </w:rPr>
      </w:pPr>
      <w:r>
        <w:rPr>
          <w:rFonts w:hint="default" w:ascii="Times New Roman" w:hAnsi="Times New Roman" w:eastAsia="Cambria Math" w:cs="Times New Roman"/>
          <w:i/>
          <w:iCs w:val="0"/>
          <w:sz w:val="28"/>
        </w:rPr>
        <w:t>PE</w:t>
      </w:r>
      <w:r>
        <w:rPr>
          <w:rFonts w:hint="default" w:ascii="Times New Roman" w:hAnsi="Times New Roman" w:eastAsia="Cambria Math" w:cs="Times New Roman"/>
          <w:i/>
          <w:iCs w:val="0"/>
          <w:sz w:val="28"/>
          <w:vertAlign w:val="subscript"/>
          <w:lang w:val="en-US" w:eastAsia="zh-CN"/>
        </w:rPr>
        <w:t>y</w:t>
      </w:r>
      <w:r>
        <w:rPr>
          <w:rFonts w:hint="default" w:ascii="Times New Roman" w:hAnsi="Times New Roman" w:eastAsia="Cambria Math" w:cs="Times New Roman"/>
          <w:i w:val="0"/>
          <w:iCs/>
          <w:sz w:val="28"/>
        </w:rPr>
        <w:t xml:space="preserve">  — 在 </w:t>
      </w:r>
      <w:r>
        <w:rPr>
          <w:rFonts w:hint="default" w:ascii="Times New Roman" w:hAnsi="Times New Roman" w:eastAsia="Cambria Math" w:cs="Times New Roman"/>
          <w:i/>
          <w:iCs w:val="0"/>
          <w:sz w:val="28"/>
        </w:rPr>
        <w:t>y</w:t>
      </w:r>
      <w:r>
        <w:rPr>
          <w:rFonts w:hint="default" w:ascii="Times New Roman" w:hAnsi="Times New Roman" w:eastAsia="Cambria Math" w:cs="Times New Roman"/>
          <w:i w:val="0"/>
          <w:iCs/>
          <w:sz w:val="28"/>
        </w:rPr>
        <w:t xml:space="preserve"> </w:t>
      </w:r>
      <w:r>
        <w:rPr>
          <w:rFonts w:hint="eastAsia" w:ascii="Times New Roman" w:hAnsi="Times New Roman" w:eastAsia="宋体" w:cs="Times New Roman"/>
          <w:i w:val="0"/>
          <w:iCs/>
          <w:sz w:val="28"/>
          <w:lang w:val="en-US" w:eastAsia="zh-CN"/>
        </w:rPr>
        <w:t>时段</w:t>
      </w:r>
      <w:r>
        <w:rPr>
          <w:rFonts w:hint="default" w:ascii="Times New Roman" w:hAnsi="Times New Roman" w:eastAsia="宋体" w:cs="Times New Roman"/>
          <w:i w:val="0"/>
          <w:iCs/>
          <w:sz w:val="28"/>
          <w:lang w:val="en-US" w:eastAsia="zh-CN"/>
        </w:rPr>
        <w:t>内</w:t>
      </w:r>
      <w:r>
        <w:rPr>
          <w:rFonts w:hint="default" w:ascii="Times New Roman" w:hAnsi="Times New Roman" w:eastAsia="Cambria Math" w:cs="Times New Roman"/>
          <w:i w:val="0"/>
          <w:iCs/>
          <w:sz w:val="28"/>
        </w:rPr>
        <w:t>的项目排放</w:t>
      </w:r>
      <w:r>
        <w:rPr>
          <w:rFonts w:hint="eastAsia" w:ascii="Times New Roman" w:hAnsi="Times New Roman" w:eastAsia="宋体" w:cs="Times New Roman"/>
          <w:i w:val="0"/>
          <w:iCs/>
          <w:sz w:val="28"/>
          <w:lang w:val="en-US" w:eastAsia="zh-CN"/>
        </w:rPr>
        <w:t>量</w:t>
      </w:r>
      <w:r>
        <w:rPr>
          <w:rFonts w:hint="eastAsia" w:ascii="Times New Roman" w:hAnsi="Times New Roman" w:eastAsia="宋体" w:cs="Times New Roman"/>
          <w:i w:val="0"/>
          <w:iCs/>
          <w:sz w:val="28"/>
          <w:lang w:eastAsia="zh-CN"/>
        </w:rPr>
        <w:t>，</w:t>
      </w:r>
      <w:r>
        <w:rPr>
          <w:rFonts w:hint="eastAsia" w:ascii="Times New Roman" w:hAnsi="Times New Roman" w:eastAsia="宋体" w:cs="Times New Roman"/>
          <w:i w:val="0"/>
          <w:iCs/>
          <w:sz w:val="28"/>
          <w:lang w:val="en-US" w:eastAsia="zh-CN"/>
        </w:rPr>
        <w:t>kg</w:t>
      </w:r>
      <w:r>
        <w:rPr>
          <w:rFonts w:hint="default" w:ascii="Times New Roman" w:hAnsi="Times New Roman" w:eastAsia="Cambria Math" w:cs="Times New Roman"/>
          <w:i w:val="0"/>
          <w:iCs/>
          <w:sz w:val="28"/>
        </w:rPr>
        <w:t>CO</w:t>
      </w:r>
      <w:r>
        <w:rPr>
          <w:rFonts w:hint="default" w:ascii="Times New Roman" w:hAnsi="Times New Roman" w:eastAsia="Cambria Math" w:cs="Times New Roman"/>
          <w:i w:val="0"/>
          <w:iCs/>
          <w:sz w:val="28"/>
          <w:vertAlign w:val="subscript"/>
        </w:rPr>
        <w:t>2</w:t>
      </w:r>
      <w:r>
        <w:rPr>
          <w:rFonts w:hint="default" w:ascii="Times New Roman" w:hAnsi="Times New Roman" w:eastAsia="Cambria Math" w:cs="Times New Roman"/>
          <w:i w:val="0"/>
          <w:iCs/>
          <w:sz w:val="28"/>
        </w:rPr>
        <w:t>；</w:t>
      </w:r>
    </w:p>
    <w:p w14:paraId="4C89D32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Cambria Math" w:cs="Times New Roman"/>
          <w:i w:val="0"/>
          <w:iCs/>
          <w:sz w:val="28"/>
        </w:rPr>
      </w:pPr>
      <w:r>
        <w:rPr>
          <w:rFonts w:hint="default" w:ascii="Times New Roman" w:hAnsi="Times New Roman" w:eastAsia="Cambria Math" w:cs="Times New Roman"/>
          <w:i/>
          <w:iCs w:val="0"/>
          <w:sz w:val="28"/>
        </w:rPr>
        <w:t>EG</w:t>
      </w:r>
      <w:r>
        <w:rPr>
          <w:rFonts w:hint="default" w:ascii="Times New Roman" w:hAnsi="Times New Roman" w:eastAsia="Cambria Math" w:cs="Times New Roman"/>
          <w:i/>
          <w:iCs w:val="0"/>
          <w:sz w:val="28"/>
          <w:vertAlign w:val="subscript"/>
          <w:lang w:val="en-US" w:eastAsia="zh-CN"/>
        </w:rPr>
        <w:t>c,y</w:t>
      </w:r>
      <w:r>
        <w:rPr>
          <w:rFonts w:hint="eastAsia" w:ascii="Times New Roman" w:hAnsi="Times New Roman" w:eastAsia="Cambria Math" w:cs="Times New Roman"/>
          <w:i/>
          <w:iCs w:val="0"/>
          <w:sz w:val="28"/>
          <w:vertAlign w:val="subscript"/>
          <w:lang w:val="en-US" w:eastAsia="zh-CN"/>
        </w:rPr>
        <w:t>,i</w:t>
      </w:r>
      <w:r>
        <w:rPr>
          <w:rFonts w:hint="default" w:ascii="Times New Roman" w:hAnsi="Times New Roman" w:eastAsia="Cambria Math" w:cs="Times New Roman"/>
          <w:i/>
          <w:iCs w:val="0"/>
          <w:sz w:val="28"/>
        </w:rPr>
        <w:t xml:space="preserve"> </w:t>
      </w:r>
      <w:r>
        <w:rPr>
          <w:rFonts w:hint="default" w:ascii="Times New Roman" w:hAnsi="Times New Roman" w:eastAsia="Cambria Math" w:cs="Times New Roman"/>
          <w:i w:val="0"/>
          <w:iCs/>
          <w:sz w:val="28"/>
        </w:rPr>
        <w:t xml:space="preserve"> — 在 </w:t>
      </w:r>
      <w:r>
        <w:rPr>
          <w:rFonts w:hint="default" w:ascii="Times New Roman" w:hAnsi="Times New Roman" w:eastAsia="Cambria Math" w:cs="Times New Roman"/>
          <w:i/>
          <w:iCs w:val="0"/>
          <w:sz w:val="28"/>
        </w:rPr>
        <w:t>y</w:t>
      </w:r>
      <w:r>
        <w:rPr>
          <w:rFonts w:hint="default" w:ascii="Times New Roman" w:hAnsi="Times New Roman" w:eastAsia="Cambria Math" w:cs="Times New Roman"/>
          <w:i w:val="0"/>
          <w:iCs/>
          <w:sz w:val="28"/>
        </w:rPr>
        <w:t xml:space="preserve"> </w:t>
      </w:r>
      <w:r>
        <w:rPr>
          <w:rFonts w:hint="eastAsia" w:ascii="Times New Roman" w:hAnsi="Times New Roman" w:eastAsia="宋体" w:cs="Times New Roman"/>
          <w:i w:val="0"/>
          <w:iCs/>
          <w:sz w:val="28"/>
          <w:lang w:val="en-US" w:eastAsia="zh-CN"/>
        </w:rPr>
        <w:t>时段</w:t>
      </w:r>
      <w:r>
        <w:rPr>
          <w:rFonts w:hint="default" w:ascii="Times New Roman" w:hAnsi="Times New Roman" w:eastAsia="宋体" w:cs="Times New Roman"/>
          <w:i w:val="0"/>
          <w:iCs/>
          <w:sz w:val="28"/>
          <w:lang w:val="en-US" w:eastAsia="zh-CN"/>
        </w:rPr>
        <w:t>内</w:t>
      </w:r>
      <w:r>
        <w:rPr>
          <w:rFonts w:hint="default" w:ascii="Times New Roman" w:hAnsi="Times New Roman" w:eastAsia="Cambria Math" w:cs="Times New Roman"/>
          <w:i w:val="0"/>
          <w:iCs/>
          <w:sz w:val="28"/>
        </w:rPr>
        <w:t>，第</w:t>
      </w:r>
      <w:r>
        <w:rPr>
          <w:rFonts w:hint="eastAsia" w:ascii="Times New Roman" w:hAnsi="Times New Roman" w:eastAsia="宋体" w:cs="Times New Roman"/>
          <w:i w:val="0"/>
          <w:iCs/>
          <w:sz w:val="28"/>
          <w:lang w:val="en-US" w:eastAsia="zh-CN"/>
        </w:rPr>
        <w:t xml:space="preserve"> </w:t>
      </w:r>
      <w:r>
        <w:rPr>
          <w:rFonts w:hint="default" w:ascii="Times New Roman" w:hAnsi="Times New Roman" w:eastAsia="Cambria Math" w:cs="Times New Roman"/>
          <w:i/>
          <w:iCs w:val="0"/>
          <w:sz w:val="28"/>
        </w:rPr>
        <w:t>j</w:t>
      </w:r>
      <w:r>
        <w:rPr>
          <w:rFonts w:hint="eastAsia" w:ascii="Times New Roman" w:hAnsi="Times New Roman" w:eastAsia="宋体" w:cs="Times New Roman"/>
          <w:i/>
          <w:iCs w:val="0"/>
          <w:sz w:val="28"/>
          <w:lang w:val="en-US" w:eastAsia="zh-CN"/>
        </w:rPr>
        <w:t xml:space="preserve"> </w:t>
      </w:r>
      <w:r>
        <w:rPr>
          <w:rFonts w:hint="default" w:ascii="Times New Roman" w:hAnsi="Times New Roman" w:eastAsia="Cambria Math" w:cs="Times New Roman"/>
          <w:i w:val="0"/>
          <w:iCs/>
          <w:sz w:val="28"/>
        </w:rPr>
        <w:t>个</w:t>
      </w:r>
      <w:r>
        <w:rPr>
          <w:rFonts w:hint="eastAsia" w:ascii="Times New Roman" w:hAnsi="Times New Roman" w:eastAsia="宋体" w:cs="Times New Roman"/>
          <w:i w:val="0"/>
          <w:iCs/>
          <w:sz w:val="28"/>
          <w:lang w:val="en-US" w:eastAsia="zh-CN"/>
        </w:rPr>
        <w:t>有效充电工况</w:t>
      </w:r>
      <w:r>
        <w:rPr>
          <w:rFonts w:hint="default" w:ascii="Times New Roman" w:hAnsi="Times New Roman" w:eastAsia="Cambria Math" w:cs="Times New Roman"/>
          <w:i w:val="0"/>
          <w:iCs/>
          <w:sz w:val="28"/>
        </w:rPr>
        <w:t>时段电化学储能电站</w:t>
      </w:r>
      <w:r>
        <w:rPr>
          <w:rFonts w:hint="default" w:ascii="Times New Roman" w:hAnsi="Times New Roman" w:eastAsia="宋体" w:cs="Times New Roman"/>
          <w:i w:val="0"/>
          <w:iCs/>
          <w:sz w:val="28"/>
          <w:lang w:val="en-US" w:eastAsia="zh-CN"/>
        </w:rPr>
        <w:t>充电电量</w:t>
      </w:r>
      <w:r>
        <w:rPr>
          <w:rFonts w:hint="eastAsia" w:ascii="Times New Roman" w:hAnsi="Times New Roman" w:eastAsia="宋体" w:cs="Times New Roman"/>
          <w:i w:val="0"/>
          <w:iCs/>
          <w:sz w:val="28"/>
          <w:lang w:val="en-US" w:eastAsia="zh-CN"/>
        </w:rPr>
        <w:t>（下网电量）</w:t>
      </w:r>
      <w:r>
        <w:rPr>
          <w:rFonts w:hint="eastAsia" w:ascii="Times New Roman" w:hAnsi="Times New Roman" w:eastAsia="宋体" w:cs="Times New Roman"/>
          <w:i w:val="0"/>
          <w:iCs/>
          <w:sz w:val="28"/>
          <w:lang w:eastAsia="zh-CN"/>
        </w:rPr>
        <w:t>，</w:t>
      </w:r>
      <w:r>
        <w:rPr>
          <w:rFonts w:hint="eastAsia" w:ascii="Times New Roman" w:hAnsi="Times New Roman" w:eastAsia="宋体" w:cs="Times New Roman"/>
          <w:i w:val="0"/>
          <w:iCs/>
          <w:sz w:val="28"/>
          <w:lang w:val="en-US" w:eastAsia="zh-CN"/>
        </w:rPr>
        <w:t>k</w:t>
      </w:r>
      <w:r>
        <w:rPr>
          <w:rFonts w:hint="default" w:ascii="Times New Roman" w:hAnsi="Times New Roman" w:eastAsia="Cambria Math" w:cs="Times New Roman"/>
          <w:i w:val="0"/>
          <w:iCs/>
          <w:sz w:val="28"/>
        </w:rPr>
        <w:t>Wh；</w:t>
      </w:r>
    </w:p>
    <w:p w14:paraId="61B74132">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宋体" w:cs="Times New Roman"/>
          <w:i w:val="0"/>
          <w:iCs/>
          <w:sz w:val="28"/>
          <w:lang w:val="en-US" w:eastAsia="zh-CN"/>
        </w:rPr>
      </w:pPr>
      <w:r>
        <w:rPr>
          <w:rFonts w:hint="default" w:ascii="Times New Roman" w:hAnsi="Times New Roman" w:eastAsia="Cambria Math" w:cs="Times New Roman"/>
          <w:i/>
          <w:iCs w:val="0"/>
          <w:sz w:val="28"/>
        </w:rPr>
        <w:t>EF</w:t>
      </w:r>
      <w:r>
        <w:rPr>
          <w:rFonts w:hint="default" w:ascii="Times New Roman" w:hAnsi="Times New Roman" w:eastAsia="Cambria Math" w:cs="Times New Roman"/>
          <w:i/>
          <w:iCs w:val="0"/>
          <w:sz w:val="28"/>
          <w:vertAlign w:val="subscript"/>
          <w:lang w:val="en-US" w:eastAsia="zh-CN"/>
        </w:rPr>
        <w:t>grid,y</w:t>
      </w:r>
      <w:r>
        <w:rPr>
          <w:rFonts w:hint="eastAsia" w:ascii="Times New Roman" w:hAnsi="Times New Roman" w:eastAsia="Cambria Math" w:cs="Times New Roman"/>
          <w:i/>
          <w:iCs w:val="0"/>
          <w:sz w:val="28"/>
          <w:vertAlign w:val="subscript"/>
          <w:lang w:val="en-US" w:eastAsia="zh-CN"/>
        </w:rPr>
        <w:t>,j</w:t>
      </w:r>
      <w:r>
        <w:rPr>
          <w:rFonts w:hint="default" w:ascii="Times New Roman" w:hAnsi="Times New Roman" w:eastAsia="Cambria Math" w:cs="Times New Roman"/>
          <w:i/>
          <w:iCs w:val="0"/>
          <w:sz w:val="28"/>
        </w:rPr>
        <w:t xml:space="preserve"> </w:t>
      </w:r>
      <w:r>
        <w:rPr>
          <w:rFonts w:hint="default" w:ascii="Times New Roman" w:hAnsi="Times New Roman" w:eastAsia="Cambria Math" w:cs="Times New Roman"/>
          <w:i w:val="0"/>
          <w:iCs/>
          <w:sz w:val="28"/>
        </w:rPr>
        <w:t xml:space="preserve"> — 在 </w:t>
      </w:r>
      <w:r>
        <w:rPr>
          <w:rFonts w:hint="default" w:ascii="Times New Roman" w:hAnsi="Times New Roman" w:eastAsia="Cambria Math" w:cs="Times New Roman"/>
          <w:i/>
          <w:iCs w:val="0"/>
          <w:sz w:val="28"/>
        </w:rPr>
        <w:t>y</w:t>
      </w:r>
      <w:r>
        <w:rPr>
          <w:rFonts w:hint="default" w:ascii="Times New Roman" w:hAnsi="Times New Roman" w:eastAsia="Cambria Math" w:cs="Times New Roman"/>
          <w:i w:val="0"/>
          <w:iCs/>
          <w:sz w:val="28"/>
        </w:rPr>
        <w:t xml:space="preserve"> </w:t>
      </w:r>
      <w:r>
        <w:rPr>
          <w:rFonts w:hint="eastAsia" w:ascii="Times New Roman" w:hAnsi="Times New Roman" w:eastAsia="宋体" w:cs="Times New Roman"/>
          <w:i w:val="0"/>
          <w:iCs/>
          <w:sz w:val="28"/>
          <w:lang w:val="en-US" w:eastAsia="zh-CN"/>
        </w:rPr>
        <w:t>时段</w:t>
      </w:r>
      <w:r>
        <w:rPr>
          <w:rFonts w:hint="default" w:ascii="Times New Roman" w:hAnsi="Times New Roman" w:eastAsia="宋体" w:cs="Times New Roman"/>
          <w:i w:val="0"/>
          <w:iCs/>
          <w:sz w:val="28"/>
          <w:lang w:val="en-US" w:eastAsia="zh-CN"/>
        </w:rPr>
        <w:t>内，第</w:t>
      </w:r>
      <w:r>
        <w:rPr>
          <w:rFonts w:hint="eastAsia" w:ascii="Times New Roman" w:hAnsi="Times New Roman" w:eastAsia="宋体" w:cs="Times New Roman"/>
          <w:i w:val="0"/>
          <w:iCs/>
          <w:sz w:val="28"/>
          <w:lang w:val="en-US" w:eastAsia="zh-CN"/>
        </w:rPr>
        <w:t xml:space="preserve"> </w:t>
      </w:r>
      <w:r>
        <w:rPr>
          <w:rFonts w:hint="eastAsia" w:ascii="Times New Roman" w:hAnsi="Times New Roman" w:eastAsia="宋体" w:cs="Times New Roman"/>
          <w:i/>
          <w:iCs w:val="0"/>
          <w:sz w:val="28"/>
          <w:lang w:val="en-US" w:eastAsia="zh-CN"/>
        </w:rPr>
        <w:t xml:space="preserve">j </w:t>
      </w:r>
      <w:r>
        <w:rPr>
          <w:rFonts w:hint="default" w:ascii="Times New Roman" w:hAnsi="Times New Roman" w:eastAsia="宋体" w:cs="Times New Roman"/>
          <w:i w:val="0"/>
          <w:iCs/>
          <w:sz w:val="28"/>
          <w:lang w:val="en-US" w:eastAsia="zh-CN"/>
        </w:rPr>
        <w:t>个</w:t>
      </w:r>
      <w:r>
        <w:rPr>
          <w:rFonts w:hint="eastAsia" w:ascii="Times New Roman" w:hAnsi="Times New Roman" w:eastAsia="宋体" w:cs="Times New Roman"/>
          <w:i w:val="0"/>
          <w:iCs/>
          <w:sz w:val="28"/>
          <w:lang w:val="en-US" w:eastAsia="zh-CN"/>
        </w:rPr>
        <w:t>有效充电工况</w:t>
      </w:r>
      <w:r>
        <w:rPr>
          <w:rFonts w:hint="default" w:ascii="Times New Roman" w:hAnsi="Times New Roman" w:eastAsia="Cambria Math" w:cs="Times New Roman"/>
          <w:i w:val="0"/>
          <w:iCs/>
          <w:sz w:val="28"/>
        </w:rPr>
        <w:t>时段</w:t>
      </w:r>
      <w:r>
        <w:rPr>
          <w:rFonts w:hint="default" w:ascii="Times New Roman" w:hAnsi="Times New Roman" w:eastAsia="宋体" w:cs="Times New Roman"/>
          <w:i w:val="0"/>
          <w:iCs/>
          <w:sz w:val="28"/>
          <w:lang w:val="en-US" w:eastAsia="zh-CN"/>
        </w:rPr>
        <w:t>对应的南京</w:t>
      </w:r>
      <w:r>
        <w:rPr>
          <w:rFonts w:hint="eastAsia" w:ascii="Times New Roman" w:hAnsi="Times New Roman" w:eastAsia="宋体" w:cs="Times New Roman"/>
          <w:i w:val="0"/>
          <w:iCs/>
          <w:sz w:val="28"/>
          <w:lang w:val="en-US" w:eastAsia="zh-CN"/>
        </w:rPr>
        <w:t>市</w:t>
      </w:r>
      <w:r>
        <w:rPr>
          <w:rFonts w:hint="default" w:ascii="Times New Roman" w:hAnsi="Times New Roman" w:eastAsia="宋体" w:cs="Times New Roman"/>
          <w:i w:val="0"/>
          <w:iCs/>
          <w:sz w:val="28"/>
          <w:lang w:val="en-US" w:eastAsia="zh-CN"/>
        </w:rPr>
        <w:t>分时电力二氧化碳排放因子</w:t>
      </w:r>
      <w:r>
        <w:rPr>
          <w:rFonts w:hint="eastAsia" w:ascii="Times New Roman" w:hAnsi="Times New Roman" w:eastAsia="宋体" w:cs="Times New Roman"/>
          <w:i w:val="0"/>
          <w:iCs/>
          <w:sz w:val="28"/>
          <w:lang w:val="en-US" w:eastAsia="zh-CN"/>
        </w:rPr>
        <w:t>，kg</w:t>
      </w:r>
      <w:r>
        <w:rPr>
          <w:rFonts w:hint="default" w:ascii="Times New Roman" w:hAnsi="Times New Roman" w:eastAsia="Cambria Math" w:cs="Times New Roman"/>
          <w:i w:val="0"/>
          <w:iCs/>
          <w:sz w:val="28"/>
        </w:rPr>
        <w:t>CO</w:t>
      </w:r>
      <w:r>
        <w:rPr>
          <w:rFonts w:hint="default" w:ascii="Times New Roman" w:hAnsi="Times New Roman" w:eastAsia="Cambria Math" w:cs="Times New Roman"/>
          <w:i w:val="0"/>
          <w:iCs/>
          <w:sz w:val="28"/>
          <w:vertAlign w:val="subscript"/>
        </w:rPr>
        <w:t>2</w:t>
      </w:r>
      <w:r>
        <w:rPr>
          <w:rFonts w:hint="default" w:ascii="Times New Roman" w:hAnsi="Times New Roman" w:eastAsia="宋体" w:cs="Times New Roman"/>
          <w:i w:val="0"/>
          <w:iCs/>
          <w:sz w:val="28"/>
          <w:lang w:val="en-US" w:eastAsia="zh-CN"/>
        </w:rPr>
        <w:t>/</w:t>
      </w:r>
      <w:r>
        <w:rPr>
          <w:rFonts w:hint="eastAsia" w:ascii="Times New Roman" w:hAnsi="Times New Roman" w:eastAsia="宋体" w:cs="Times New Roman"/>
          <w:i w:val="0"/>
          <w:iCs/>
          <w:sz w:val="28"/>
          <w:lang w:val="en-US" w:eastAsia="zh-CN"/>
        </w:rPr>
        <w:t>k</w:t>
      </w:r>
      <w:r>
        <w:rPr>
          <w:rFonts w:hint="default" w:ascii="Times New Roman" w:hAnsi="Times New Roman" w:eastAsia="Cambria Math" w:cs="Times New Roman"/>
          <w:i w:val="0"/>
          <w:iCs/>
          <w:sz w:val="28"/>
        </w:rPr>
        <w:t>Wh</w:t>
      </w:r>
      <w:r>
        <w:rPr>
          <w:rFonts w:hint="eastAsia" w:ascii="Times New Roman" w:hAnsi="Times New Roman" w:eastAsia="宋体" w:cs="Times New Roman"/>
          <w:i w:val="0"/>
          <w:iCs/>
          <w:sz w:val="28"/>
          <w:lang w:val="en-US" w:eastAsia="zh-CN"/>
        </w:rPr>
        <w:t>。</w:t>
      </w:r>
    </w:p>
    <w:p w14:paraId="75757E3B">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eastAsia" w:cs="宋体"/>
          <w:b w:val="0"/>
          <w:bCs/>
          <w:spacing w:val="-5"/>
          <w:sz w:val="28"/>
          <w:szCs w:val="28"/>
          <w:lang w:val="en-US" w:eastAsia="zh-CN"/>
        </w:rPr>
        <w:t>7.5 泄漏计算</w:t>
      </w:r>
    </w:p>
    <w:p w14:paraId="5239202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本方法学不考虑泄漏。</w:t>
      </w:r>
    </w:p>
    <w:p w14:paraId="3991C040">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eastAsia" w:cs="宋体"/>
          <w:b w:val="0"/>
          <w:bCs/>
          <w:spacing w:val="-5"/>
          <w:sz w:val="28"/>
          <w:szCs w:val="28"/>
          <w:lang w:val="en-US" w:eastAsia="zh-CN"/>
        </w:rPr>
        <w:t>7.6 减排量核算</w:t>
      </w:r>
    </w:p>
    <w:p w14:paraId="278939A2">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根据基准线情景和项目排放计算充电行为碳排放，则减排量为：</w:t>
      </w:r>
    </w:p>
    <w:p w14:paraId="43486B29">
      <w:pPr>
        <w:tabs>
          <w:tab w:val="left" w:pos="1269"/>
          <w:tab w:val="left" w:pos="1270"/>
        </w:tabs>
        <w:autoSpaceDE w:val="0"/>
        <w:autoSpaceDN w:val="0"/>
        <w:snapToGrid w:val="0"/>
        <w:spacing w:line="360" w:lineRule="auto"/>
        <w:ind w:firstLine="560" w:firstLineChars="200"/>
        <w:jc w:val="right"/>
        <w:rPr>
          <w:rFonts w:hint="default" w:ascii="Cambria Math" w:hAnsi="Cambria Math" w:eastAsia="宋体"/>
          <w:i w:val="0"/>
          <w:iCs/>
          <w:sz w:val="28"/>
          <w:vertAlign w:val="subscript"/>
          <w:lang w:val="en-US" w:eastAsia="zh-CN"/>
        </w:rPr>
      </w:pPr>
      <w:r>
        <w:rPr>
          <w:rFonts w:hint="default" w:ascii="Cambria Math" w:hAnsi="Cambria Math" w:eastAsia="Cambria Math"/>
          <w:i/>
          <w:iCs w:val="0"/>
          <w:sz w:val="28"/>
        </w:rPr>
        <w:t>ER</w:t>
      </w:r>
      <w:r>
        <w:rPr>
          <w:rFonts w:hint="default" w:ascii="Cambria Math" w:hAnsi="Cambria Math" w:eastAsia="Cambria Math"/>
          <w:i/>
          <w:iCs w:val="0"/>
          <w:sz w:val="28"/>
          <w:vertAlign w:val="subscript"/>
        </w:rPr>
        <w:t>y</w:t>
      </w:r>
      <w:r>
        <w:rPr>
          <w:rFonts w:hint="default" w:ascii="Cambria Math" w:hAnsi="Cambria Math" w:eastAsia="Cambria Math"/>
          <w:i/>
          <w:iCs w:val="0"/>
          <w:sz w:val="28"/>
        </w:rPr>
        <w:t xml:space="preserve"> </w:t>
      </w:r>
      <w:r>
        <w:rPr>
          <w:rFonts w:hint="eastAsia" w:ascii="Cambria Math" w:hAnsi="Cambria Math" w:eastAsia="宋体"/>
          <w:i/>
          <w:iCs w:val="0"/>
          <w:sz w:val="28"/>
          <w:lang w:val="en-US" w:eastAsia="zh-CN"/>
        </w:rPr>
        <w:t>=</w:t>
      </w:r>
      <w:r>
        <w:rPr>
          <w:rFonts w:hint="default" w:ascii="Cambria Math" w:hAnsi="Cambria Math" w:eastAsia="Cambria Math"/>
          <w:i/>
          <w:iCs w:val="0"/>
          <w:sz w:val="28"/>
        </w:rPr>
        <w:t>BE</w:t>
      </w:r>
      <w:r>
        <w:rPr>
          <w:rFonts w:hint="default" w:ascii="Cambria Math" w:hAnsi="Cambria Math" w:eastAsia="Cambria Math"/>
          <w:i/>
          <w:iCs w:val="0"/>
          <w:sz w:val="28"/>
          <w:vertAlign w:val="subscript"/>
        </w:rPr>
        <w:t>y</w:t>
      </w:r>
      <w:r>
        <w:rPr>
          <w:rFonts w:hint="eastAsia" w:ascii="Cambria Math" w:hAnsi="Cambria Math" w:eastAsia="宋体"/>
          <w:i/>
          <w:iCs w:val="0"/>
          <w:sz w:val="28"/>
          <w:vertAlign w:val="subscript"/>
          <w:lang w:val="en-US" w:eastAsia="zh-CN"/>
        </w:rPr>
        <w:t xml:space="preserve"> </w:t>
      </w:r>
      <w:r>
        <w:rPr>
          <w:rFonts w:hint="eastAsia" w:ascii="Cambria Math" w:hAnsi="Cambria Math" w:eastAsia="宋体"/>
          <w:i/>
          <w:iCs w:val="0"/>
          <w:sz w:val="28"/>
          <w:vertAlign w:val="baseline"/>
          <w:lang w:val="en-US" w:eastAsia="zh-CN"/>
        </w:rPr>
        <w:t>-</w:t>
      </w:r>
      <w:r>
        <w:rPr>
          <w:rFonts w:hint="default" w:ascii="Cambria Math" w:hAnsi="Cambria Math" w:eastAsia="Cambria Math"/>
          <w:i/>
          <w:iCs w:val="0"/>
          <w:sz w:val="28"/>
        </w:rPr>
        <w:t>PE</w:t>
      </w:r>
      <w:r>
        <w:rPr>
          <w:rFonts w:hint="default" w:ascii="Cambria Math" w:hAnsi="Cambria Math" w:eastAsia="Cambria Math"/>
          <w:i/>
          <w:iCs w:val="0"/>
          <w:sz w:val="28"/>
          <w:vertAlign w:val="subscript"/>
        </w:rPr>
        <w:t>y</w:t>
      </w:r>
      <w:r>
        <w:rPr>
          <w:rFonts w:hint="eastAsia" w:ascii="Cambria Math" w:hAnsi="Cambria Math" w:eastAsia="宋体"/>
          <w:i/>
          <w:iCs w:val="0"/>
          <w:sz w:val="28"/>
          <w:vertAlign w:val="baseline"/>
          <w:lang w:val="en-US" w:eastAsia="zh-CN"/>
        </w:rPr>
        <w:t xml:space="preserve">   </w:t>
      </w:r>
      <w:r>
        <w:rPr>
          <w:rFonts w:hint="eastAsia" w:ascii="Cambria Math" w:hAnsi="Cambria Math" w:eastAsia="宋体"/>
          <w:i w:val="0"/>
          <w:iCs/>
          <w:sz w:val="28"/>
          <w:vertAlign w:val="baseline"/>
          <w:lang w:val="en-US" w:eastAsia="zh-CN"/>
        </w:rPr>
        <w:t xml:space="preserve">              （3）</w:t>
      </w:r>
    </w:p>
    <w:p w14:paraId="6BF0A7CD">
      <w:pPr>
        <w:tabs>
          <w:tab w:val="left" w:pos="1269"/>
          <w:tab w:val="left" w:pos="1270"/>
        </w:tabs>
        <w:autoSpaceDE w:val="0"/>
        <w:autoSpaceDN w:val="0"/>
        <w:snapToGrid w:val="0"/>
        <w:spacing w:line="360" w:lineRule="auto"/>
        <w:ind w:firstLine="560" w:firstLineChars="200"/>
        <w:jc w:val="left"/>
        <w:rPr>
          <w:rFonts w:hint="eastAsia" w:ascii="Cambria Math" w:hAnsi="Cambria Math" w:eastAsia="宋体"/>
          <w:i w:val="0"/>
          <w:iCs/>
          <w:sz w:val="28"/>
          <w:vertAlign w:val="baseline"/>
          <w:lang w:val="en-US" w:eastAsia="zh-CN"/>
        </w:rPr>
      </w:pPr>
      <w:r>
        <w:rPr>
          <w:rFonts w:hint="eastAsia" w:ascii="Cambria Math" w:hAnsi="Cambria Math" w:eastAsia="宋体"/>
          <w:i w:val="0"/>
          <w:iCs/>
          <w:sz w:val="28"/>
          <w:vertAlign w:val="baseline"/>
          <w:lang w:val="en-US" w:eastAsia="zh-CN"/>
        </w:rPr>
        <w:t>式中：</w:t>
      </w:r>
    </w:p>
    <w:p w14:paraId="7DB380C2">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Cambria Math" w:cs="Times New Roman"/>
          <w:i w:val="0"/>
          <w:iCs/>
          <w:sz w:val="28"/>
        </w:rPr>
      </w:pPr>
      <w:r>
        <w:rPr>
          <w:rFonts w:hint="default" w:ascii="Cambria Math" w:hAnsi="Cambria Math" w:eastAsia="Cambria Math"/>
          <w:i/>
          <w:iCs w:val="0"/>
          <w:sz w:val="28"/>
        </w:rPr>
        <w:t>ER</w:t>
      </w:r>
      <w:r>
        <w:rPr>
          <w:rFonts w:hint="default" w:ascii="Times New Roman" w:hAnsi="Times New Roman" w:eastAsia="Cambria Math" w:cs="Times New Roman"/>
          <w:i/>
          <w:iCs w:val="0"/>
          <w:sz w:val="28"/>
          <w:vertAlign w:val="subscript"/>
          <w:lang w:val="en-US" w:eastAsia="zh-CN"/>
        </w:rPr>
        <w:t>y</w:t>
      </w:r>
      <w:r>
        <w:rPr>
          <w:rFonts w:hint="default" w:ascii="Cambria Math" w:hAnsi="Cambria Math" w:eastAsia="Cambria Math"/>
          <w:i w:val="0"/>
          <w:iCs/>
          <w:sz w:val="28"/>
        </w:rPr>
        <w:t xml:space="preserve">  — 在 </w:t>
      </w:r>
      <w:r>
        <w:rPr>
          <w:rFonts w:hint="default" w:ascii="Cambria Math" w:hAnsi="Cambria Math" w:eastAsia="Cambria Math"/>
          <w:i/>
          <w:iCs w:val="0"/>
          <w:sz w:val="28"/>
        </w:rPr>
        <w:t xml:space="preserve">y </w:t>
      </w:r>
      <w:r>
        <w:rPr>
          <w:rFonts w:hint="eastAsia" w:ascii="Times New Roman" w:hAnsi="Times New Roman" w:eastAsia="宋体" w:cs="Times New Roman"/>
          <w:i w:val="0"/>
          <w:iCs/>
          <w:sz w:val="28"/>
          <w:lang w:val="en-US" w:eastAsia="zh-CN"/>
        </w:rPr>
        <w:t>时段</w:t>
      </w:r>
      <w:r>
        <w:rPr>
          <w:rFonts w:hint="eastAsia" w:ascii="Cambria Math" w:hAnsi="Cambria Math" w:eastAsia="宋体"/>
          <w:i w:val="0"/>
          <w:iCs/>
          <w:sz w:val="28"/>
          <w:lang w:val="en-US" w:eastAsia="zh-CN"/>
        </w:rPr>
        <w:t>内</w:t>
      </w:r>
      <w:r>
        <w:rPr>
          <w:rFonts w:hint="default" w:ascii="Times New Roman" w:hAnsi="Times New Roman" w:eastAsia="Cambria Math" w:cs="Times New Roman"/>
          <w:i w:val="0"/>
          <w:iCs/>
          <w:sz w:val="28"/>
        </w:rPr>
        <w:t>的减排量</w:t>
      </w:r>
      <w:r>
        <w:rPr>
          <w:rFonts w:hint="eastAsia" w:ascii="Times New Roman" w:hAnsi="Times New Roman" w:eastAsia="宋体" w:cs="Times New Roman"/>
          <w:i w:val="0"/>
          <w:iCs/>
          <w:sz w:val="28"/>
          <w:lang w:eastAsia="zh-CN"/>
        </w:rPr>
        <w:t>，</w:t>
      </w:r>
      <w:r>
        <w:rPr>
          <w:rFonts w:hint="eastAsia" w:ascii="Times New Roman" w:hAnsi="Times New Roman" w:eastAsia="宋体" w:cs="Times New Roman"/>
          <w:i w:val="0"/>
          <w:iCs/>
          <w:sz w:val="28"/>
          <w:lang w:val="en-US" w:eastAsia="zh-CN"/>
        </w:rPr>
        <w:t>kg</w:t>
      </w:r>
      <w:r>
        <w:rPr>
          <w:rFonts w:hint="default" w:ascii="Times New Roman" w:hAnsi="Times New Roman" w:eastAsia="Cambria Math" w:cs="Times New Roman"/>
          <w:i w:val="0"/>
          <w:iCs/>
          <w:sz w:val="28"/>
        </w:rPr>
        <w:t>CO</w:t>
      </w:r>
      <w:r>
        <w:rPr>
          <w:rFonts w:hint="default" w:ascii="Times New Roman" w:hAnsi="Times New Roman" w:eastAsia="Cambria Math" w:cs="Times New Roman"/>
          <w:i w:val="0"/>
          <w:iCs/>
          <w:sz w:val="28"/>
          <w:vertAlign w:val="subscript"/>
        </w:rPr>
        <w:t>2</w:t>
      </w:r>
      <w:r>
        <w:rPr>
          <w:rFonts w:hint="default" w:ascii="Times New Roman" w:hAnsi="Times New Roman" w:eastAsia="Cambria Math" w:cs="Times New Roman"/>
          <w:i w:val="0"/>
          <w:iCs/>
          <w:sz w:val="28"/>
        </w:rPr>
        <w:t>；</w:t>
      </w:r>
    </w:p>
    <w:p w14:paraId="19FB7F82">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Times New Roman" w:hAnsi="Times New Roman" w:eastAsia="Cambria Math" w:cs="Times New Roman"/>
          <w:i w:val="0"/>
          <w:iCs/>
          <w:sz w:val="28"/>
        </w:rPr>
      </w:pPr>
      <w:r>
        <w:rPr>
          <w:rFonts w:hint="default" w:ascii="Times New Roman" w:hAnsi="Times New Roman" w:eastAsia="Cambria Math" w:cs="Times New Roman"/>
          <w:i/>
          <w:iCs w:val="0"/>
          <w:sz w:val="28"/>
        </w:rPr>
        <w:t>BE</w:t>
      </w:r>
      <w:r>
        <w:rPr>
          <w:rFonts w:hint="default" w:ascii="Times New Roman" w:hAnsi="Times New Roman" w:eastAsia="Cambria Math" w:cs="Times New Roman"/>
          <w:i/>
          <w:iCs w:val="0"/>
          <w:sz w:val="28"/>
          <w:vertAlign w:val="subscript"/>
        </w:rPr>
        <w:t>y</w:t>
      </w:r>
      <w:r>
        <w:rPr>
          <w:rFonts w:hint="default" w:ascii="Times New Roman" w:hAnsi="Times New Roman" w:eastAsia="Cambria Math" w:cs="Times New Roman"/>
          <w:i w:val="0"/>
          <w:iCs/>
          <w:sz w:val="28"/>
        </w:rPr>
        <w:t xml:space="preserve">  — 在 </w:t>
      </w:r>
      <w:r>
        <w:rPr>
          <w:rFonts w:hint="default" w:ascii="Times New Roman" w:hAnsi="Times New Roman" w:eastAsia="Cambria Math" w:cs="Times New Roman"/>
          <w:i/>
          <w:iCs w:val="0"/>
          <w:sz w:val="28"/>
        </w:rPr>
        <w:t>y</w:t>
      </w:r>
      <w:r>
        <w:rPr>
          <w:rFonts w:hint="default" w:ascii="Times New Roman" w:hAnsi="Times New Roman" w:eastAsia="Cambria Math" w:cs="Times New Roman"/>
          <w:i w:val="0"/>
          <w:iCs/>
          <w:sz w:val="28"/>
        </w:rPr>
        <w:t xml:space="preserve"> </w:t>
      </w:r>
      <w:r>
        <w:rPr>
          <w:rFonts w:hint="eastAsia" w:ascii="Times New Roman" w:hAnsi="Times New Roman" w:eastAsia="宋体" w:cs="Times New Roman"/>
          <w:i w:val="0"/>
          <w:iCs/>
          <w:sz w:val="28"/>
          <w:lang w:val="en-US" w:eastAsia="zh-CN"/>
        </w:rPr>
        <w:t>时段</w:t>
      </w:r>
      <w:r>
        <w:rPr>
          <w:rFonts w:hint="default" w:ascii="Times New Roman" w:hAnsi="Times New Roman" w:eastAsia="宋体" w:cs="Times New Roman"/>
          <w:i w:val="0"/>
          <w:iCs/>
          <w:sz w:val="28"/>
          <w:lang w:val="en-US" w:eastAsia="zh-CN"/>
        </w:rPr>
        <w:t>内</w:t>
      </w:r>
      <w:r>
        <w:rPr>
          <w:rFonts w:hint="default" w:ascii="Times New Roman" w:hAnsi="Times New Roman" w:eastAsia="Cambria Math" w:cs="Times New Roman"/>
          <w:i w:val="0"/>
          <w:iCs/>
          <w:sz w:val="28"/>
        </w:rPr>
        <w:t>的基准线排放</w:t>
      </w:r>
      <w:r>
        <w:rPr>
          <w:rFonts w:hint="eastAsia" w:ascii="Times New Roman" w:hAnsi="Times New Roman" w:eastAsia="宋体" w:cs="Times New Roman"/>
          <w:i w:val="0"/>
          <w:iCs/>
          <w:sz w:val="28"/>
          <w:lang w:val="en-US" w:eastAsia="zh-CN"/>
        </w:rPr>
        <w:t>量</w:t>
      </w:r>
      <w:r>
        <w:rPr>
          <w:rFonts w:hint="eastAsia" w:ascii="Times New Roman" w:hAnsi="Times New Roman" w:eastAsia="宋体" w:cs="Times New Roman"/>
          <w:i w:val="0"/>
          <w:iCs/>
          <w:sz w:val="28"/>
          <w:lang w:eastAsia="zh-CN"/>
        </w:rPr>
        <w:t>，</w:t>
      </w:r>
      <w:r>
        <w:rPr>
          <w:rFonts w:hint="eastAsia" w:ascii="Times New Roman" w:hAnsi="Times New Roman" w:eastAsia="宋体" w:cs="Times New Roman"/>
          <w:i w:val="0"/>
          <w:iCs/>
          <w:sz w:val="28"/>
          <w:lang w:val="en-US" w:eastAsia="zh-CN"/>
        </w:rPr>
        <w:t>kg</w:t>
      </w:r>
      <w:r>
        <w:rPr>
          <w:rFonts w:hint="eastAsia" w:ascii="Times New Roman" w:hAnsi="Times New Roman" w:eastAsia="宋体" w:cs="Times New Roman"/>
          <w:i w:val="0"/>
          <w:iCs/>
          <w:sz w:val="28"/>
          <w:lang w:eastAsia="zh-CN"/>
        </w:rPr>
        <w:t>CO</w:t>
      </w:r>
      <w:r>
        <w:rPr>
          <w:rFonts w:hint="eastAsia" w:ascii="Times New Roman" w:hAnsi="Times New Roman" w:eastAsia="宋体" w:cs="Times New Roman"/>
          <w:i w:val="0"/>
          <w:iCs/>
          <w:sz w:val="28"/>
          <w:vertAlign w:val="subscript"/>
          <w:lang w:val="en-US" w:eastAsia="zh-CN"/>
        </w:rPr>
        <w:t>2</w:t>
      </w:r>
      <w:r>
        <w:rPr>
          <w:rFonts w:hint="default" w:ascii="Times New Roman" w:hAnsi="Times New Roman" w:eastAsia="Cambria Math" w:cs="Times New Roman"/>
          <w:i w:val="0"/>
          <w:iCs/>
          <w:sz w:val="28"/>
        </w:rPr>
        <w:t>；</w:t>
      </w:r>
    </w:p>
    <w:p w14:paraId="7BD35B7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left"/>
        <w:textAlignment w:val="auto"/>
        <w:rPr>
          <w:rFonts w:hint="default" w:ascii="Cambria Math" w:hAnsi="Cambria Math" w:eastAsia="Cambria Math"/>
          <w:i w:val="0"/>
          <w:iCs/>
          <w:sz w:val="28"/>
        </w:rPr>
      </w:pPr>
      <w:r>
        <w:rPr>
          <w:rFonts w:hint="default" w:ascii="Times New Roman" w:hAnsi="Times New Roman" w:eastAsia="Cambria Math" w:cs="Times New Roman"/>
          <w:i/>
          <w:iCs w:val="0"/>
          <w:sz w:val="28"/>
        </w:rPr>
        <w:t>PE</w:t>
      </w:r>
      <w:r>
        <w:rPr>
          <w:rFonts w:hint="default" w:ascii="Times New Roman" w:hAnsi="Times New Roman" w:eastAsia="Cambria Math" w:cs="Times New Roman"/>
          <w:i/>
          <w:iCs w:val="0"/>
          <w:sz w:val="28"/>
          <w:vertAlign w:val="subscript"/>
        </w:rPr>
        <w:t>y</w:t>
      </w:r>
      <w:r>
        <w:rPr>
          <w:rFonts w:hint="default" w:ascii="Times New Roman" w:hAnsi="Times New Roman" w:eastAsia="Cambria Math" w:cs="Times New Roman"/>
          <w:i w:val="0"/>
          <w:iCs/>
          <w:sz w:val="28"/>
        </w:rPr>
        <w:t xml:space="preserve">  — 在 </w:t>
      </w:r>
      <w:r>
        <w:rPr>
          <w:rFonts w:hint="default" w:ascii="Times New Roman" w:hAnsi="Times New Roman" w:eastAsia="Cambria Math" w:cs="Times New Roman"/>
          <w:i/>
          <w:iCs w:val="0"/>
          <w:sz w:val="28"/>
        </w:rPr>
        <w:t>y</w:t>
      </w:r>
      <w:r>
        <w:rPr>
          <w:rFonts w:hint="default" w:ascii="Times New Roman" w:hAnsi="Times New Roman" w:eastAsia="Cambria Math" w:cs="Times New Roman"/>
          <w:i w:val="0"/>
          <w:iCs/>
          <w:sz w:val="28"/>
        </w:rPr>
        <w:t xml:space="preserve"> </w:t>
      </w:r>
      <w:r>
        <w:rPr>
          <w:rFonts w:hint="eastAsia" w:ascii="Times New Roman" w:hAnsi="Times New Roman" w:eastAsia="宋体" w:cs="Times New Roman"/>
          <w:i w:val="0"/>
          <w:iCs/>
          <w:sz w:val="28"/>
          <w:lang w:val="en-US" w:eastAsia="zh-CN"/>
        </w:rPr>
        <w:t>时段</w:t>
      </w:r>
      <w:r>
        <w:rPr>
          <w:rFonts w:hint="default" w:ascii="Times New Roman" w:hAnsi="Times New Roman" w:eastAsia="宋体" w:cs="Times New Roman"/>
          <w:i w:val="0"/>
          <w:iCs/>
          <w:sz w:val="28"/>
          <w:lang w:val="en-US" w:eastAsia="zh-CN"/>
        </w:rPr>
        <w:t>内</w:t>
      </w:r>
      <w:r>
        <w:rPr>
          <w:rFonts w:hint="default" w:ascii="Times New Roman" w:hAnsi="Times New Roman" w:eastAsia="Cambria Math" w:cs="Times New Roman"/>
          <w:i w:val="0"/>
          <w:iCs/>
          <w:sz w:val="28"/>
        </w:rPr>
        <w:t>的项目排放</w:t>
      </w:r>
      <w:r>
        <w:rPr>
          <w:rFonts w:hint="eastAsia" w:ascii="Times New Roman" w:hAnsi="Times New Roman" w:eastAsia="宋体" w:cs="Times New Roman"/>
          <w:i w:val="0"/>
          <w:iCs/>
          <w:sz w:val="28"/>
          <w:lang w:val="en-US" w:eastAsia="zh-CN"/>
        </w:rPr>
        <w:t>量</w:t>
      </w:r>
      <w:r>
        <w:rPr>
          <w:rFonts w:hint="eastAsia" w:ascii="Times New Roman" w:hAnsi="Times New Roman" w:eastAsia="宋体" w:cs="Times New Roman"/>
          <w:i w:val="0"/>
          <w:iCs/>
          <w:sz w:val="28"/>
          <w:lang w:eastAsia="zh-CN"/>
        </w:rPr>
        <w:t>，</w:t>
      </w:r>
      <w:r>
        <w:rPr>
          <w:rFonts w:hint="eastAsia" w:ascii="Times New Roman" w:hAnsi="Times New Roman" w:eastAsia="宋体" w:cs="Times New Roman"/>
          <w:i w:val="0"/>
          <w:iCs/>
          <w:sz w:val="28"/>
          <w:lang w:val="en-US" w:eastAsia="zh-CN"/>
        </w:rPr>
        <w:t>kg</w:t>
      </w:r>
      <w:r>
        <w:rPr>
          <w:rFonts w:hint="default" w:ascii="Times New Roman" w:hAnsi="Times New Roman" w:eastAsia="Cambria Math" w:cs="Times New Roman"/>
          <w:i w:val="0"/>
          <w:iCs/>
          <w:sz w:val="28"/>
        </w:rPr>
        <w:t>CO</w:t>
      </w:r>
      <w:r>
        <w:rPr>
          <w:rFonts w:hint="default" w:ascii="Times New Roman" w:hAnsi="Times New Roman" w:eastAsia="Cambria Math" w:cs="Times New Roman"/>
          <w:i w:val="0"/>
          <w:iCs/>
          <w:sz w:val="28"/>
          <w:vertAlign w:val="subscript"/>
        </w:rPr>
        <w:t>2</w:t>
      </w:r>
      <w:r>
        <w:rPr>
          <w:rFonts w:hint="default" w:ascii="Cambria Math" w:hAnsi="Cambria Math" w:eastAsia="Cambria Math"/>
          <w:i w:val="0"/>
          <w:iCs/>
          <w:sz w:val="28"/>
        </w:rPr>
        <w:t>。</w:t>
      </w:r>
    </w:p>
    <w:bookmarkEnd w:id="38"/>
    <w:p w14:paraId="788AE6EA">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39" w:name="_Toc26042"/>
      <w:bookmarkStart w:id="40" w:name="_Toc31860"/>
      <w:bookmarkStart w:id="41" w:name="_Toc170134112"/>
      <w:bookmarkStart w:id="42" w:name="_Toc13312"/>
      <w:bookmarkStart w:id="43" w:name="_Toc25681"/>
      <w:r>
        <w:rPr>
          <w:rFonts w:hint="eastAsia" w:ascii="黑体" w:hAnsi="黑体" w:eastAsia="黑体" w:cs="黑体"/>
          <w:b w:val="0"/>
          <w:bCs w:val="0"/>
          <w:spacing w:val="-2"/>
          <w:w w:val="95"/>
          <w:kern w:val="0"/>
          <w:sz w:val="28"/>
          <w:szCs w:val="28"/>
          <w:lang w:val="en-US" w:eastAsia="zh-CN"/>
        </w:rPr>
        <w:t>数据来源及监测</w:t>
      </w:r>
      <w:bookmarkEnd w:id="39"/>
      <w:bookmarkEnd w:id="40"/>
      <w:bookmarkEnd w:id="41"/>
      <w:bookmarkEnd w:id="42"/>
      <w:bookmarkEnd w:id="43"/>
    </w:p>
    <w:p w14:paraId="03C9A3A3">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8.1 减排项目设计阶段确定的参数和数据</w:t>
      </w:r>
    </w:p>
    <w:p w14:paraId="5B068F8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项目设计阶段需确定的参数和数据的技术内容和确定方法见表2。</w:t>
      </w:r>
    </w:p>
    <w:p w14:paraId="747025C0">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表2  </w:t>
      </w:r>
      <w:r>
        <w:rPr>
          <w:rFonts w:hint="default" w:ascii="Times New Roman" w:hAnsi="Times New Roman" w:eastAsia="Cambria Math" w:cs="Times New Roman"/>
          <w:i/>
          <w:iCs w:val="0"/>
          <w:sz w:val="28"/>
        </w:rPr>
        <w:t>EF</w:t>
      </w:r>
      <w:r>
        <w:rPr>
          <w:rFonts w:hint="default" w:ascii="Times New Roman" w:hAnsi="Times New Roman" w:eastAsia="Cambria Math" w:cs="Times New Roman"/>
          <w:i/>
          <w:iCs w:val="0"/>
          <w:sz w:val="28"/>
          <w:vertAlign w:val="subscript"/>
        </w:rPr>
        <w:t>grid,y</w:t>
      </w:r>
      <w:r>
        <w:rPr>
          <w:rFonts w:hint="eastAsia" w:ascii="黑体" w:hAnsi="黑体" w:eastAsia="黑体" w:cs="黑体"/>
          <w:kern w:val="0"/>
          <w:sz w:val="24"/>
          <w:szCs w:val="24"/>
        </w:rPr>
        <w:t>的技术内容和确定方法</w:t>
      </w:r>
    </w:p>
    <w:tbl>
      <w:tblPr>
        <w:tblStyle w:val="1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6369"/>
      </w:tblGrid>
      <w:tr w14:paraId="7AE9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79FD55A8">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69" w:type="dxa"/>
            <w:vAlign w:val="center"/>
          </w:tcPr>
          <w:p w14:paraId="43C76D0D">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w:r>
              <w:rPr>
                <w:rFonts w:hint="default" w:ascii="Times New Roman" w:hAnsi="Times New Roman" w:eastAsia="Cambria Math" w:cs="Times New Roman"/>
                <w:i/>
                <w:iCs w:val="0"/>
                <w:sz w:val="28"/>
              </w:rPr>
              <w:t>EF</w:t>
            </w:r>
            <w:r>
              <w:rPr>
                <w:rFonts w:hint="default" w:ascii="Times New Roman" w:hAnsi="Times New Roman" w:eastAsia="Cambria Math" w:cs="Times New Roman"/>
                <w:i/>
                <w:iCs w:val="0"/>
                <w:sz w:val="28"/>
                <w:vertAlign w:val="subscript"/>
              </w:rPr>
              <w:t>grid,y</w:t>
            </w:r>
          </w:p>
        </w:tc>
      </w:tr>
      <w:tr w14:paraId="3515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115448BB">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69" w:type="dxa"/>
            <w:vAlign w:val="center"/>
          </w:tcPr>
          <w:p w14:paraId="3C464940">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val="en-US" w:eastAsia="zh-CN"/>
              </w:rPr>
              <w:t>(1)(2)</w:t>
            </w:r>
          </w:p>
        </w:tc>
      </w:tr>
      <w:tr w14:paraId="4C9C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2B49EEBD">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69" w:type="dxa"/>
            <w:vAlign w:val="center"/>
          </w:tcPr>
          <w:p w14:paraId="75E6C934">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分时分区电力二氧化碳排放因子</w:t>
            </w:r>
          </w:p>
        </w:tc>
      </w:tr>
      <w:tr w14:paraId="6F74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6A6ACEAE">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69" w:type="dxa"/>
            <w:shd w:val="clear" w:color="auto" w:fill="auto"/>
            <w:vAlign w:val="center"/>
          </w:tcPr>
          <w:p w14:paraId="4F94010D">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rPr>
              <w:t>kgCO</w:t>
            </w:r>
            <w:r>
              <w:rPr>
                <w:rFonts w:hint="default" w:ascii="Times New Roman" w:hAnsi="Times New Roman" w:eastAsia="宋体" w:cs="Times New Roman"/>
                <w:kern w:val="0"/>
                <w:sz w:val="24"/>
                <w:szCs w:val="24"/>
                <w:vertAlign w:val="subscript"/>
              </w:rPr>
              <w:t>2</w:t>
            </w:r>
            <w:r>
              <w:rPr>
                <w:rFonts w:hint="default" w:ascii="Times New Roman" w:hAnsi="Times New Roman" w:eastAsia="宋体" w:cs="Times New Roman"/>
                <w:kern w:val="0"/>
                <w:sz w:val="24"/>
                <w:szCs w:val="24"/>
              </w:rPr>
              <w:t>/kWh</w:t>
            </w:r>
          </w:p>
        </w:tc>
      </w:tr>
      <w:tr w14:paraId="0776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62F3C45C">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69" w:type="dxa"/>
            <w:vAlign w:val="center"/>
          </w:tcPr>
          <w:p w14:paraId="79BD4BD1">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rPr>
              <w:t>江苏分时分区电碳因子</w:t>
            </w:r>
            <w:r>
              <w:rPr>
                <w:rFonts w:hint="default" w:ascii="Times New Roman" w:hAnsi="Times New Roman" w:eastAsia="宋体" w:cs="Times New Roman"/>
                <w:kern w:val="0"/>
                <w:sz w:val="24"/>
                <w:szCs w:val="24"/>
                <w:lang w:val="en-US" w:eastAsia="zh-CN"/>
              </w:rPr>
              <w:t>数据库</w:t>
            </w:r>
            <w:r>
              <w:rPr>
                <w:rFonts w:hint="default" w:ascii="Times New Roman" w:hAnsi="Times New Roman" w:eastAsia="宋体" w:cs="Times New Roman"/>
                <w:kern w:val="0"/>
                <w:sz w:val="24"/>
                <w:szCs w:val="24"/>
              </w:rPr>
              <w:t>中对应南京</w:t>
            </w:r>
            <w:r>
              <w:rPr>
                <w:rFonts w:hint="eastAsia" w:ascii="Times New Roman" w:hAnsi="Times New Roman" w:eastAsia="宋体" w:cs="Times New Roman"/>
                <w:kern w:val="0"/>
                <w:sz w:val="24"/>
                <w:szCs w:val="24"/>
                <w:lang w:val="en-US" w:eastAsia="zh-CN"/>
              </w:rPr>
              <w:t>市</w:t>
            </w:r>
            <w:r>
              <w:rPr>
                <w:rFonts w:hint="default" w:ascii="Times New Roman" w:hAnsi="Times New Roman" w:eastAsia="宋体" w:cs="Times New Roman"/>
                <w:kern w:val="0"/>
                <w:sz w:val="24"/>
                <w:szCs w:val="24"/>
              </w:rPr>
              <w:t>的</w:t>
            </w:r>
            <w:r>
              <w:rPr>
                <w:rFonts w:hint="default" w:ascii="Times New Roman" w:hAnsi="Times New Roman" w:eastAsia="宋体" w:cs="Times New Roman"/>
                <w:kern w:val="0"/>
                <w:sz w:val="24"/>
                <w:szCs w:val="24"/>
                <w:lang w:val="en-US" w:eastAsia="zh-CN"/>
              </w:rPr>
              <w:t>分时电力二氧化碳排放因子</w:t>
            </w:r>
          </w:p>
        </w:tc>
      </w:tr>
    </w:tbl>
    <w:p w14:paraId="49AAA0C3">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8.2 减排项目实施阶段需要监测的参数和数据</w:t>
      </w:r>
    </w:p>
    <w:p w14:paraId="6D7EBDD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减排项目需监测的参数的技术内容和确定方法见</w:t>
      </w:r>
      <w:r>
        <w:rPr>
          <w:rFonts w:hint="eastAsia" w:ascii="宋体" w:hAnsi="宋体" w:eastAsia="宋体" w:cs="宋体"/>
          <w:kern w:val="0"/>
          <w:sz w:val="28"/>
          <w:szCs w:val="28"/>
          <w:highlight w:val="none"/>
          <w:lang w:val="en-US" w:eastAsia="zh-CN"/>
        </w:rPr>
        <w:t>表3－表4</w:t>
      </w:r>
      <w:r>
        <w:rPr>
          <w:rFonts w:hint="eastAsia" w:ascii="宋体" w:hAnsi="宋体" w:eastAsia="宋体" w:cs="宋体"/>
          <w:kern w:val="0"/>
          <w:sz w:val="28"/>
          <w:szCs w:val="28"/>
          <w:lang w:val="en-US" w:eastAsia="zh-CN"/>
        </w:rPr>
        <w:t>。</w:t>
      </w:r>
    </w:p>
    <w:p w14:paraId="01724F76">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表3</w:t>
      </w:r>
      <w:r>
        <w:rPr>
          <w:rFonts w:hint="default" w:ascii="Times New Roman" w:hAnsi="Times New Roman" w:eastAsia="黑体" w:cs="Times New Roman"/>
          <w:kern w:val="0"/>
          <w:sz w:val="24"/>
          <w:szCs w:val="24"/>
          <w:lang w:val="en-US" w:eastAsia="zh-CN"/>
        </w:rPr>
        <w:t xml:space="preserve"> </w:t>
      </w:r>
      <w:r>
        <w:rPr>
          <w:rFonts w:hint="default" w:ascii="Times New Roman" w:hAnsi="Times New Roman" w:eastAsia="Cambria Math" w:cs="Times New Roman"/>
          <w:i/>
          <w:iCs w:val="0"/>
          <w:sz w:val="28"/>
        </w:rPr>
        <w:t>EG</w:t>
      </w:r>
      <w:r>
        <w:rPr>
          <w:rFonts w:hint="default" w:ascii="Times New Roman" w:hAnsi="Times New Roman" w:eastAsia="宋体" w:cs="Times New Roman"/>
          <w:i/>
          <w:iCs w:val="0"/>
          <w:sz w:val="28"/>
          <w:vertAlign w:val="subscript"/>
          <w:lang w:val="en-US" w:eastAsia="zh-CN"/>
        </w:rPr>
        <w:t>d</w:t>
      </w:r>
      <w:r>
        <w:rPr>
          <w:rFonts w:hint="default" w:ascii="Times New Roman" w:hAnsi="Times New Roman" w:eastAsia="Cambria Math" w:cs="Times New Roman"/>
          <w:i/>
          <w:iCs w:val="0"/>
          <w:sz w:val="28"/>
          <w:vertAlign w:val="subscript"/>
        </w:rPr>
        <w:t>,y</w:t>
      </w:r>
      <w:r>
        <w:rPr>
          <w:rFonts w:hint="default" w:ascii="Times New Roman" w:hAnsi="Times New Roman" w:eastAsia="宋体" w:cs="Times New Roman"/>
          <w:i/>
          <w:iCs w:val="0"/>
          <w:sz w:val="28"/>
          <w:vertAlign w:val="subscript"/>
          <w:lang w:val="en-US" w:eastAsia="zh-CN"/>
        </w:rPr>
        <w:t>,i</w:t>
      </w:r>
      <w:r>
        <w:rPr>
          <w:rFonts w:hint="default" w:ascii="Times New Roman" w:hAnsi="Times New Roman" w:eastAsia="Cambria Math" w:cs="Times New Roman"/>
          <w:i/>
          <w:iCs w:val="0"/>
          <w:sz w:val="28"/>
          <w:vertAlign w:val="subscript"/>
        </w:rPr>
        <w:t xml:space="preserve"> </w:t>
      </w:r>
      <w:r>
        <w:rPr>
          <w:rFonts w:hint="eastAsia" w:ascii="黑体" w:hAnsi="黑体" w:eastAsia="黑体" w:cs="黑体"/>
          <w:kern w:val="0"/>
          <w:sz w:val="24"/>
          <w:szCs w:val="24"/>
        </w:rPr>
        <w:t>的技术内容和确定方法</w:t>
      </w:r>
    </w:p>
    <w:tbl>
      <w:tblPr>
        <w:tblStyle w:val="1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6369"/>
      </w:tblGrid>
      <w:tr w14:paraId="79C7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31E62BDD">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69" w:type="dxa"/>
            <w:vAlign w:val="center"/>
          </w:tcPr>
          <w:p w14:paraId="662D7AA6">
            <w:pPr>
              <w:tabs>
                <w:tab w:val="left" w:pos="1269"/>
                <w:tab w:val="left" w:pos="1270"/>
              </w:tabs>
              <w:autoSpaceDE w:val="0"/>
              <w:autoSpaceDN w:val="0"/>
              <w:snapToGrid w:val="0"/>
              <w:spacing w:line="276" w:lineRule="auto"/>
              <w:rPr>
                <w:rFonts w:ascii="Times New Roman" w:hAnsi="Times New Roman" w:eastAsia="宋体" w:cs="Times New Roman"/>
                <w:i/>
                <w:iCs w:val="0"/>
                <w:kern w:val="0"/>
                <w:sz w:val="24"/>
                <w:szCs w:val="24"/>
              </w:rPr>
            </w:pPr>
            <w:r>
              <w:rPr>
                <w:rFonts w:hint="default" w:ascii="Times New Roman" w:hAnsi="Times New Roman" w:eastAsia="Cambria Math" w:cs="Times New Roman"/>
                <w:i/>
                <w:iCs w:val="0"/>
                <w:sz w:val="28"/>
              </w:rPr>
              <w:t>EG</w:t>
            </w:r>
            <w:r>
              <w:rPr>
                <w:rFonts w:hint="default" w:ascii="Times New Roman" w:hAnsi="Times New Roman" w:eastAsia="宋体" w:cs="Times New Roman"/>
                <w:i/>
                <w:iCs w:val="0"/>
                <w:sz w:val="28"/>
                <w:vertAlign w:val="subscript"/>
                <w:lang w:val="en-US" w:eastAsia="zh-CN"/>
              </w:rPr>
              <w:t>d</w:t>
            </w:r>
            <w:r>
              <w:rPr>
                <w:rFonts w:hint="default" w:ascii="Times New Roman" w:hAnsi="Times New Roman" w:eastAsia="Cambria Math" w:cs="Times New Roman"/>
                <w:i/>
                <w:iCs w:val="0"/>
                <w:sz w:val="28"/>
                <w:vertAlign w:val="subscript"/>
              </w:rPr>
              <w:t>,y</w:t>
            </w:r>
            <w:r>
              <w:rPr>
                <w:rFonts w:hint="default" w:ascii="Times New Roman" w:hAnsi="Times New Roman" w:eastAsia="宋体" w:cs="Times New Roman"/>
                <w:i/>
                <w:iCs w:val="0"/>
                <w:sz w:val="28"/>
                <w:vertAlign w:val="subscript"/>
                <w:lang w:val="en-US" w:eastAsia="zh-CN"/>
              </w:rPr>
              <w:t>,i</w:t>
            </w:r>
            <w:r>
              <w:rPr>
                <w:rFonts w:hint="default" w:ascii="Times New Roman" w:hAnsi="Times New Roman" w:eastAsia="Cambria Math" w:cs="Times New Roman"/>
                <w:i/>
                <w:iCs w:val="0"/>
                <w:sz w:val="28"/>
                <w:vertAlign w:val="subscript"/>
              </w:rPr>
              <w:t xml:space="preserve"> </w:t>
            </w:r>
            <w:r>
              <w:rPr>
                <w:rFonts w:hint="eastAsia" w:ascii="黑体" w:hAnsi="黑体" w:eastAsia="黑体" w:cs="黑体"/>
                <w:i/>
                <w:iCs w:val="0"/>
                <w:kern w:val="0"/>
                <w:sz w:val="24"/>
                <w:szCs w:val="24"/>
                <w:lang w:val="en-US" w:eastAsia="zh-CN"/>
              </w:rPr>
              <w:t xml:space="preserve"> </w:t>
            </w:r>
          </w:p>
        </w:tc>
      </w:tr>
      <w:tr w14:paraId="009DB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688DA68B">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69" w:type="dxa"/>
            <w:vAlign w:val="center"/>
          </w:tcPr>
          <w:p w14:paraId="1D3B2240">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1)</w:t>
            </w:r>
          </w:p>
        </w:tc>
      </w:tr>
      <w:tr w14:paraId="18AC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3EC77713">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69" w:type="dxa"/>
            <w:vAlign w:val="center"/>
          </w:tcPr>
          <w:p w14:paraId="052FDFE2">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 xml:space="preserve">在 </w:t>
            </w:r>
            <w:r>
              <w:rPr>
                <w:rFonts w:hint="eastAsia" w:ascii="Times New Roman" w:hAnsi="Times New Roman" w:eastAsia="宋体" w:cs="Times New Roman"/>
                <w:i/>
                <w:iCs/>
                <w:kern w:val="0"/>
                <w:sz w:val="24"/>
                <w:szCs w:val="24"/>
                <w:lang w:val="en-US" w:eastAsia="zh-CN"/>
              </w:rPr>
              <w:t xml:space="preserve">y </w:t>
            </w:r>
            <w:r>
              <w:rPr>
                <w:rFonts w:hint="eastAsia" w:ascii="Times New Roman" w:hAnsi="Times New Roman" w:eastAsia="宋体" w:cs="Times New Roman"/>
                <w:kern w:val="0"/>
                <w:sz w:val="24"/>
                <w:szCs w:val="24"/>
                <w:lang w:val="en-US" w:eastAsia="zh-CN"/>
              </w:rPr>
              <w:t>时段内，第</w:t>
            </w:r>
            <w:r>
              <w:rPr>
                <w:rFonts w:hint="eastAsia" w:ascii="Times New Roman" w:hAnsi="Times New Roman" w:eastAsia="宋体" w:cs="Times New Roman"/>
                <w:i/>
                <w:iCs/>
                <w:kern w:val="0"/>
                <w:sz w:val="24"/>
                <w:szCs w:val="24"/>
                <w:lang w:val="en-US" w:eastAsia="zh-CN"/>
              </w:rPr>
              <w:t xml:space="preserve"> i</w:t>
            </w:r>
            <w:r>
              <w:rPr>
                <w:rFonts w:hint="eastAsia" w:ascii="Times New Roman" w:hAnsi="Times New Roman" w:eastAsia="宋体" w:cs="Times New Roman"/>
                <w:kern w:val="0"/>
                <w:sz w:val="24"/>
                <w:szCs w:val="24"/>
                <w:lang w:val="en-US" w:eastAsia="zh-CN"/>
              </w:rPr>
              <w:t xml:space="preserve"> 个放电时段储能电站的放电电量（上网电量）</w:t>
            </w:r>
          </w:p>
        </w:tc>
      </w:tr>
      <w:tr w14:paraId="3175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195B0F65">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69" w:type="dxa"/>
            <w:shd w:val="clear" w:color="auto" w:fill="auto"/>
            <w:vAlign w:val="center"/>
          </w:tcPr>
          <w:p w14:paraId="6D46BBD1">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kWh</w:t>
            </w:r>
          </w:p>
        </w:tc>
      </w:tr>
      <w:tr w14:paraId="3A3D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3292C37F">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69" w:type="dxa"/>
            <w:vAlign w:val="center"/>
          </w:tcPr>
          <w:p w14:paraId="4362A412">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现场测量</w:t>
            </w:r>
          </w:p>
        </w:tc>
      </w:tr>
      <w:tr w14:paraId="2F4F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56B0F3AB">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监测程序</w:t>
            </w:r>
          </w:p>
        </w:tc>
        <w:tc>
          <w:tcPr>
            <w:tcW w:w="6369" w:type="dxa"/>
            <w:vAlign w:val="center"/>
          </w:tcPr>
          <w:p w14:paraId="5D80BFE9">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储能电站</w:t>
            </w:r>
            <w:r>
              <w:rPr>
                <w:rFonts w:hint="eastAsia" w:ascii="Times New Roman" w:hAnsi="Times New Roman" w:eastAsia="宋体" w:cs="Times New Roman"/>
                <w:kern w:val="0"/>
                <w:sz w:val="24"/>
                <w:szCs w:val="24"/>
              </w:rPr>
              <w:t>的</w:t>
            </w:r>
            <w:r>
              <w:rPr>
                <w:rFonts w:hint="eastAsia" w:ascii="Times New Roman" w:hAnsi="Times New Roman" w:eastAsia="宋体" w:cs="Times New Roman"/>
                <w:kern w:val="0"/>
                <w:sz w:val="24"/>
                <w:szCs w:val="24"/>
                <w:lang w:val="en-US" w:eastAsia="zh-CN"/>
              </w:rPr>
              <w:t>关口电表</w:t>
            </w:r>
            <w:r>
              <w:rPr>
                <w:rFonts w:hint="eastAsia" w:ascii="Times New Roman" w:hAnsi="Times New Roman" w:eastAsia="宋体" w:cs="Times New Roman"/>
                <w:kern w:val="0"/>
                <w:sz w:val="24"/>
                <w:szCs w:val="24"/>
              </w:rPr>
              <w:t>进行测量。</w:t>
            </w:r>
          </w:p>
        </w:tc>
      </w:tr>
      <w:tr w14:paraId="1109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0C11E18E">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监测频率</w:t>
            </w:r>
          </w:p>
        </w:tc>
        <w:tc>
          <w:tcPr>
            <w:tcW w:w="6369" w:type="dxa"/>
            <w:vAlign w:val="center"/>
          </w:tcPr>
          <w:p w14:paraId="2506CD91">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连续</w:t>
            </w:r>
          </w:p>
        </w:tc>
      </w:tr>
      <w:tr w14:paraId="0730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927" w:type="dxa"/>
            <w:vAlign w:val="center"/>
          </w:tcPr>
          <w:p w14:paraId="22DF980F">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质量控制程序</w:t>
            </w:r>
          </w:p>
        </w:tc>
        <w:tc>
          <w:tcPr>
            <w:tcW w:w="6369" w:type="dxa"/>
            <w:vAlign w:val="center"/>
          </w:tcPr>
          <w:p w14:paraId="76D93E1B">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关口测量数据与电网结算单记录交叉检查。</w:t>
            </w:r>
          </w:p>
        </w:tc>
      </w:tr>
    </w:tbl>
    <w:p w14:paraId="44ADC4DA">
      <w:pPr>
        <w:tabs>
          <w:tab w:val="left" w:pos="1269"/>
          <w:tab w:val="left" w:pos="1270"/>
        </w:tabs>
        <w:autoSpaceDE w:val="0"/>
        <w:autoSpaceDN w:val="0"/>
        <w:snapToGrid w:val="0"/>
        <w:spacing w:line="360" w:lineRule="auto"/>
        <w:jc w:val="center"/>
        <w:rPr>
          <w:rFonts w:hint="eastAsia" w:ascii="黑体" w:hAnsi="黑体" w:eastAsia="黑体" w:cs="黑体"/>
          <w:kern w:val="0"/>
          <w:sz w:val="24"/>
          <w:szCs w:val="24"/>
          <w:lang w:val="en-US" w:eastAsia="zh-CN"/>
        </w:rPr>
      </w:pPr>
    </w:p>
    <w:p w14:paraId="54E30925">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表4 </w:t>
      </w:r>
      <w:r>
        <w:rPr>
          <w:rFonts w:hint="default" w:ascii="Times New Roman" w:hAnsi="Times New Roman" w:eastAsia="Cambria Math" w:cs="Times New Roman"/>
          <w:i/>
          <w:iCs w:val="0"/>
          <w:sz w:val="28"/>
        </w:rPr>
        <w:t>EG</w:t>
      </w:r>
      <w:r>
        <w:rPr>
          <w:rFonts w:hint="default" w:ascii="Times New Roman" w:hAnsi="Times New Roman" w:eastAsia="宋体" w:cs="Times New Roman"/>
          <w:i/>
          <w:iCs w:val="0"/>
          <w:sz w:val="28"/>
          <w:vertAlign w:val="subscript"/>
          <w:lang w:val="en-US" w:eastAsia="zh-CN"/>
        </w:rPr>
        <w:t>c</w:t>
      </w:r>
      <w:r>
        <w:rPr>
          <w:rFonts w:hint="default" w:ascii="Times New Roman" w:hAnsi="Times New Roman" w:eastAsia="Cambria Math" w:cs="Times New Roman"/>
          <w:i/>
          <w:iCs w:val="0"/>
          <w:sz w:val="28"/>
          <w:vertAlign w:val="subscript"/>
        </w:rPr>
        <w:t>,y</w:t>
      </w:r>
      <w:r>
        <w:rPr>
          <w:rFonts w:hint="default" w:ascii="Times New Roman" w:hAnsi="Times New Roman" w:eastAsia="宋体" w:cs="Times New Roman"/>
          <w:i/>
          <w:iCs w:val="0"/>
          <w:sz w:val="28"/>
          <w:vertAlign w:val="subscript"/>
          <w:lang w:val="en-US" w:eastAsia="zh-CN"/>
        </w:rPr>
        <w:t>,j</w:t>
      </w:r>
      <w:r>
        <w:rPr>
          <w:rFonts w:hint="default" w:ascii="Times New Roman" w:hAnsi="Times New Roman" w:eastAsia="Cambria Math" w:cs="Times New Roman"/>
          <w:i/>
          <w:iCs w:val="0"/>
          <w:sz w:val="28"/>
        </w:rPr>
        <w:t xml:space="preserve"> </w:t>
      </w:r>
      <w:r>
        <w:rPr>
          <w:rFonts w:hint="eastAsia" w:ascii="黑体" w:hAnsi="黑体" w:eastAsia="黑体" w:cs="黑体"/>
          <w:kern w:val="0"/>
          <w:sz w:val="24"/>
          <w:szCs w:val="24"/>
        </w:rPr>
        <w:t>的技术内容和确定方法</w:t>
      </w:r>
    </w:p>
    <w:tbl>
      <w:tblPr>
        <w:tblStyle w:val="1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6369"/>
      </w:tblGrid>
      <w:tr w14:paraId="34D1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63E8256D">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69" w:type="dxa"/>
            <w:vAlign w:val="center"/>
          </w:tcPr>
          <w:p w14:paraId="22FDBCA1">
            <w:pPr>
              <w:tabs>
                <w:tab w:val="left" w:pos="1269"/>
                <w:tab w:val="left" w:pos="1270"/>
              </w:tabs>
              <w:autoSpaceDE w:val="0"/>
              <w:autoSpaceDN w:val="0"/>
              <w:snapToGrid w:val="0"/>
              <w:spacing w:line="276" w:lineRule="auto"/>
              <w:rPr>
                <w:rFonts w:hint="default" w:ascii="Times New Roman" w:hAnsi="Times New Roman" w:eastAsia="宋体" w:cs="Times New Roman"/>
                <w:i/>
                <w:iCs/>
                <w:kern w:val="0"/>
                <w:sz w:val="24"/>
                <w:szCs w:val="24"/>
                <w:lang w:val="en-US" w:eastAsia="zh-CN"/>
              </w:rPr>
            </w:pPr>
            <w:r>
              <w:rPr>
                <w:rFonts w:hint="default" w:ascii="Times New Roman" w:hAnsi="Times New Roman" w:eastAsia="Cambria Math" w:cs="Times New Roman"/>
                <w:i/>
                <w:iCs w:val="0"/>
                <w:sz w:val="28"/>
              </w:rPr>
              <w:t>EG</w:t>
            </w:r>
            <w:r>
              <w:rPr>
                <w:rFonts w:hint="default" w:ascii="Times New Roman" w:hAnsi="Times New Roman" w:eastAsia="宋体" w:cs="Times New Roman"/>
                <w:i/>
                <w:iCs w:val="0"/>
                <w:sz w:val="28"/>
                <w:vertAlign w:val="subscript"/>
                <w:lang w:val="en-US" w:eastAsia="zh-CN"/>
              </w:rPr>
              <w:t>c</w:t>
            </w:r>
            <w:r>
              <w:rPr>
                <w:rFonts w:hint="default" w:ascii="Times New Roman" w:hAnsi="Times New Roman" w:eastAsia="Cambria Math" w:cs="Times New Roman"/>
                <w:i/>
                <w:iCs w:val="0"/>
                <w:sz w:val="28"/>
                <w:vertAlign w:val="subscript"/>
              </w:rPr>
              <w:t>,y</w:t>
            </w:r>
            <w:r>
              <w:rPr>
                <w:rFonts w:hint="default" w:ascii="Times New Roman" w:hAnsi="Times New Roman" w:eastAsia="宋体" w:cs="Times New Roman"/>
                <w:i/>
                <w:iCs w:val="0"/>
                <w:sz w:val="28"/>
                <w:vertAlign w:val="subscript"/>
                <w:lang w:val="en-US" w:eastAsia="zh-CN"/>
              </w:rPr>
              <w:t>,j</w:t>
            </w:r>
          </w:p>
        </w:tc>
      </w:tr>
      <w:tr w14:paraId="7C91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62104B33">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69" w:type="dxa"/>
            <w:vAlign w:val="center"/>
          </w:tcPr>
          <w:p w14:paraId="55961E4F">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2)</w:t>
            </w:r>
          </w:p>
        </w:tc>
      </w:tr>
      <w:tr w14:paraId="7DD33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2EFC51EB">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69" w:type="dxa"/>
            <w:vAlign w:val="center"/>
          </w:tcPr>
          <w:p w14:paraId="0CB0AECD">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 xml:space="preserve">在 </w:t>
            </w:r>
            <w:r>
              <w:rPr>
                <w:rFonts w:hint="eastAsia" w:ascii="Times New Roman" w:hAnsi="Times New Roman" w:eastAsia="宋体" w:cs="Times New Roman"/>
                <w:i/>
                <w:iCs/>
                <w:kern w:val="0"/>
                <w:sz w:val="24"/>
                <w:szCs w:val="24"/>
                <w:lang w:val="en-US" w:eastAsia="zh-CN"/>
              </w:rPr>
              <w:t>y</w:t>
            </w:r>
            <w:r>
              <w:rPr>
                <w:rFonts w:hint="eastAsia" w:ascii="Times New Roman" w:hAnsi="Times New Roman" w:eastAsia="宋体" w:cs="Times New Roman"/>
                <w:kern w:val="0"/>
                <w:sz w:val="24"/>
                <w:szCs w:val="24"/>
                <w:lang w:val="en-US" w:eastAsia="zh-CN"/>
              </w:rPr>
              <w:t xml:space="preserve"> 时段内，第 </w:t>
            </w:r>
            <w:r>
              <w:rPr>
                <w:rFonts w:hint="eastAsia" w:ascii="Times New Roman" w:hAnsi="Times New Roman" w:eastAsia="宋体" w:cs="Times New Roman"/>
                <w:i/>
                <w:iCs/>
                <w:kern w:val="0"/>
                <w:sz w:val="24"/>
                <w:szCs w:val="24"/>
                <w:lang w:val="en-US" w:eastAsia="zh-CN"/>
              </w:rPr>
              <w:t>j</w:t>
            </w:r>
            <w:r>
              <w:rPr>
                <w:rFonts w:hint="eastAsia" w:ascii="Times New Roman" w:hAnsi="Times New Roman" w:eastAsia="宋体" w:cs="Times New Roman"/>
                <w:kern w:val="0"/>
                <w:sz w:val="24"/>
                <w:szCs w:val="24"/>
                <w:lang w:val="en-US" w:eastAsia="zh-CN"/>
              </w:rPr>
              <w:t xml:space="preserve"> 个有效充电工况时段电化学储能电站充电电量（下网电量）</w:t>
            </w:r>
          </w:p>
        </w:tc>
      </w:tr>
      <w:tr w14:paraId="2A70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5A1CBDB7">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69" w:type="dxa"/>
            <w:shd w:val="clear" w:color="auto" w:fill="auto"/>
            <w:vAlign w:val="center"/>
          </w:tcPr>
          <w:p w14:paraId="2BEB70D8">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kWh</w:t>
            </w:r>
          </w:p>
        </w:tc>
      </w:tr>
      <w:tr w14:paraId="6AE0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1D317D77">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69" w:type="dxa"/>
            <w:vAlign w:val="center"/>
          </w:tcPr>
          <w:p w14:paraId="669FD355">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现场测量</w:t>
            </w:r>
          </w:p>
        </w:tc>
      </w:tr>
      <w:tr w14:paraId="6AA4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26FD97F7">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监测程序</w:t>
            </w:r>
          </w:p>
        </w:tc>
        <w:tc>
          <w:tcPr>
            <w:tcW w:w="6369" w:type="dxa"/>
            <w:vAlign w:val="center"/>
          </w:tcPr>
          <w:p w14:paraId="7C4298F9">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储能电站</w:t>
            </w:r>
            <w:r>
              <w:rPr>
                <w:rFonts w:hint="eastAsia" w:ascii="Times New Roman" w:hAnsi="Times New Roman" w:eastAsia="宋体" w:cs="Times New Roman"/>
                <w:kern w:val="0"/>
                <w:sz w:val="24"/>
                <w:szCs w:val="24"/>
              </w:rPr>
              <w:t>的</w:t>
            </w:r>
            <w:r>
              <w:rPr>
                <w:rFonts w:hint="eastAsia" w:ascii="Times New Roman" w:hAnsi="Times New Roman" w:eastAsia="宋体" w:cs="Times New Roman"/>
                <w:kern w:val="0"/>
                <w:sz w:val="24"/>
                <w:szCs w:val="24"/>
                <w:lang w:val="en-US" w:eastAsia="zh-CN"/>
              </w:rPr>
              <w:t>关口电表</w:t>
            </w:r>
            <w:r>
              <w:rPr>
                <w:rFonts w:hint="eastAsia" w:ascii="Times New Roman" w:hAnsi="Times New Roman" w:eastAsia="宋体" w:cs="Times New Roman"/>
                <w:kern w:val="0"/>
                <w:sz w:val="24"/>
                <w:szCs w:val="24"/>
              </w:rPr>
              <w:t>进行测量。</w:t>
            </w:r>
          </w:p>
        </w:tc>
      </w:tr>
      <w:tr w14:paraId="3436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5E3F3542">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监测频率</w:t>
            </w:r>
          </w:p>
        </w:tc>
        <w:tc>
          <w:tcPr>
            <w:tcW w:w="6369" w:type="dxa"/>
            <w:vAlign w:val="center"/>
          </w:tcPr>
          <w:p w14:paraId="27BEFE3F">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连续</w:t>
            </w:r>
          </w:p>
        </w:tc>
      </w:tr>
      <w:tr w14:paraId="0A4D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927" w:type="dxa"/>
            <w:vAlign w:val="center"/>
          </w:tcPr>
          <w:p w14:paraId="5DC5AD86">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质量控制程序</w:t>
            </w:r>
          </w:p>
        </w:tc>
        <w:tc>
          <w:tcPr>
            <w:tcW w:w="6369" w:type="dxa"/>
            <w:vAlign w:val="center"/>
          </w:tcPr>
          <w:p w14:paraId="7D703E3C">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关口测量数据将与电网结算单记录交叉检查。</w:t>
            </w:r>
          </w:p>
        </w:tc>
      </w:tr>
    </w:tbl>
    <w:p w14:paraId="0C8D9887">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bookmarkStart w:id="44" w:name="_Toc4058"/>
      <w:r>
        <w:rPr>
          <w:rFonts w:hint="eastAsia" w:cs="宋体"/>
          <w:b w:val="0"/>
          <w:bCs/>
          <w:spacing w:val="-5"/>
          <w:sz w:val="28"/>
          <w:szCs w:val="28"/>
          <w:lang w:val="en-US" w:eastAsia="zh-CN"/>
        </w:rPr>
        <w:t>8.3减排项目实施及监测的数据管理要求</w:t>
      </w:r>
    </w:p>
    <w:p w14:paraId="3B2DC6F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（1）充放电电量、站内辅机用电数据以调度时段为最小单元不间断连续采集，配套计量设备需按期完成检定校准并留存校准证明文件。</w:t>
      </w:r>
    </w:p>
    <w:p w14:paraId="7B7349E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（2）每日对电表原始读数、电网电费结算单、电站运行记录开展交叉核验，出现数据异常时完整记录溯源、整改全过程并建立专项台账。</w:t>
      </w:r>
    </w:p>
    <w:p w14:paraId="4183017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（3）全部原始监测数据、核算参数与支撑凭证分类归档长期留存，保存期限满足碳普惠审定、年度核查与监管审计追溯要求。</w:t>
      </w:r>
    </w:p>
    <w:p w14:paraId="2299C82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（4）项目接入市级碳普惠平台后监测数据实时上传并完成区块链存证，保障从现场计量到减排核算结果全链路可追溯。</w:t>
      </w:r>
    </w:p>
    <w:p w14:paraId="7B622AEF">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（5）建立分级数据权限管控机制，数据采集、传输、存储全流程严格遵循数据安全法律法规，杜绝数据泄露、篡改等违规行为。</w:t>
      </w:r>
    </w:p>
    <w:p w14:paraId="6B909B28">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highlight w:val="none"/>
          <w:lang w:val="en-US" w:eastAsia="zh-CN"/>
        </w:rPr>
      </w:pPr>
      <w:bookmarkStart w:id="45" w:name="_Toc26386"/>
      <w:bookmarkStart w:id="46" w:name="_Toc8616"/>
      <w:bookmarkStart w:id="47" w:name="_Toc29481"/>
      <w:r>
        <w:rPr>
          <w:rFonts w:hint="eastAsia" w:ascii="黑体" w:hAnsi="黑体" w:eastAsia="黑体" w:cs="黑体"/>
          <w:b w:val="0"/>
          <w:bCs w:val="0"/>
          <w:spacing w:val="-2"/>
          <w:w w:val="95"/>
          <w:kern w:val="0"/>
          <w:sz w:val="28"/>
          <w:szCs w:val="28"/>
          <w:highlight w:val="none"/>
          <w:lang w:val="en-US" w:eastAsia="zh-CN"/>
        </w:rPr>
        <w:t>项目审定与核查要点</w:t>
      </w:r>
      <w:bookmarkEnd w:id="44"/>
      <w:bookmarkEnd w:id="45"/>
      <w:bookmarkEnd w:id="46"/>
      <w:bookmarkEnd w:id="47"/>
    </w:p>
    <w:p w14:paraId="6EBE0AB9">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9.1 项目适用条件审定与核查要点</w:t>
      </w:r>
    </w:p>
    <w:p w14:paraId="03D37EEA">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（1）核查项目坐落于南京市行政区域内，电站具备独立备案、立项、并网批复文件，电站主体已在南京市碳普惠平台完成注册备案，参与碳普惠减排核算为运营方自愿行为。</w:t>
      </w:r>
    </w:p>
    <w:p w14:paraId="0C12DC6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（2）核查电化学储能电站具备独立集电线路、关口独立计量装置，充放电电量可单独精准计量，权属清晰、并网手续完备，不属于转供电、挂靠运营、违规并网等不合规项目。</w:t>
      </w:r>
    </w:p>
    <w:p w14:paraId="65D4250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（3）核查电站类型为电网侧电化学储能电站，采用电化学电池为储能主体，符合行业建设标准，排除机械储能、抽水蓄能等非本方法学适用储能类型。</w:t>
      </w:r>
    </w:p>
    <w:p w14:paraId="1DF7ECA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（4）审核项目运行模式具备明确削峰填谷、新能源消纳服务功能，可替代常规火电调峰资源，符合本方法学适用范围及国家、江苏省、南京市电力与碳普惠相关法规、行业标准要求。</w:t>
      </w:r>
    </w:p>
    <w:p w14:paraId="53A815D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（5）严格核查项目重复申报情况，确认本储能电站同一时段充放电减排量未在全国CCER、其他省市碳普惠、电力碳交易等机制中重复核算、重复申领碳普惠权益。</w:t>
      </w:r>
    </w:p>
    <w:p w14:paraId="2722830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（6）核查项目设计使用寿命、装机容量、额定储能容量、能量效率等核心参数符合设计文件及行业规范，无虚标容量、虚假运行等情形。</w:t>
      </w:r>
    </w:p>
    <w:p w14:paraId="30CE99C1">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9.2</w:t>
      </w:r>
      <w:bookmarkStart w:id="48" w:name="_GoBack"/>
      <w:r>
        <w:rPr>
          <w:rFonts w:hint="eastAsia" w:cs="宋体"/>
          <w:b w:val="0"/>
          <w:bCs/>
          <w:spacing w:val="-5"/>
          <w:sz w:val="28"/>
          <w:szCs w:val="28"/>
          <w:lang w:val="en-US" w:eastAsia="zh-CN"/>
        </w:rPr>
        <w:t xml:space="preserve"> </w:t>
      </w:r>
      <w:bookmarkEnd w:id="48"/>
      <w:r>
        <w:rPr>
          <w:rFonts w:hint="eastAsia" w:cs="宋体"/>
          <w:b w:val="0"/>
          <w:bCs/>
          <w:spacing w:val="-5"/>
          <w:sz w:val="28"/>
          <w:szCs w:val="28"/>
          <w:lang w:val="en-US" w:eastAsia="zh-CN"/>
        </w:rPr>
        <w:t>项目核算边界与排放源审定与核查要点</w:t>
      </w:r>
    </w:p>
    <w:p w14:paraId="092B77E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（1）依据项目备案文件、并网方案、电气一次图纸，核定项目空间边界：包含电化学储能本体、接入电网专用线缆、关口计量表计、站内配套辅机系统，边界限定于南京行政区域电网接入范围内。</w:t>
      </w:r>
    </w:p>
    <w:p w14:paraId="2C1658CB">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（2）核查项目边界未擅自扩大或缩小，未将无关厂区建筑、非配套用电设施、外部其他电源纳入核算边界，边界界定清晰、可落地、可复核。</w:t>
      </w:r>
    </w:p>
    <w:p w14:paraId="3FB09ED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（3）核查边界内核算数据唯一性，不存在同一电量、同一减排量跨平台、跨项目拆分重复核算的问题。</w:t>
      </w:r>
    </w:p>
    <w:p w14:paraId="55AA3E1E">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9.3 监测计划与数据质量审定与核查要点</w:t>
      </w:r>
    </w:p>
    <w:p w14:paraId="64D8EA5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（1）核查电站充放电在线监测系统、关口智能电表具备计量检定证书、定期校准记录，设备精度、安装位置、采样频率满足连续计量要求，充放电电量实现全天候连续采集。</w:t>
      </w:r>
    </w:p>
    <w:p w14:paraId="2E4CD3EA">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（2）审核监测数据留存规则，以自然日/调度时段为最小记录单元，充放电电量、时段电碳因子、运行工况数据完整连续，无断档、人为补录、篡改、删改日志等失真情形。</w:t>
      </w:r>
    </w:p>
    <w:p w14:paraId="691D029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（3）核查监测数据与电网结算单、调度运行记录、电站EMS能量管理系统数据交叉校验，偏差在行业允许合理范围内，数据溯源链条完整可追溯。</w:t>
      </w:r>
    </w:p>
    <w:p w14:paraId="6E02FC80">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（4）核查项目数据及运营主体信息采集、存储、传输符合隐私与信息安全合规要求，项目审定核查档案、监测原始数据、核算报表按监管要求长期留存归档。</w:t>
      </w:r>
    </w:p>
    <w:p w14:paraId="303FBFEE">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9.4 减排量核算与额外性审定与核查要点</w:t>
      </w:r>
    </w:p>
    <w:p w14:paraId="35823C30">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（1）核查基准线情景设定合规，调峰服务、备用容量、新能源消纳能力与项目情景具备可比性。</w:t>
      </w:r>
    </w:p>
    <w:p w14:paraId="44CA9E0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（2）核查电化学储能项目额外性适用豁免条件，核实项目初始投资大、单纯峰谷价差及辅助服务收益难以覆盖成本，碳普惠减排收益具备经济补充性，符合时空转移降碳逻辑。</w:t>
      </w:r>
    </w:p>
    <w:p w14:paraId="5E3DFF89">
      <w:pPr>
        <w:pStyle w:val="26"/>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jc w:val="both"/>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9.5 项目运营与合规性核查要点</w:t>
      </w:r>
    </w:p>
    <w:p w14:paraId="11D7385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（1）核查储能电站实际运行策略符合电网调度指令，低谷充电、高峰放电，真实参与削峰填谷与新能源消纳，无虚假充放电、空转刷量行为。</w:t>
      </w:r>
    </w:p>
    <w:p w14:paraId="26E45A1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（2）核查项目运营过程合规，未违反电力并网、储能安全、生态环保及碳普惠管理相关规定，无重大安全事故、环保违规、并网违约等不良记录。</w:t>
      </w:r>
    </w:p>
    <w:p w14:paraId="4DEC25F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（3）核查碳普惠减排量归属清晰，第一获益人为储能电站运营方或资产权属方，减排权益分配、使用、转让符合南京市碳普惠管理规则。</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5A1B3">
    <w:pPr>
      <w:pStyle w:val="6"/>
      <w:jc w:val="center"/>
      <w:rPr>
        <w:rFonts w:hint="eastAsia"/>
      </w:rPr>
    </w:pPr>
  </w:p>
  <w:p w14:paraId="2058FF4F">
    <w:pPr>
      <w:pStyle w:val="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66047">
    <w:pPr>
      <w:pStyle w:val="6"/>
      <w:jc w:val="center"/>
      <w:rPr>
        <w:rFonts w:hint="eastAsia"/>
      </w:rPr>
    </w:pPr>
  </w:p>
  <w:p w14:paraId="394889C4">
    <w:pPr>
      <w:pStyle w:val="6"/>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64CAB">
    <w:pPr>
      <w:pStyle w:val="6"/>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6665"/>
                          </w:sdtPr>
                          <w:sdtContent>
                            <w:p w14:paraId="7C6A7C32">
                              <w:pPr>
                                <w:pStyle w:val="6"/>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731ED352"/>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66665"/>
                    </w:sdtPr>
                    <w:sdtContent>
                      <w:p w14:paraId="7C6A7C32">
                        <w:pPr>
                          <w:pStyle w:val="6"/>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731ED352"/>
                </w:txbxContent>
              </v:textbox>
            </v:shape>
          </w:pict>
        </mc:Fallback>
      </mc:AlternateContent>
    </w:r>
  </w:p>
  <w:p w14:paraId="58D82731">
    <w:pPr>
      <w:pStyle w:val="6"/>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D35FEC"/>
    <w:multiLevelType w:val="multilevel"/>
    <w:tmpl w:val="21D35FEC"/>
    <w:lvl w:ilvl="0" w:tentative="0">
      <w:start w:val="1"/>
      <w:numFmt w:val="decimal"/>
      <w:lvlText w:val="%1"/>
      <w:lvlJc w:val="left"/>
      <w:pPr>
        <w:ind w:left="564" w:hanging="442"/>
      </w:pPr>
      <w:rPr>
        <w:rFonts w:hint="default" w:ascii="宋体" w:hAnsi="宋体" w:eastAsia="宋体" w:cs="宋体"/>
        <w:b w:val="0"/>
        <w:bCs w:val="0"/>
        <w:i w:val="0"/>
        <w:iCs w:val="0"/>
        <w:w w:val="99"/>
        <w:sz w:val="21"/>
        <w:szCs w:val="21"/>
      </w:rPr>
    </w:lvl>
    <w:lvl w:ilvl="1" w:tentative="0">
      <w:start w:val="1"/>
      <w:numFmt w:val="decimal"/>
      <w:lvlText w:val="%2"/>
      <w:lvlJc w:val="left"/>
      <w:pPr>
        <w:ind w:left="284" w:hanging="284"/>
      </w:pPr>
      <w:rPr>
        <w:rFonts w:hint="default" w:ascii="黑体" w:hAnsi="黑体" w:eastAsia="黑体" w:cs="黑体"/>
        <w:b w:val="0"/>
        <w:bCs w:val="0"/>
        <w:i w:val="0"/>
        <w:iCs w:val="0"/>
        <w:w w:val="98"/>
        <w:sz w:val="28"/>
        <w:szCs w:val="28"/>
      </w:rPr>
    </w:lvl>
    <w:lvl w:ilvl="2" w:tentative="0">
      <w:start w:val="1"/>
      <w:numFmt w:val="lowerLetter"/>
      <w:lvlText w:val="%3)"/>
      <w:lvlJc w:val="left"/>
      <w:pPr>
        <w:ind w:left="1269" w:hanging="442"/>
      </w:pPr>
      <w:rPr>
        <w:rFonts w:hint="default" w:ascii="Times New Roman" w:hAnsi="Times New Roman" w:eastAsia="Times New Roman" w:cs="Times New Roman"/>
        <w:b w:val="0"/>
        <w:bCs w:val="0"/>
        <w:i w:val="0"/>
        <w:iCs w:val="0"/>
        <w:w w:val="99"/>
        <w:sz w:val="28"/>
        <w:szCs w:val="28"/>
      </w:rPr>
    </w:lvl>
    <w:lvl w:ilvl="3" w:tentative="0">
      <w:start w:val="0"/>
      <w:numFmt w:val="bullet"/>
      <w:lvlText w:val="•"/>
      <w:lvlJc w:val="left"/>
      <w:pPr>
        <w:ind w:left="2308" w:hanging="442"/>
      </w:pPr>
      <w:rPr>
        <w:rFonts w:hint="default"/>
      </w:rPr>
    </w:lvl>
    <w:lvl w:ilvl="4" w:tentative="0">
      <w:start w:val="0"/>
      <w:numFmt w:val="bullet"/>
      <w:lvlText w:val="•"/>
      <w:lvlJc w:val="left"/>
      <w:pPr>
        <w:ind w:left="3356" w:hanging="442"/>
      </w:pPr>
      <w:rPr>
        <w:rFonts w:hint="default"/>
      </w:rPr>
    </w:lvl>
    <w:lvl w:ilvl="5" w:tentative="0">
      <w:start w:val="0"/>
      <w:numFmt w:val="bullet"/>
      <w:lvlText w:val="•"/>
      <w:lvlJc w:val="left"/>
      <w:pPr>
        <w:ind w:left="4404" w:hanging="442"/>
      </w:pPr>
      <w:rPr>
        <w:rFonts w:hint="default"/>
      </w:rPr>
    </w:lvl>
    <w:lvl w:ilvl="6" w:tentative="0">
      <w:start w:val="0"/>
      <w:numFmt w:val="bullet"/>
      <w:lvlText w:val="•"/>
      <w:lvlJc w:val="left"/>
      <w:pPr>
        <w:ind w:left="5453" w:hanging="442"/>
      </w:pPr>
      <w:rPr>
        <w:rFonts w:hint="default"/>
      </w:rPr>
    </w:lvl>
    <w:lvl w:ilvl="7" w:tentative="0">
      <w:start w:val="0"/>
      <w:numFmt w:val="bullet"/>
      <w:lvlText w:val="•"/>
      <w:lvlJc w:val="left"/>
      <w:pPr>
        <w:ind w:left="6501" w:hanging="442"/>
      </w:pPr>
      <w:rPr>
        <w:rFonts w:hint="default"/>
      </w:rPr>
    </w:lvl>
    <w:lvl w:ilvl="8" w:tentative="0">
      <w:start w:val="0"/>
      <w:numFmt w:val="bullet"/>
      <w:lvlText w:val="•"/>
      <w:lvlJc w:val="left"/>
      <w:pPr>
        <w:ind w:left="7549" w:hanging="442"/>
      </w:pPr>
      <w:rPr>
        <w:rFonts w:hint="default"/>
      </w:rPr>
    </w:lvl>
  </w:abstractNum>
  <w:abstractNum w:abstractNumId="1">
    <w:nsid w:val="4BFB2C8D"/>
    <w:multiLevelType w:val="multilevel"/>
    <w:tmpl w:val="4BFB2C8D"/>
    <w:lvl w:ilvl="0" w:tentative="0">
      <w:start w:val="1"/>
      <w:numFmt w:val="japaneseCounting"/>
      <w:lvlText w:val="%1、"/>
      <w:lvlJc w:val="left"/>
      <w:pPr>
        <w:ind w:left="1997" w:hanging="720"/>
      </w:pPr>
    </w:lvl>
    <w:lvl w:ilvl="1" w:tentative="0">
      <w:start w:val="1"/>
      <w:numFmt w:val="lowerLetter"/>
      <w:pStyle w:val="26"/>
      <w:lvlText w:val="%2)"/>
      <w:lvlJc w:val="left"/>
      <w:pPr>
        <w:ind w:left="2157" w:hanging="440"/>
      </w:pPr>
    </w:lvl>
    <w:lvl w:ilvl="2" w:tentative="0">
      <w:start w:val="1"/>
      <w:numFmt w:val="lowerRoman"/>
      <w:lvlText w:val="%3."/>
      <w:lvlJc w:val="right"/>
      <w:pPr>
        <w:ind w:left="2597" w:hanging="440"/>
      </w:pPr>
    </w:lvl>
    <w:lvl w:ilvl="3" w:tentative="0">
      <w:start w:val="1"/>
      <w:numFmt w:val="decimal"/>
      <w:lvlText w:val="%4."/>
      <w:lvlJc w:val="left"/>
      <w:pPr>
        <w:ind w:left="3037" w:hanging="440"/>
      </w:pPr>
    </w:lvl>
    <w:lvl w:ilvl="4" w:tentative="0">
      <w:start w:val="1"/>
      <w:numFmt w:val="lowerLetter"/>
      <w:lvlText w:val="%5)"/>
      <w:lvlJc w:val="left"/>
      <w:pPr>
        <w:ind w:left="3477" w:hanging="440"/>
      </w:pPr>
    </w:lvl>
    <w:lvl w:ilvl="5" w:tentative="0">
      <w:start w:val="1"/>
      <w:numFmt w:val="lowerRoman"/>
      <w:lvlText w:val="%6."/>
      <w:lvlJc w:val="right"/>
      <w:pPr>
        <w:ind w:left="3917" w:hanging="440"/>
      </w:pPr>
    </w:lvl>
    <w:lvl w:ilvl="6" w:tentative="0">
      <w:start w:val="1"/>
      <w:numFmt w:val="decimal"/>
      <w:lvlText w:val="%7."/>
      <w:lvlJc w:val="left"/>
      <w:pPr>
        <w:ind w:left="4357" w:hanging="440"/>
      </w:pPr>
    </w:lvl>
    <w:lvl w:ilvl="7" w:tentative="0">
      <w:start w:val="1"/>
      <w:numFmt w:val="lowerLetter"/>
      <w:lvlText w:val="%8)"/>
      <w:lvlJc w:val="left"/>
      <w:pPr>
        <w:ind w:left="4797" w:hanging="440"/>
      </w:pPr>
    </w:lvl>
    <w:lvl w:ilvl="8" w:tentative="0">
      <w:start w:val="1"/>
      <w:numFmt w:val="lowerRoman"/>
      <w:lvlText w:val="%9."/>
      <w:lvlJc w:val="right"/>
      <w:pPr>
        <w:ind w:left="5237" w:hanging="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4MGFkYTkwNjZjODA3YTU3OGUyNDFjZDZiMjMyMWMifQ=="/>
  </w:docVars>
  <w:rsids>
    <w:rsidRoot w:val="00172A27"/>
    <w:rsid w:val="00033D01"/>
    <w:rsid w:val="00064323"/>
    <w:rsid w:val="00064630"/>
    <w:rsid w:val="00066DD6"/>
    <w:rsid w:val="0008299C"/>
    <w:rsid w:val="000E2DD6"/>
    <w:rsid w:val="000F4A9D"/>
    <w:rsid w:val="00107E28"/>
    <w:rsid w:val="00135E9E"/>
    <w:rsid w:val="0014492B"/>
    <w:rsid w:val="00144C16"/>
    <w:rsid w:val="00163A9B"/>
    <w:rsid w:val="00172A27"/>
    <w:rsid w:val="001E58B7"/>
    <w:rsid w:val="00247549"/>
    <w:rsid w:val="0027585E"/>
    <w:rsid w:val="00290C9D"/>
    <w:rsid w:val="0029106E"/>
    <w:rsid w:val="002A7502"/>
    <w:rsid w:val="002B3157"/>
    <w:rsid w:val="002C28C4"/>
    <w:rsid w:val="002C334A"/>
    <w:rsid w:val="002D39D2"/>
    <w:rsid w:val="002F256B"/>
    <w:rsid w:val="00315C0D"/>
    <w:rsid w:val="0032238C"/>
    <w:rsid w:val="00367C76"/>
    <w:rsid w:val="003B7581"/>
    <w:rsid w:val="003C6052"/>
    <w:rsid w:val="003D5151"/>
    <w:rsid w:val="003E1FB7"/>
    <w:rsid w:val="00405F7C"/>
    <w:rsid w:val="00411682"/>
    <w:rsid w:val="00420603"/>
    <w:rsid w:val="004331CC"/>
    <w:rsid w:val="0044372E"/>
    <w:rsid w:val="004627CA"/>
    <w:rsid w:val="004879EA"/>
    <w:rsid w:val="00487ED1"/>
    <w:rsid w:val="004C1E7B"/>
    <w:rsid w:val="005025A5"/>
    <w:rsid w:val="00514197"/>
    <w:rsid w:val="00526B85"/>
    <w:rsid w:val="00531926"/>
    <w:rsid w:val="0054019F"/>
    <w:rsid w:val="00553254"/>
    <w:rsid w:val="005557E4"/>
    <w:rsid w:val="00576390"/>
    <w:rsid w:val="0058308E"/>
    <w:rsid w:val="005B62B3"/>
    <w:rsid w:val="005F5DEE"/>
    <w:rsid w:val="00603B4D"/>
    <w:rsid w:val="006262FE"/>
    <w:rsid w:val="00663D09"/>
    <w:rsid w:val="00671107"/>
    <w:rsid w:val="006745C1"/>
    <w:rsid w:val="006C5CA6"/>
    <w:rsid w:val="00715AFC"/>
    <w:rsid w:val="00731022"/>
    <w:rsid w:val="00742278"/>
    <w:rsid w:val="00760281"/>
    <w:rsid w:val="007929FB"/>
    <w:rsid w:val="007B2FE0"/>
    <w:rsid w:val="007C149D"/>
    <w:rsid w:val="007F1909"/>
    <w:rsid w:val="007F7C6C"/>
    <w:rsid w:val="008340AF"/>
    <w:rsid w:val="0083483E"/>
    <w:rsid w:val="00857266"/>
    <w:rsid w:val="00865293"/>
    <w:rsid w:val="008900DA"/>
    <w:rsid w:val="008A0076"/>
    <w:rsid w:val="008A1DE1"/>
    <w:rsid w:val="008A67A4"/>
    <w:rsid w:val="008E409E"/>
    <w:rsid w:val="008E657F"/>
    <w:rsid w:val="00972162"/>
    <w:rsid w:val="009836B7"/>
    <w:rsid w:val="00995495"/>
    <w:rsid w:val="009B23DF"/>
    <w:rsid w:val="009C021B"/>
    <w:rsid w:val="009C2FBF"/>
    <w:rsid w:val="00A00B65"/>
    <w:rsid w:val="00A02B66"/>
    <w:rsid w:val="00A064F3"/>
    <w:rsid w:val="00A14114"/>
    <w:rsid w:val="00A3478F"/>
    <w:rsid w:val="00A40BCE"/>
    <w:rsid w:val="00A472BD"/>
    <w:rsid w:val="00A47DA1"/>
    <w:rsid w:val="00A65C60"/>
    <w:rsid w:val="00A71C94"/>
    <w:rsid w:val="00AC63FB"/>
    <w:rsid w:val="00AD1A38"/>
    <w:rsid w:val="00B00489"/>
    <w:rsid w:val="00B06992"/>
    <w:rsid w:val="00B21CC0"/>
    <w:rsid w:val="00B97A70"/>
    <w:rsid w:val="00BD5ADF"/>
    <w:rsid w:val="00BF3B9F"/>
    <w:rsid w:val="00C2718A"/>
    <w:rsid w:val="00C3028D"/>
    <w:rsid w:val="00C53B88"/>
    <w:rsid w:val="00C84696"/>
    <w:rsid w:val="00CC185A"/>
    <w:rsid w:val="00CC3DF5"/>
    <w:rsid w:val="00CD1056"/>
    <w:rsid w:val="00CD3E20"/>
    <w:rsid w:val="00D0125A"/>
    <w:rsid w:val="00D0381A"/>
    <w:rsid w:val="00D63CCE"/>
    <w:rsid w:val="00D83922"/>
    <w:rsid w:val="00DB7805"/>
    <w:rsid w:val="00DD00F2"/>
    <w:rsid w:val="00E17F09"/>
    <w:rsid w:val="00E32D95"/>
    <w:rsid w:val="00E63848"/>
    <w:rsid w:val="00EB4D72"/>
    <w:rsid w:val="00EC73DC"/>
    <w:rsid w:val="00EF39F9"/>
    <w:rsid w:val="00F05BE5"/>
    <w:rsid w:val="00F11B25"/>
    <w:rsid w:val="00F36EBB"/>
    <w:rsid w:val="00F53BA2"/>
    <w:rsid w:val="00F86769"/>
    <w:rsid w:val="00FB2C67"/>
    <w:rsid w:val="00FB3896"/>
    <w:rsid w:val="00FF16D8"/>
    <w:rsid w:val="00FF51B1"/>
    <w:rsid w:val="02B32DB9"/>
    <w:rsid w:val="07A31A23"/>
    <w:rsid w:val="083C362F"/>
    <w:rsid w:val="089C756C"/>
    <w:rsid w:val="0B9E68B1"/>
    <w:rsid w:val="0BD7780E"/>
    <w:rsid w:val="0EDC0C85"/>
    <w:rsid w:val="0F841000"/>
    <w:rsid w:val="11C21DA6"/>
    <w:rsid w:val="11D372CF"/>
    <w:rsid w:val="126309CC"/>
    <w:rsid w:val="160A2553"/>
    <w:rsid w:val="16626B95"/>
    <w:rsid w:val="1715152B"/>
    <w:rsid w:val="195B2C52"/>
    <w:rsid w:val="19B93877"/>
    <w:rsid w:val="19E86AEC"/>
    <w:rsid w:val="1B1E1557"/>
    <w:rsid w:val="1B9610B2"/>
    <w:rsid w:val="1C2A656D"/>
    <w:rsid w:val="1C8F0CF3"/>
    <w:rsid w:val="1CCE6621"/>
    <w:rsid w:val="1EB27D37"/>
    <w:rsid w:val="2129610F"/>
    <w:rsid w:val="214F0F8C"/>
    <w:rsid w:val="218A425E"/>
    <w:rsid w:val="226C16A1"/>
    <w:rsid w:val="23881700"/>
    <w:rsid w:val="24987415"/>
    <w:rsid w:val="29A01719"/>
    <w:rsid w:val="2BFF3D66"/>
    <w:rsid w:val="2C020C08"/>
    <w:rsid w:val="2C6426F1"/>
    <w:rsid w:val="2F5230DE"/>
    <w:rsid w:val="32B44520"/>
    <w:rsid w:val="33934BDD"/>
    <w:rsid w:val="359E033D"/>
    <w:rsid w:val="383E64EC"/>
    <w:rsid w:val="3C710F56"/>
    <w:rsid w:val="3FCA032D"/>
    <w:rsid w:val="3FE35040"/>
    <w:rsid w:val="418974DC"/>
    <w:rsid w:val="45294D4A"/>
    <w:rsid w:val="453178A0"/>
    <w:rsid w:val="459136A5"/>
    <w:rsid w:val="46466B4D"/>
    <w:rsid w:val="473420C6"/>
    <w:rsid w:val="4B772FE1"/>
    <w:rsid w:val="4D845AB2"/>
    <w:rsid w:val="55317F50"/>
    <w:rsid w:val="56521C9D"/>
    <w:rsid w:val="571B0607"/>
    <w:rsid w:val="59E16F7E"/>
    <w:rsid w:val="5CF70D4F"/>
    <w:rsid w:val="5D132C59"/>
    <w:rsid w:val="5E715CC6"/>
    <w:rsid w:val="61797E9C"/>
    <w:rsid w:val="619863BE"/>
    <w:rsid w:val="63181962"/>
    <w:rsid w:val="63320D03"/>
    <w:rsid w:val="6C3557AE"/>
    <w:rsid w:val="71C14CD8"/>
    <w:rsid w:val="728C39FB"/>
    <w:rsid w:val="74601573"/>
    <w:rsid w:val="75567D69"/>
    <w:rsid w:val="760C7626"/>
    <w:rsid w:val="76C21672"/>
    <w:rsid w:val="7BE41FBD"/>
    <w:rsid w:val="7CA74403"/>
    <w:rsid w:val="7ECE7C95"/>
    <w:rsid w:val="7F437A73"/>
    <w:rsid w:val="7F726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autoSpaceDE w:val="0"/>
      <w:autoSpaceDN w:val="0"/>
      <w:ind w:left="828" w:hanging="420"/>
      <w:jc w:val="left"/>
      <w:outlineLvl w:val="0"/>
    </w:pPr>
    <w:rPr>
      <w:rFonts w:ascii="黑体" w:hAnsi="黑体" w:eastAsia="黑体" w:cs="黑体"/>
      <w:b/>
      <w:bCs/>
      <w:kern w:val="0"/>
      <w:szCs w:val="21"/>
      <w:lang w:eastAsia="en-US"/>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20"/>
    <w:qFormat/>
    <w:uiPriority w:val="1"/>
    <w:pPr>
      <w:autoSpaceDE w:val="0"/>
      <w:autoSpaceDN w:val="0"/>
      <w:jc w:val="left"/>
    </w:pPr>
    <w:rPr>
      <w:rFonts w:ascii="宋体" w:hAnsi="宋体" w:eastAsia="宋体" w:cs="宋体"/>
      <w:kern w:val="0"/>
      <w:szCs w:val="21"/>
      <w:lang w:eastAsia="en-US"/>
    </w:rPr>
  </w:style>
  <w:style w:type="paragraph" w:styleId="5">
    <w:name w:val="toc 3"/>
    <w:basedOn w:val="1"/>
    <w:next w:val="1"/>
    <w:unhideWhenUsed/>
    <w:qFormat/>
    <w:uiPriority w:val="39"/>
    <w:pPr>
      <w:widowControl/>
      <w:spacing w:after="100" w:line="259" w:lineRule="auto"/>
      <w:ind w:left="440"/>
      <w:jc w:val="left"/>
    </w:pPr>
    <w:rPr>
      <w:rFonts w:cs="Times New Roman"/>
      <w:kern w:val="0"/>
      <w:sz w:val="22"/>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snapToGrid w:val="0"/>
      <w:spacing w:line="480" w:lineRule="auto"/>
      <w:ind w:left="150" w:hanging="150" w:hangingChars="150"/>
      <w:jc w:val="left"/>
    </w:pPr>
    <w:rPr>
      <w:rFonts w:ascii="Times New Roman" w:hAnsi="Times New Roman" w:eastAsia="宋体" w:cs="Times New Roman"/>
      <w:kern w:val="0"/>
    </w:rPr>
  </w:style>
  <w:style w:type="paragraph" w:styleId="9">
    <w:name w:val="footnote text"/>
    <w:basedOn w:val="1"/>
    <w:link w:val="21"/>
    <w:semiHidden/>
    <w:unhideWhenUsed/>
    <w:qFormat/>
    <w:uiPriority w:val="99"/>
    <w:pPr>
      <w:autoSpaceDE w:val="0"/>
      <w:autoSpaceDN w:val="0"/>
      <w:snapToGrid w:val="0"/>
      <w:jc w:val="left"/>
    </w:pPr>
    <w:rPr>
      <w:rFonts w:ascii="宋体" w:hAnsi="宋体" w:eastAsia="宋体" w:cs="宋体"/>
      <w:kern w:val="0"/>
      <w:sz w:val="18"/>
      <w:szCs w:val="18"/>
      <w:lang w:eastAsia="en-US"/>
    </w:rPr>
  </w:style>
  <w:style w:type="paragraph" w:styleId="10">
    <w:name w:val="toc 2"/>
    <w:basedOn w:val="1"/>
    <w:next w:val="1"/>
    <w:unhideWhenUsed/>
    <w:qFormat/>
    <w:uiPriority w:val="39"/>
    <w:pPr>
      <w:widowControl/>
      <w:spacing w:after="100" w:line="259" w:lineRule="auto"/>
      <w:ind w:left="220"/>
      <w:jc w:val="left"/>
    </w:pPr>
    <w:rPr>
      <w:rFonts w:eastAsia="宋体" w:cs="Times New Roman"/>
      <w:kern w:val="0"/>
    </w:rPr>
  </w:style>
  <w:style w:type="paragraph" w:styleId="11">
    <w:name w:val="Normal (Web)"/>
    <w:basedOn w:val="1"/>
    <w:semiHidden/>
    <w:unhideWhenUsed/>
    <w:qFormat/>
    <w:uiPriority w:val="99"/>
    <w:rPr>
      <w:sz w:val="24"/>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563C1" w:themeColor="hyperlink"/>
      <w:u w:val="single"/>
      <w14:textFill>
        <w14:solidFill>
          <w14:schemeClr w14:val="hlink"/>
        </w14:solidFill>
      </w14:textFill>
    </w:rPr>
  </w:style>
  <w:style w:type="character" w:styleId="16">
    <w:name w:val="footnote reference"/>
    <w:basedOn w:val="14"/>
    <w:semiHidden/>
    <w:unhideWhenUsed/>
    <w:qFormat/>
    <w:uiPriority w:val="99"/>
    <w:rPr>
      <w:vertAlign w:val="superscript"/>
    </w:rPr>
  </w:style>
  <w:style w:type="character" w:customStyle="1" w:styleId="17">
    <w:name w:val="页眉 字符"/>
    <w:basedOn w:val="14"/>
    <w:link w:val="7"/>
    <w:qFormat/>
    <w:uiPriority w:val="99"/>
    <w:rPr>
      <w:sz w:val="18"/>
      <w:szCs w:val="18"/>
    </w:rPr>
  </w:style>
  <w:style w:type="character" w:customStyle="1" w:styleId="18">
    <w:name w:val="页脚 字符"/>
    <w:basedOn w:val="14"/>
    <w:link w:val="6"/>
    <w:qFormat/>
    <w:uiPriority w:val="99"/>
    <w:rPr>
      <w:sz w:val="18"/>
      <w:szCs w:val="18"/>
    </w:rPr>
  </w:style>
  <w:style w:type="character" w:customStyle="1" w:styleId="19">
    <w:name w:val="标题 1 字符"/>
    <w:basedOn w:val="14"/>
    <w:link w:val="2"/>
    <w:qFormat/>
    <w:uiPriority w:val="9"/>
    <w:rPr>
      <w:rFonts w:ascii="黑体" w:hAnsi="黑体" w:eastAsia="黑体" w:cs="黑体"/>
      <w:b/>
      <w:bCs/>
      <w:kern w:val="0"/>
      <w:szCs w:val="21"/>
      <w:lang w:eastAsia="en-US"/>
    </w:rPr>
  </w:style>
  <w:style w:type="character" w:customStyle="1" w:styleId="20">
    <w:name w:val="正文文本 字符"/>
    <w:basedOn w:val="14"/>
    <w:link w:val="4"/>
    <w:qFormat/>
    <w:uiPriority w:val="1"/>
    <w:rPr>
      <w:rFonts w:ascii="宋体" w:hAnsi="宋体" w:eastAsia="宋体" w:cs="宋体"/>
      <w:kern w:val="0"/>
      <w:szCs w:val="21"/>
      <w:lang w:eastAsia="en-US"/>
    </w:rPr>
  </w:style>
  <w:style w:type="character" w:customStyle="1" w:styleId="21">
    <w:name w:val="脚注文本 字符"/>
    <w:basedOn w:val="14"/>
    <w:link w:val="9"/>
    <w:semiHidden/>
    <w:qFormat/>
    <w:uiPriority w:val="99"/>
    <w:rPr>
      <w:rFonts w:ascii="宋体" w:hAnsi="宋体" w:eastAsia="宋体" w:cs="宋体"/>
      <w:kern w:val="0"/>
      <w:sz w:val="18"/>
      <w:szCs w:val="18"/>
      <w:lang w:eastAsia="en-US"/>
    </w:rPr>
  </w:style>
  <w:style w:type="character" w:styleId="22">
    <w:name w:val="Placeholder Text"/>
    <w:basedOn w:val="14"/>
    <w:semiHidden/>
    <w:qFormat/>
    <w:uiPriority w:val="99"/>
    <w:rPr>
      <w:color w:val="666666"/>
    </w:rPr>
  </w:style>
  <w:style w:type="paragraph" w:customStyle="1" w:styleId="23">
    <w:name w:val="TOC 标题1"/>
    <w:basedOn w:val="2"/>
    <w:next w:val="1"/>
    <w:unhideWhenUsed/>
    <w:qFormat/>
    <w:uiPriority w:val="39"/>
    <w:pPr>
      <w:keepNext/>
      <w:keepLines/>
      <w:widowControl/>
      <w:autoSpaceDE/>
      <w:autoSpaceDN/>
      <w:spacing w:before="240" w:line="259" w:lineRule="auto"/>
      <w:ind w:left="0" w:firstLine="0"/>
      <w:outlineLvl w:val="9"/>
    </w:pPr>
    <w:rPr>
      <w:rFonts w:asciiTheme="majorHAnsi" w:hAnsiTheme="majorHAnsi" w:eastAsiaTheme="majorEastAsia" w:cstheme="majorBidi"/>
      <w:b w:val="0"/>
      <w:bCs w:val="0"/>
      <w:color w:val="2F5597" w:themeColor="accent1" w:themeShade="BF"/>
      <w:sz w:val="32"/>
      <w:szCs w:val="32"/>
      <w:lang w:eastAsia="zh-CN"/>
    </w:rPr>
  </w:style>
  <w:style w:type="paragraph" w:customStyle="1" w:styleId="24">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5">
    <w:name w:val="章标题 字符"/>
    <w:link w:val="26"/>
    <w:qFormat/>
    <w:uiPriority w:val="0"/>
    <w:rPr>
      <w:rFonts w:ascii="黑体" w:hAnsi="黑体" w:eastAsia="黑体" w:cs="黑体"/>
      <w:sz w:val="21"/>
      <w:szCs w:val="21"/>
    </w:rPr>
  </w:style>
  <w:style w:type="paragraph" w:customStyle="1" w:styleId="26">
    <w:name w:val="章标题"/>
    <w:basedOn w:val="1"/>
    <w:next w:val="1"/>
    <w:link w:val="25"/>
    <w:qFormat/>
    <w:uiPriority w:val="0"/>
    <w:pPr>
      <w:widowControl/>
      <w:numPr>
        <w:ilvl w:val="1"/>
        <w:numId w:val="1"/>
      </w:numPr>
      <w:spacing w:beforeLines="100" w:afterLines="100"/>
      <w:outlineLvl w:val="0"/>
    </w:pPr>
    <w:rPr>
      <w:rFonts w:ascii="黑体" w:hAnsi="黑体" w:eastAsia="黑体" w:cs="黑体"/>
      <w:kern w:val="0"/>
      <w:szCs w:val="21"/>
    </w:rPr>
  </w:style>
  <w:style w:type="paragraph" w:styleId="27">
    <w:name w:val="List Paragraph"/>
    <w:basedOn w:val="1"/>
    <w:unhideWhenUsed/>
    <w:qFormat/>
    <w:uiPriority w:val="99"/>
    <w:pPr>
      <w:ind w:firstLine="420" w:firstLineChars="200"/>
    </w:pPr>
  </w:style>
  <w:style w:type="paragraph" w:customStyle="1" w:styleId="28">
    <w:name w:val="Table Text"/>
    <w:basedOn w:val="1"/>
    <w:semiHidden/>
    <w:qFormat/>
    <w:uiPriority w:val="0"/>
    <w:rPr>
      <w:rFonts w:ascii="宋体" w:hAnsi="宋体" w:eastAsia="宋体" w:cs="宋体"/>
      <w:sz w:val="18"/>
      <w:szCs w:val="18"/>
      <w:lang w:val="en-US" w:eastAsia="en-US" w:bidi="ar-SA"/>
    </w:rPr>
  </w:style>
  <w:style w:type="table" w:customStyle="1" w:styleId="2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117bcf03-360f-465c-b401-748ca4290c0a</errorID>
      <errorWord> 电网运行准则</errorWord>
      <group>L1_Punc</group>
      <groupName>标点问题</groupName>
      <ability>L2_Punc_CN</ability>
      <abilityName>标点符号问题</abilityName>
      <candidateList>
        <item>《电网运行准则》</item>
      </candidateList>
      <explain/>
      <paraID> 944ABCB</paraID>
      <start>11</start>
      <end>18</end>
      <status>ignored</status>
      <modifiedWord/>
      <trackRevisions>false</trackRevisions>
    </reviewItem>
    <reviewItem>
      <errorID>09e11468-bb5c-464c-8bd7-32dfaa4b4aeb</errorID>
      <errorWord> 基于项目的温室气体减排量评估技术规范 通用要求</errorWord>
      <group>L1_Punc</group>
      <groupName>标点问题</groupName>
      <ability>L2_Punc_CN</ability>
      <abilityName>标点符号问题</abilityName>
      <candidateList>
        <item>《基于项目的温室气体减排量评估技术规范 通用要求》</item>
      </candidateList>
      <explain/>
      <paraID>70DC824D</paraID>
      <start>11</start>
      <end>35</end>
      <status>ignored</status>
      <modifiedWord/>
      <trackRevisions>false</trackRevisions>
    </reviewItem>
    <reviewItem>
      <errorID>7a6c96f8-dde7-44cf-b9e5-dc8702580e6a</errorID>
      <errorWord> 电力储能基本术语</errorWord>
      <group>L1_Punc</group>
      <groupName>标点问题</groupName>
      <ability>L2_Punc_CN</ability>
      <abilityName>标点符号问题</abilityName>
      <candidateList>
        <item>《电力储能基本术语》</item>
      </candidateList>
      <explain/>
      <paraID>1BE68292</paraID>
      <start>10</start>
      <end>19</end>
      <status>ignored</status>
      <modifiedWord/>
      <trackRevisions>false</trackRevisions>
    </reviewItem>
    <reviewItem>
      <errorID>4c1794a6-b638-415a-84ce-02d21aacfa81</errorID>
      <errorWord> </errorWord>
      <group>L1_Punc</group>
      <groupName>标点问题</groupName>
      <ability>L2_Punc_CN</ability>
      <abilityName>标点符号问题</abilityName>
      <candidateList>
        <item>《</item>
      </candidateList>
      <explain/>
      <paraID>659BC1A3</paraID>
      <start>12</start>
      <end>13</end>
      <status>ignored</status>
      <modifiedWord/>
      <trackRevisions>false</trackRevisions>
    </reviewItem>
    <reviewItem>
      <errorID>4126087a-acb6-4fcc-90be-5731ee3dc120</errorID>
      <errorWord>第二</errorWord>
      <group>L1_Word</group>
      <groupName>字词问题</groupName>
      <ability>L2_Typo</ability>
      <abilityName>字词错误</abilityName>
      <candidateList>
        <item> 第二</item>
      </candidateList>
      <explain/>
      <paraID>659BC1A3</paraID>
      <start>17</start>
      <end>19</end>
      <status>ignored</status>
      <modifiedWord/>
      <trackRevisions>false</trackRevisions>
    </reviewItem>
    <reviewItem>
      <errorID>a2dc1ac8-9099-453e-8c6b-ed54c2a78471</errorID>
      <errorWord>指南</errorWord>
      <group>L1_Punc</group>
      <groupName>标点问题</groupName>
      <ability>L2_Punc_CN</ability>
      <abilityName>标点符号问题</abilityName>
      <candidateList>
        <item>指南》</item>
      </candidateList>
      <explain/>
      <paraID>659BC1A3</paraID>
      <start>52</start>
      <end>54</end>
      <status>ignored</status>
      <modifiedWord/>
      <trackRevisions>false</trackRevisions>
    </reviewItem>
    <reviewItem>
      <errorID>26fe52cf-2570-4f6f-9b7b-dac75550ec3f</errorID>
      <errorWord>基本</errorWord>
      <group>L1_Punc</group>
      <groupName>标点问题</groupName>
      <ability>L2_Punc_CN</ability>
      <abilityName>标点符号问题</abilityName>
      <candidateList>
        <item>. 基本</item>
      </candidateList>
      <explain/>
      <paraID>3E522A90</paraID>
      <start>0</start>
      <end>2</end>
      <status>ignored</status>
      <modifiedWord/>
      <trackRevisions>false</trackRevisions>
    </reviewItem>
    <reviewItem>
      <errorID>f6c84baa-b7f0-4b7c-b845-5b16f0d2328b</errorID>
      <errorWord>核算</errorWord>
      <group>L1_Punc</group>
      <groupName>标点问题</groupName>
      <ability>L2_Punc_CN</ability>
      <abilityName>标点符号问题</abilityName>
      <candidateList>
        <item>. 核算</item>
      </candidateList>
      <explain/>
      <paraID>26C6FF6F</paraID>
      <start>0</start>
      <end>2</end>
      <status>ignored</status>
      <modifiedWord/>
      <trackRevisions>false</trackRevisions>
    </reviewItem>
    <reviewItem>
      <errorID>933c3cc7-ecee-46bd-8f83-e398bf337c5c</errorID>
      <errorWord>边界</errorWord>
      <group>L1_Punc</group>
      <groupName>标点问题</groupName>
      <ability>L2_Punc_CN</ability>
      <abilityName>标点符号问题</abilityName>
      <candidateList>
        <item>边界：</item>
      </candidateList>
      <explain/>
      <paraID> A948FED</paraID>
      <start>6</start>
      <end>8</end>
      <status>ignored</status>
      <modifiedWord/>
      <trackRevisions>false</trackRevisions>
    </reviewItem>
    <reviewItem>
      <errorID>6f5f6d6f-bdd4-42ab-ac8f-49c9b913fdb3</errorID>
      <errorWord>期</errorWord>
      <group>L1_Punc</group>
      <groupName>标点问题</groupName>
      <ability>L2_Punc_CN</ability>
      <abilityName>标点符号问题</abilityName>
      <candidateList>
        <item>期：</item>
      </candidateList>
      <explain/>
      <paraID>4DF550D9</paraID>
      <start>6</start>
      <end>7</end>
      <status>ignored</status>
      <modifiedWord/>
      <trackRevisions>false</trackRevisions>
    </reviewItem>
    <reviewItem>
      <errorID>6a0300af-7a1a-4ad6-9afe-ee64a66eca47</errorID>
      <errorWord>源</errorWord>
      <group>L1_Punc</group>
      <groupName>标点问题</groupName>
      <ability>L2_Punc_CN</ability>
      <abilityName>标点符号问题</abilityName>
      <candidateList>
        <item>源：</item>
      </candidateList>
      <explain/>
      <paraID>1D5434F8</paraID>
      <start>10</start>
      <end>11</end>
      <status>ignored</status>
      <modifiedWord/>
      <trackRevisions>false</trackRevisions>
    </reviewItem>
    <reviewItem>
      <errorID>5625e751-c566-4fcd-8cf7-4534915e4cc8</errorID>
      <errorWord>的</errorWord>
      <group>L1_Grammar</group>
      <groupName>语法问题</groupName>
      <ability>L2_Grammar</ability>
      <abilityName>语法错误</abilityName>
      <candidateList>
        <item>，形成</item>
      </candidateList>
      <explain/>
      <paraID>38C4B7E5</paraID>
      <start>199</start>
      <end>200</end>
      <status>ignored</status>
      <modifiedWord/>
      <trackRevisions>false</trackRevisions>
    </reviewItem>
    <reviewItem>
      <errorID>104e44fc-2571-4382-9b79-d39cc10f9ebe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2801B021</paraID>
      <start>53</start>
      <end>54</end>
      <status>ignored</status>
      <modifiedWord/>
      <trackRevisions>false</trackRevisions>
    </reviewItem>
    <reviewItem>
      <errorID>1ced228b-de79-4166-bbea-8de881fe09d7</errorID>
      <errorWord>数据</errorWord>
      <group>L1_Punc</group>
      <groupName>标点问题</groupName>
      <ability>L2_Punc_CN</ability>
      <abilityName>标点符号问题</abilityName>
      <candidateList>
        <item>. 数据</item>
      </candidateList>
      <explain/>
      <paraID>788AE6EA</paraID>
      <start>0</start>
      <end>2</end>
      <status>ignored</status>
      <modifiedWord/>
      <trackRevisions>false</trackRevisions>
    </reviewItem>
    <reviewItem>
      <errorID>80a9b789-f81e-49e0-8198-7d56b8827575</errorID>
      <errorWord>－</errorWord>
      <group>L1_Punc</group>
      <groupName>标点问题</groupName>
      <ability>L2_Punc_CN</ability>
      <abilityName>标点符号问题</abilityName>
      <candidateList>
        <item>—</item>
      </candidateList>
      <explain/>
      <paraID>6D7EBDD9</paraID>
      <start>23</start>
      <end>24</end>
      <status>ignored</status>
      <modifiedWord/>
      <trackRevisions>false</trackRevisions>
    </reviewItem>
    <reviewItem>
      <errorID>83b7ccfc-e40d-4903-be8b-15d3026d4daf</errorID>
      <errorWord>减排</errorWord>
      <group>L1_Punc</group>
      <groupName>标点问题</groupName>
      <ability>L2_Punc_CN</ability>
      <abilityName>标点符号问题</abilityName>
      <candidateList>
        <item>. 减排</item>
      </candidateList>
      <explain/>
      <paraID> C8D9887</paraID>
      <start>3</start>
      <end>5</end>
      <status>ignored</status>
      <modifiedWord/>
      <trackRevisions>false</trackRevisions>
    </reviewItem>
    <reviewItem>
      <errorID>b79f540a-bc68-4478-beb2-4639a7570173</errorID>
      <errorWord>项目</errorWord>
      <group>L1_Punc</group>
      <groupName>标点问题</groupName>
      <ability>L2_Punc_CN</ability>
      <abilityName>标点符号问题</abilityName>
      <candidateList>
        <item>. 项目</item>
      </candidateList>
      <explain/>
      <paraID>6B909B28</paraID>
      <start>0</start>
      <end>2</end>
      <status>ignored</status>
      <modifiedWord/>
      <trackRevisions>false</trackRevisions>
    </reviewItem>
    <reviewItem>
      <errorID>4c32e119-8fe4-4e2b-9057-6faef2fe6a21</errorID>
      <errorWord> </errorWord>
      <group>L1_Punc</group>
      <groupName>标点问题</groupName>
      <ability>L2_Punc_CN</ability>
      <abilityName>标点符号问题</abilityName>
      <candidateList>
        <item>. </item>
      </candidateList>
      <explain/>
      <paraID>30CE99C1</paraID>
      <start>3</start>
      <end>4</end>
      <status>ignored</status>
      <modifiedWord/>
      <trackRevisions>false</trackRevisions>
    </reviewItem>
    <reviewItem>
      <errorID>359950b6-6e0c-4fa1-8c0c-cfa97ef87428</errorID>
      <errorWord> </errorWord>
      <group>L1_Punc</group>
      <groupName>标点问题</groupName>
      <ability>L2_Punc_CN</ability>
      <abilityName>标点符号问题</abilityName>
      <candidateList>
        <item>. </item>
      </candidateList>
      <explain/>
      <paraID>55AA3E1E</paraID>
      <start>3</start>
      <end>4</end>
      <status>ignored</status>
      <modifiedWord/>
      <trackRevisions>false</trackRevisions>
    </reviewItem>
    <reviewItem>
      <errorID>5fa25838-ea79-4ca9-967f-bd09499acf18</errorID>
      <errorWord> </errorWord>
      <group>L1_Punc</group>
      <groupName>标点问题</groupName>
      <ability>L2_Punc_CN</ability>
      <abilityName>标点符号问题</abilityName>
      <candidateList>
        <item>. </item>
      </candidateList>
      <explain/>
      <paraID>303FBFEE</paraID>
      <start>3</start>
      <end>4</end>
      <status>ignored</status>
      <modifiedWord/>
      <trackRevisions>false</trackRevisions>
    </reviewItem>
    <reviewItem>
      <errorID>7f5c9b10-e563-4348-a71e-367c4ac7ae1c</errorID>
      <errorWord> </errorWord>
      <group>L1_Punc</group>
      <groupName>标点问题</groupName>
      <ability>L2_Punc_CN</ability>
      <abilityName>标点符号问题</abilityName>
      <candidateList>
        <item>. </item>
      </candidateList>
      <explain/>
      <paraID>5E3DFF89</paraID>
      <start>3</start>
      <end>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20073B-BE95-4226-844B-D8F894C17F39}">
  <ds:schemaRefs/>
</ds:datastoreItem>
</file>

<file path=customXml/itemProps3.xml><?xml version="1.0" encoding="utf-8"?>
<ds:datastoreItem xmlns:ds="http://schemas.openxmlformats.org/officeDocument/2006/customXml" ds:itemID="{882d88b4-da66-46fc-a8b5-45b5f3a812fa}">
  <ds:schemaRefs/>
</ds:datastoreItem>
</file>

<file path=docProps/app.xml><?xml version="1.0" encoding="utf-8"?>
<Properties xmlns="http://schemas.openxmlformats.org/officeDocument/2006/extended-properties" xmlns:vt="http://schemas.openxmlformats.org/officeDocument/2006/docPropsVTypes">
  <Template>Normal</Template>
  <Pages>12</Pages>
  <Words>88</Words>
  <Characters>92</Characters>
  <Lines>42</Lines>
  <Paragraphs>11</Paragraphs>
  <TotalTime>62</TotalTime>
  <ScaleCrop>false</ScaleCrop>
  <LinksUpToDate>false</LinksUpToDate>
  <CharactersWithSpaces>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2024-07-25T08:50:00Z</dcterms:created>
  <dc:creator>Yidan WANG</dc:creator>
  <cp:lastModifiedBy>沙浅岛</cp:lastModifiedBy>
  <dcterms:modified xsi:type="dcterms:W3CDTF">2026-09-20T09:34:48Z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96B01F66BA014D21B94446A309F1634A_13</vt:lpwstr>
  </property>
  <property fmtid="{D5CDD505-2E9C-101B-9397-08002B2CF9AE}" pid="4" name="MTWinEqns">
    <vt:bool>true</vt:bool>
  </property>
  <property fmtid="{D5CDD505-2E9C-101B-9397-08002B2CF9AE}" pid="5" name="KSOTemplateDocerSaveRecord">
    <vt:lpwstr>eyJoZGlkIjoiNjJhNTE5YzkwNGZmYTUyM2RmZmVlNjk1YTg0NjIzM2QiLCJ1c2VySWQiOiIzODAxMzE1ODEifQ==</vt:lpwstr>
  </property>
</Properties>
</file>