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8BC44">
      <w:pPr>
        <w:autoSpaceDE w:val="0"/>
        <w:autoSpaceDN w:val="0"/>
        <w:spacing w:before="55"/>
        <w:ind w:left="408"/>
        <w:jc w:val="left"/>
        <w:rPr>
          <w:rFonts w:hint="eastAsia" w:ascii="黑体" w:hAnsi="宋体" w:eastAsia="黑体" w:cs="宋体"/>
          <w:kern w:val="0"/>
          <w:sz w:val="32"/>
        </w:rPr>
      </w:pPr>
    </w:p>
    <w:p w14:paraId="790B3712">
      <w:pPr>
        <w:autoSpaceDE w:val="0"/>
        <w:autoSpaceDN w:val="0"/>
        <w:jc w:val="left"/>
        <w:rPr>
          <w:rFonts w:hint="eastAsia" w:ascii="黑体" w:hAnsi="宋体" w:eastAsia="宋体" w:cs="宋体"/>
          <w:kern w:val="0"/>
          <w:sz w:val="32"/>
          <w:szCs w:val="21"/>
        </w:rPr>
      </w:pPr>
    </w:p>
    <w:p w14:paraId="3E4C9A7C">
      <w:pPr>
        <w:autoSpaceDE w:val="0"/>
        <w:autoSpaceDN w:val="0"/>
        <w:jc w:val="left"/>
        <w:rPr>
          <w:rFonts w:hint="eastAsia" w:ascii="黑体" w:hAnsi="宋体" w:eastAsia="宋体" w:cs="宋体"/>
          <w:kern w:val="0"/>
          <w:sz w:val="32"/>
          <w:szCs w:val="21"/>
        </w:rPr>
      </w:pPr>
    </w:p>
    <w:p w14:paraId="1BCF6516">
      <w:pPr>
        <w:autoSpaceDE w:val="0"/>
        <w:autoSpaceDN w:val="0"/>
        <w:jc w:val="left"/>
        <w:rPr>
          <w:rFonts w:hint="eastAsia" w:ascii="黑体" w:hAnsi="宋体" w:eastAsia="宋体" w:cs="宋体"/>
          <w:kern w:val="0"/>
          <w:sz w:val="32"/>
          <w:szCs w:val="21"/>
        </w:rPr>
      </w:pPr>
    </w:p>
    <w:p w14:paraId="7E65AEE4">
      <w:pPr>
        <w:autoSpaceDE w:val="0"/>
        <w:autoSpaceDN w:val="0"/>
        <w:jc w:val="left"/>
        <w:rPr>
          <w:rFonts w:hint="eastAsia" w:ascii="黑体" w:hAnsi="宋体" w:eastAsia="宋体" w:cs="宋体"/>
          <w:kern w:val="0"/>
          <w:sz w:val="32"/>
          <w:szCs w:val="21"/>
        </w:rPr>
      </w:pPr>
    </w:p>
    <w:p w14:paraId="1DF35FFC">
      <w:pPr>
        <w:autoSpaceDE w:val="0"/>
        <w:autoSpaceDN w:val="0"/>
        <w:jc w:val="left"/>
        <w:rPr>
          <w:rFonts w:hint="eastAsia" w:ascii="黑体" w:hAnsi="宋体" w:eastAsia="宋体" w:cs="宋体"/>
          <w:kern w:val="0"/>
          <w:sz w:val="32"/>
          <w:szCs w:val="21"/>
        </w:rPr>
      </w:pPr>
    </w:p>
    <w:p w14:paraId="1CB60377">
      <w:pPr>
        <w:autoSpaceDE w:val="0"/>
        <w:autoSpaceDN w:val="0"/>
        <w:jc w:val="left"/>
        <w:rPr>
          <w:rFonts w:hint="eastAsia" w:ascii="黑体" w:hAnsi="宋体" w:eastAsia="宋体" w:cs="宋体"/>
          <w:kern w:val="0"/>
          <w:sz w:val="32"/>
          <w:szCs w:val="21"/>
        </w:rPr>
      </w:pPr>
    </w:p>
    <w:p w14:paraId="0DAFB98F">
      <w:pPr>
        <w:autoSpaceDE w:val="0"/>
        <w:autoSpaceDN w:val="0"/>
        <w:jc w:val="left"/>
        <w:rPr>
          <w:rFonts w:hint="eastAsia" w:ascii="黑体" w:hAnsi="宋体" w:eastAsia="宋体" w:cs="宋体"/>
          <w:kern w:val="0"/>
          <w:sz w:val="32"/>
          <w:szCs w:val="21"/>
        </w:rPr>
      </w:pPr>
    </w:p>
    <w:p w14:paraId="296E67CF">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default" w:ascii="黑体" w:hAnsi="黑体" w:eastAsia="黑体" w:cs="黑体"/>
          <w:b w:val="0"/>
          <w:bCs w:val="0"/>
          <w:kern w:val="0"/>
          <w:sz w:val="52"/>
          <w:szCs w:val="52"/>
          <w:lang w:val="en-US" w:eastAsia="zh-CN"/>
        </w:rPr>
      </w:pPr>
      <w:bookmarkStart w:id="61" w:name="_GoBack"/>
      <w:r>
        <w:rPr>
          <w:rFonts w:hint="eastAsia" w:ascii="黑体" w:hAnsi="黑体" w:eastAsia="黑体" w:cs="黑体"/>
          <w:b w:val="0"/>
          <w:bCs w:val="0"/>
          <w:w w:val="95"/>
          <w:kern w:val="0"/>
          <w:sz w:val="52"/>
          <w:szCs w:val="52"/>
        </w:rPr>
        <w:t>南京市</w:t>
      </w:r>
      <w:r>
        <w:rPr>
          <w:rFonts w:hint="eastAsia" w:ascii="黑体" w:hAnsi="黑体" w:eastAsia="黑体" w:cs="黑体"/>
          <w:b w:val="0"/>
          <w:bCs w:val="0"/>
          <w:w w:val="95"/>
          <w:kern w:val="0"/>
          <w:sz w:val="52"/>
          <w:szCs w:val="52"/>
          <w:lang w:val="en-US" w:eastAsia="zh-CN"/>
        </w:rPr>
        <w:t>区街道（镇）电动汽车充电设施</w:t>
      </w:r>
      <w:r>
        <w:rPr>
          <w:rFonts w:hint="eastAsia" w:ascii="黑体" w:hAnsi="黑体" w:eastAsia="黑体" w:cs="黑体"/>
          <w:b w:val="0"/>
          <w:bCs w:val="0"/>
          <w:spacing w:val="-2"/>
          <w:w w:val="95"/>
          <w:kern w:val="0"/>
          <w:sz w:val="52"/>
          <w:szCs w:val="52"/>
          <w:lang w:val="en-US" w:eastAsia="zh-CN"/>
        </w:rPr>
        <w:t>碳普惠方法学</w:t>
      </w:r>
    </w:p>
    <w:bookmarkEnd w:id="61"/>
    <w:p w14:paraId="2DD9C2C6">
      <w:pPr>
        <w:autoSpaceDE w:val="0"/>
        <w:autoSpaceDN w:val="0"/>
        <w:jc w:val="center"/>
        <w:rPr>
          <w:rFonts w:hint="eastAsia" w:ascii="方正楷体_GBK" w:hAnsi="方正楷体_GBK" w:eastAsia="方正楷体_GBK" w:cs="方正楷体_GBK"/>
          <w:b/>
          <w:kern w:val="0"/>
          <w:sz w:val="40"/>
          <w:szCs w:val="21"/>
          <w:lang w:eastAsia="zh-CN"/>
        </w:rPr>
      </w:pPr>
      <w:r>
        <w:rPr>
          <w:rFonts w:hint="eastAsia" w:ascii="方正楷体_GBK" w:hAnsi="方正楷体_GBK" w:eastAsia="方正楷体_GBK" w:cs="方正楷体_GBK"/>
          <w:b/>
          <w:kern w:val="0"/>
          <w:sz w:val="40"/>
          <w:szCs w:val="21"/>
          <w:lang w:eastAsia="zh-CN"/>
        </w:rPr>
        <w:t>（</w:t>
      </w:r>
      <w:r>
        <w:rPr>
          <w:rFonts w:hint="eastAsia" w:ascii="方正楷体_GBK" w:hAnsi="方正楷体_GBK" w:eastAsia="方正楷体_GBK" w:cs="方正楷体_GBK"/>
          <w:b/>
          <w:kern w:val="0"/>
          <w:sz w:val="40"/>
          <w:szCs w:val="21"/>
          <w:lang w:val="en-US" w:eastAsia="zh-CN"/>
        </w:rPr>
        <w:t>公示稿</w:t>
      </w:r>
      <w:r>
        <w:rPr>
          <w:rFonts w:hint="eastAsia" w:ascii="方正楷体_GBK" w:hAnsi="方正楷体_GBK" w:eastAsia="方正楷体_GBK" w:cs="方正楷体_GBK"/>
          <w:b/>
          <w:kern w:val="0"/>
          <w:sz w:val="40"/>
          <w:szCs w:val="21"/>
          <w:lang w:eastAsia="zh-CN"/>
        </w:rPr>
        <w:t>）</w:t>
      </w:r>
    </w:p>
    <w:p w14:paraId="1611E64C">
      <w:pPr>
        <w:autoSpaceDE w:val="0"/>
        <w:autoSpaceDN w:val="0"/>
        <w:jc w:val="left"/>
        <w:rPr>
          <w:rFonts w:hint="eastAsia" w:ascii="黑体" w:hAnsi="宋体" w:eastAsia="宋体" w:cs="宋体"/>
          <w:b/>
          <w:kern w:val="0"/>
          <w:sz w:val="40"/>
          <w:szCs w:val="21"/>
        </w:rPr>
      </w:pPr>
    </w:p>
    <w:p w14:paraId="47BCA635">
      <w:pPr>
        <w:autoSpaceDE w:val="0"/>
        <w:autoSpaceDN w:val="0"/>
        <w:jc w:val="left"/>
        <w:rPr>
          <w:rFonts w:hint="eastAsia" w:ascii="黑体" w:hAnsi="宋体" w:eastAsia="宋体" w:cs="宋体"/>
          <w:b/>
          <w:kern w:val="0"/>
          <w:sz w:val="40"/>
          <w:szCs w:val="21"/>
        </w:rPr>
      </w:pPr>
    </w:p>
    <w:p w14:paraId="2B412CBA">
      <w:pPr>
        <w:autoSpaceDE w:val="0"/>
        <w:autoSpaceDN w:val="0"/>
        <w:jc w:val="left"/>
        <w:rPr>
          <w:rFonts w:hint="eastAsia" w:ascii="黑体" w:hAnsi="宋体" w:eastAsia="宋体" w:cs="宋体"/>
          <w:b/>
          <w:kern w:val="0"/>
          <w:sz w:val="40"/>
          <w:szCs w:val="21"/>
        </w:rPr>
      </w:pPr>
    </w:p>
    <w:p w14:paraId="7E5D9D81">
      <w:pPr>
        <w:autoSpaceDE w:val="0"/>
        <w:autoSpaceDN w:val="0"/>
        <w:jc w:val="left"/>
        <w:rPr>
          <w:rFonts w:hint="eastAsia" w:ascii="黑体" w:hAnsi="宋体" w:eastAsia="宋体" w:cs="宋体"/>
          <w:b/>
          <w:kern w:val="0"/>
          <w:sz w:val="40"/>
          <w:szCs w:val="21"/>
        </w:rPr>
      </w:pPr>
    </w:p>
    <w:p w14:paraId="68705812">
      <w:pPr>
        <w:autoSpaceDE w:val="0"/>
        <w:autoSpaceDN w:val="0"/>
        <w:jc w:val="left"/>
        <w:rPr>
          <w:rFonts w:hint="eastAsia" w:ascii="黑体" w:hAnsi="宋体" w:eastAsia="宋体" w:cs="宋体"/>
          <w:b/>
          <w:kern w:val="0"/>
          <w:sz w:val="40"/>
          <w:szCs w:val="21"/>
        </w:rPr>
      </w:pPr>
    </w:p>
    <w:p w14:paraId="7AA94EE8">
      <w:pPr>
        <w:autoSpaceDE w:val="0"/>
        <w:autoSpaceDN w:val="0"/>
        <w:jc w:val="left"/>
        <w:rPr>
          <w:rFonts w:hint="eastAsia" w:ascii="黑体" w:hAnsi="宋体" w:eastAsia="宋体" w:cs="宋体"/>
          <w:b/>
          <w:kern w:val="0"/>
          <w:sz w:val="40"/>
          <w:szCs w:val="21"/>
        </w:rPr>
      </w:pPr>
    </w:p>
    <w:p w14:paraId="51157630">
      <w:pPr>
        <w:autoSpaceDE w:val="0"/>
        <w:autoSpaceDN w:val="0"/>
        <w:jc w:val="left"/>
        <w:rPr>
          <w:rFonts w:hint="eastAsia" w:ascii="黑体" w:hAnsi="宋体" w:eastAsia="宋体" w:cs="宋体"/>
          <w:b/>
          <w:kern w:val="0"/>
          <w:sz w:val="40"/>
          <w:szCs w:val="21"/>
        </w:rPr>
      </w:pPr>
    </w:p>
    <w:p w14:paraId="04241F3A">
      <w:pPr>
        <w:autoSpaceDE w:val="0"/>
        <w:autoSpaceDN w:val="0"/>
        <w:jc w:val="left"/>
        <w:rPr>
          <w:rFonts w:hint="eastAsia" w:ascii="黑体" w:hAnsi="宋体" w:eastAsia="宋体" w:cs="宋体"/>
          <w:b/>
          <w:kern w:val="0"/>
          <w:sz w:val="40"/>
          <w:szCs w:val="21"/>
        </w:rPr>
      </w:pPr>
    </w:p>
    <w:p w14:paraId="5931BDD7">
      <w:pPr>
        <w:autoSpaceDE w:val="0"/>
        <w:autoSpaceDN w:val="0"/>
        <w:spacing w:before="7"/>
        <w:jc w:val="left"/>
        <w:rPr>
          <w:rFonts w:hint="eastAsia" w:ascii="黑体" w:hAnsi="宋体" w:eastAsia="宋体" w:cs="宋体"/>
          <w:b/>
          <w:kern w:val="0"/>
          <w:sz w:val="40"/>
          <w:szCs w:val="21"/>
        </w:rPr>
      </w:pPr>
    </w:p>
    <w:p w14:paraId="644CB39A">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eastAsia" w:ascii="黑体" w:hAnsi="宋体" w:eastAsia="黑体" w:cs="宋体"/>
          <w:spacing w:val="-2"/>
          <w:kern w:val="0"/>
          <w:sz w:val="28"/>
        </w:rPr>
      </w:pPr>
      <w:r>
        <w:rPr>
          <w:rFonts w:hint="eastAsia" w:ascii="Times New Roman" w:hAnsi="Times New Roman" w:eastAsia="黑体" w:cs="宋体"/>
          <w:spacing w:val="-2"/>
          <w:kern w:val="0"/>
          <w:sz w:val="28"/>
        </w:rPr>
        <w:t>202</w:t>
      </w:r>
      <w:r>
        <w:rPr>
          <w:rFonts w:hint="eastAsia" w:ascii="Times New Roman" w:hAnsi="Times New Roman" w:eastAsia="黑体" w:cs="宋体"/>
          <w:spacing w:val="-2"/>
          <w:kern w:val="0"/>
          <w:sz w:val="28"/>
          <w:lang w:val="en-US" w:eastAsia="zh-CN"/>
        </w:rPr>
        <w:t>6</w:t>
      </w:r>
      <w:r>
        <w:rPr>
          <w:rFonts w:hint="eastAsia" w:ascii="黑体" w:hAnsi="宋体" w:eastAsia="黑体" w:cs="宋体"/>
          <w:spacing w:val="-2"/>
          <w:kern w:val="0"/>
          <w:sz w:val="28"/>
        </w:rPr>
        <w:t>年</w:t>
      </w:r>
      <w:r>
        <w:rPr>
          <w:rFonts w:hint="eastAsia" w:ascii="Times New Roman" w:hAnsi="Times New Roman" w:eastAsia="黑体" w:cs="宋体"/>
          <w:spacing w:val="-2"/>
          <w:kern w:val="0"/>
          <w:sz w:val="28"/>
          <w:lang w:val="en-US" w:eastAsia="zh-CN"/>
        </w:rPr>
        <w:t>9</w:t>
      </w:r>
      <w:r>
        <w:rPr>
          <w:rFonts w:hint="eastAsia" w:ascii="黑体" w:hAnsi="宋体" w:eastAsia="黑体" w:cs="宋体"/>
          <w:spacing w:val="-2"/>
          <w:kern w:val="0"/>
          <w:sz w:val="28"/>
        </w:rPr>
        <w:t>月</w:t>
      </w:r>
    </w:p>
    <w:p w14:paraId="478799FC">
      <w:pPr>
        <w:autoSpaceDE w:val="0"/>
        <w:autoSpaceDN w:val="0"/>
        <w:ind w:right="814"/>
        <w:jc w:val="center"/>
        <w:rPr>
          <w:rFonts w:hint="eastAsia" w:ascii="黑体" w:hAnsi="宋体" w:eastAsia="黑体" w:cs="宋体"/>
          <w:spacing w:val="-40"/>
          <w:kern w:val="0"/>
          <w:sz w:val="28"/>
        </w:rPr>
        <w:sectPr>
          <w:footerReference r:id="rId3" w:type="default"/>
          <w:pgSz w:w="11906" w:h="16838"/>
          <w:pgMar w:top="1440" w:right="1800" w:bottom="1440" w:left="1800" w:header="851" w:footer="992" w:gutter="0"/>
          <w:cols w:space="425" w:num="1"/>
          <w:docGrid w:type="lines" w:linePitch="312" w:charSpace="0"/>
        </w:sectPr>
      </w:pPr>
    </w:p>
    <w:p w14:paraId="39B17599">
      <w:pPr>
        <w:keepNext w:val="0"/>
        <w:keepLines w:val="0"/>
        <w:pageBreakBefore w:val="0"/>
        <w:widowControl w:val="0"/>
        <w:tabs>
          <w:tab w:val="left" w:pos="803"/>
        </w:tabs>
        <w:kinsoku/>
        <w:wordWrap/>
        <w:overflowPunct/>
        <w:topLinePunct w:val="0"/>
        <w:autoSpaceDE w:val="0"/>
        <w:autoSpaceDN w:val="0"/>
        <w:bidi w:val="0"/>
        <w:adjustRightInd/>
        <w:snapToGrid w:val="0"/>
        <w:spacing w:line="360" w:lineRule="auto"/>
        <w:ind w:right="0"/>
        <w:jc w:val="center"/>
        <w:textAlignment w:val="auto"/>
        <w:rPr>
          <w:rFonts w:hint="eastAsia" w:ascii="黑体" w:hAnsi="宋体" w:eastAsia="黑体" w:cs="宋体"/>
          <w:b w:val="0"/>
          <w:bCs/>
          <w:spacing w:val="-10"/>
          <w:kern w:val="0"/>
          <w:sz w:val="32"/>
        </w:rPr>
      </w:pPr>
      <w:r>
        <w:rPr>
          <w:rFonts w:hint="eastAsia" w:ascii="黑体" w:hAnsi="宋体" w:eastAsia="黑体" w:cs="宋体"/>
          <w:b w:val="0"/>
          <w:bCs/>
          <w:spacing w:val="-10"/>
          <w:kern w:val="0"/>
          <w:sz w:val="32"/>
        </w:rPr>
        <w:t>目</w:t>
      </w:r>
      <w:r>
        <w:rPr>
          <w:rFonts w:hint="eastAsia" w:ascii="黑体" w:hAnsi="宋体" w:eastAsia="黑体" w:cs="宋体"/>
          <w:b w:val="0"/>
          <w:bCs/>
          <w:kern w:val="0"/>
          <w:sz w:val="32"/>
        </w:rPr>
        <w:tab/>
      </w:r>
      <w:r>
        <w:rPr>
          <w:rFonts w:hint="eastAsia" w:ascii="黑体" w:hAnsi="宋体" w:eastAsia="黑体" w:cs="宋体"/>
          <w:b w:val="0"/>
          <w:bCs/>
          <w:spacing w:val="-10"/>
          <w:kern w:val="0"/>
          <w:sz w:val="32"/>
        </w:rPr>
        <w:t>录</w:t>
      </w:r>
    </w:p>
    <w:p w14:paraId="7FF59B6F">
      <w:pPr>
        <w:pStyle w:val="7"/>
        <w:tabs>
          <w:tab w:val="right" w:leader="dot" w:pos="8306"/>
        </w:tabs>
      </w:pPr>
      <w:r>
        <w:rPr>
          <w:b w:val="0"/>
          <w:bCs/>
          <w:sz w:val="32"/>
        </w:rPr>
        <w:fldChar w:fldCharType="begin"/>
      </w:r>
      <w:r>
        <w:rPr>
          <w:b w:val="0"/>
          <w:bCs/>
          <w:sz w:val="32"/>
        </w:rPr>
        <w:instrText xml:space="preserve"> TOC \o "1-1" \h \z \u </w:instrText>
      </w:r>
      <w:r>
        <w:rPr>
          <w:b w:val="0"/>
          <w:bCs/>
          <w:sz w:val="32"/>
        </w:rPr>
        <w:fldChar w:fldCharType="separate"/>
      </w: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_Toc9087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eastAsia="en-US"/>
        </w:rPr>
        <w:t xml:space="preserve">1 </w:t>
      </w:r>
      <w:r>
        <w:rPr>
          <w:rFonts w:hint="eastAsia" w:ascii="黑体" w:hAnsi="黑体" w:eastAsia="黑体" w:cs="黑体"/>
          <w:bCs w:val="0"/>
          <w:spacing w:val="-2"/>
          <w:w w:val="95"/>
          <w:kern w:val="0"/>
          <w:szCs w:val="28"/>
          <w:lang w:val="en-US" w:eastAsia="zh-CN"/>
        </w:rPr>
        <w:t>引言</w:t>
      </w:r>
      <w:r>
        <w:tab/>
      </w:r>
      <w:r>
        <w:fldChar w:fldCharType="begin"/>
      </w:r>
      <w:r>
        <w:instrText xml:space="preserve"> PAGEREF _Toc9087 \h </w:instrText>
      </w:r>
      <w:r>
        <w:fldChar w:fldCharType="separate"/>
      </w:r>
      <w:r>
        <w:t>1</w:t>
      </w:r>
      <w:r>
        <w:fldChar w:fldCharType="end"/>
      </w:r>
      <w:r>
        <w:rPr>
          <w:rFonts w:ascii="Times New Roman" w:hAnsi="Times New Roman" w:eastAsia="宋体" w:cs="Times New Roman"/>
          <w:bCs/>
          <w:kern w:val="0"/>
        </w:rPr>
        <w:fldChar w:fldCharType="end"/>
      </w:r>
    </w:p>
    <w:p w14:paraId="02143AB3">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_Toc18812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2 </w:t>
      </w:r>
      <w:r>
        <w:rPr>
          <w:rFonts w:hint="eastAsia" w:ascii="黑体" w:hAnsi="黑体" w:eastAsia="黑体" w:cs="黑体"/>
          <w:bCs w:val="0"/>
          <w:spacing w:val="-2"/>
          <w:w w:val="95"/>
          <w:kern w:val="0"/>
          <w:szCs w:val="28"/>
          <w:lang w:val="en-US" w:eastAsia="en-US"/>
        </w:rPr>
        <w:t>适用</w:t>
      </w:r>
      <w:r>
        <w:rPr>
          <w:rFonts w:hint="eastAsia" w:ascii="黑体" w:hAnsi="黑体" w:eastAsia="黑体" w:cs="黑体"/>
          <w:bCs w:val="0"/>
          <w:spacing w:val="-2"/>
          <w:w w:val="95"/>
          <w:kern w:val="0"/>
          <w:szCs w:val="28"/>
          <w:lang w:val="en-US" w:eastAsia="zh-CN"/>
        </w:rPr>
        <w:t>范围</w:t>
      </w:r>
      <w:r>
        <w:tab/>
      </w:r>
      <w:r>
        <w:fldChar w:fldCharType="begin"/>
      </w:r>
      <w:r>
        <w:instrText xml:space="preserve"> PAGEREF _Toc18812 \h </w:instrText>
      </w:r>
      <w:r>
        <w:fldChar w:fldCharType="separate"/>
      </w:r>
      <w:r>
        <w:t>1</w:t>
      </w:r>
      <w:r>
        <w:fldChar w:fldCharType="end"/>
      </w:r>
      <w:r>
        <w:rPr>
          <w:rFonts w:ascii="Times New Roman" w:hAnsi="Times New Roman" w:eastAsia="宋体" w:cs="Times New Roman"/>
          <w:bCs/>
          <w:kern w:val="0"/>
        </w:rPr>
        <w:fldChar w:fldCharType="end"/>
      </w:r>
    </w:p>
    <w:p w14:paraId="0601E8C1">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_Toc29707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3 </w:t>
      </w:r>
      <w:r>
        <w:rPr>
          <w:rFonts w:hint="eastAsia" w:ascii="黑体" w:hAnsi="黑体" w:eastAsia="黑体" w:cs="黑体"/>
          <w:bCs w:val="0"/>
          <w:spacing w:val="-2"/>
          <w:w w:val="95"/>
          <w:kern w:val="0"/>
          <w:szCs w:val="28"/>
          <w:lang w:val="en-US" w:eastAsia="en-US"/>
        </w:rPr>
        <w:t>引用文件</w:t>
      </w:r>
      <w:r>
        <w:tab/>
      </w:r>
      <w:r>
        <w:fldChar w:fldCharType="begin"/>
      </w:r>
      <w:r>
        <w:instrText xml:space="preserve"> PAGEREF _Toc29707 \h </w:instrText>
      </w:r>
      <w:r>
        <w:fldChar w:fldCharType="separate"/>
      </w:r>
      <w:r>
        <w:t>2</w:t>
      </w:r>
      <w:r>
        <w:fldChar w:fldCharType="end"/>
      </w:r>
      <w:r>
        <w:rPr>
          <w:rFonts w:ascii="Times New Roman" w:hAnsi="Times New Roman" w:eastAsia="宋体" w:cs="Times New Roman"/>
          <w:bCs/>
          <w:kern w:val="0"/>
        </w:rPr>
        <w:fldChar w:fldCharType="end"/>
      </w:r>
    </w:p>
    <w:p w14:paraId="190EEED7">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_Toc21373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4 </w:t>
      </w:r>
      <w:r>
        <w:rPr>
          <w:rFonts w:hint="eastAsia" w:ascii="黑体" w:hAnsi="黑体" w:eastAsia="黑体" w:cs="黑体"/>
          <w:bCs w:val="0"/>
          <w:spacing w:val="-2"/>
          <w:w w:val="95"/>
          <w:kern w:val="0"/>
          <w:szCs w:val="28"/>
          <w:lang w:val="en-US" w:eastAsia="en-US"/>
        </w:rPr>
        <w:t>术语和定义</w:t>
      </w:r>
      <w:r>
        <w:tab/>
      </w:r>
      <w:r>
        <w:fldChar w:fldCharType="begin"/>
      </w:r>
      <w:r>
        <w:instrText xml:space="preserve"> PAGEREF _Toc21373 \h </w:instrText>
      </w:r>
      <w:r>
        <w:fldChar w:fldCharType="separate"/>
      </w:r>
      <w:r>
        <w:t>2</w:t>
      </w:r>
      <w:r>
        <w:fldChar w:fldCharType="end"/>
      </w:r>
      <w:r>
        <w:rPr>
          <w:rFonts w:ascii="Times New Roman" w:hAnsi="Times New Roman" w:eastAsia="宋体" w:cs="Times New Roman"/>
          <w:bCs/>
          <w:kern w:val="0"/>
        </w:rPr>
        <w:fldChar w:fldCharType="end"/>
      </w:r>
    </w:p>
    <w:p w14:paraId="32F3F4E5">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_Toc14777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5 </w:t>
      </w:r>
      <w:r>
        <w:rPr>
          <w:rFonts w:hint="eastAsia" w:ascii="黑体" w:hAnsi="黑体" w:eastAsia="黑体" w:cs="黑体"/>
          <w:bCs w:val="0"/>
          <w:spacing w:val="-2"/>
          <w:w w:val="95"/>
          <w:kern w:val="0"/>
          <w:szCs w:val="28"/>
          <w:lang w:val="en-US" w:eastAsia="zh-CN"/>
        </w:rPr>
        <w:t>基本要求</w:t>
      </w:r>
      <w:r>
        <w:tab/>
      </w:r>
      <w:r>
        <w:fldChar w:fldCharType="begin"/>
      </w:r>
      <w:r>
        <w:instrText xml:space="preserve"> PAGEREF _Toc14777 \h </w:instrText>
      </w:r>
      <w:r>
        <w:fldChar w:fldCharType="separate"/>
      </w:r>
      <w:r>
        <w:t>3</w:t>
      </w:r>
      <w:r>
        <w:fldChar w:fldCharType="end"/>
      </w:r>
      <w:r>
        <w:rPr>
          <w:rFonts w:ascii="Times New Roman" w:hAnsi="Times New Roman" w:eastAsia="宋体" w:cs="Times New Roman"/>
          <w:bCs/>
          <w:kern w:val="0"/>
        </w:rPr>
        <w:fldChar w:fldCharType="end"/>
      </w:r>
    </w:p>
    <w:p w14:paraId="0134D623">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_Toc21377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6 </w:t>
      </w:r>
      <w:r>
        <w:rPr>
          <w:rFonts w:hint="eastAsia" w:ascii="黑体" w:hAnsi="黑体" w:eastAsia="黑体" w:cs="黑体"/>
          <w:bCs w:val="0"/>
          <w:spacing w:val="-2"/>
          <w:w w:val="95"/>
          <w:kern w:val="0"/>
          <w:szCs w:val="28"/>
          <w:lang w:val="en-US" w:eastAsia="zh-CN"/>
        </w:rPr>
        <w:t>核算边界及排放源</w:t>
      </w:r>
      <w:r>
        <w:tab/>
      </w:r>
      <w:r>
        <w:fldChar w:fldCharType="begin"/>
      </w:r>
      <w:r>
        <w:instrText xml:space="preserve"> PAGEREF _Toc21377 \h </w:instrText>
      </w:r>
      <w:r>
        <w:fldChar w:fldCharType="separate"/>
      </w:r>
      <w:r>
        <w:t>3</w:t>
      </w:r>
      <w:r>
        <w:fldChar w:fldCharType="end"/>
      </w:r>
      <w:r>
        <w:rPr>
          <w:rFonts w:ascii="Times New Roman" w:hAnsi="Times New Roman" w:eastAsia="宋体" w:cs="Times New Roman"/>
          <w:bCs/>
          <w:kern w:val="0"/>
        </w:rPr>
        <w:fldChar w:fldCharType="end"/>
      </w:r>
    </w:p>
    <w:p w14:paraId="77E0AD4B">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_Toc21023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7 </w:t>
      </w:r>
      <w:r>
        <w:rPr>
          <w:rFonts w:hint="eastAsia" w:ascii="黑体" w:hAnsi="黑体" w:eastAsia="黑体" w:cs="黑体"/>
          <w:bCs w:val="0"/>
          <w:spacing w:val="-2"/>
          <w:w w:val="95"/>
          <w:kern w:val="0"/>
          <w:szCs w:val="28"/>
          <w:lang w:val="en-US" w:eastAsia="zh-CN"/>
        </w:rPr>
        <w:t>减排量计算</w:t>
      </w:r>
      <w:r>
        <w:tab/>
      </w:r>
      <w:r>
        <w:fldChar w:fldCharType="begin"/>
      </w:r>
      <w:r>
        <w:instrText xml:space="preserve"> PAGEREF _Toc21023 \h </w:instrText>
      </w:r>
      <w:r>
        <w:fldChar w:fldCharType="separate"/>
      </w:r>
      <w:r>
        <w:t>4</w:t>
      </w:r>
      <w:r>
        <w:fldChar w:fldCharType="end"/>
      </w:r>
      <w:r>
        <w:rPr>
          <w:rFonts w:ascii="Times New Roman" w:hAnsi="Times New Roman" w:eastAsia="宋体" w:cs="Times New Roman"/>
          <w:bCs/>
          <w:kern w:val="0"/>
        </w:rPr>
        <w:fldChar w:fldCharType="end"/>
      </w:r>
    </w:p>
    <w:p w14:paraId="53517DED">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_Toc7696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8 </w:t>
      </w:r>
      <w:r>
        <w:rPr>
          <w:rFonts w:hint="eastAsia" w:ascii="黑体" w:hAnsi="黑体" w:eastAsia="黑体" w:cs="黑体"/>
          <w:bCs w:val="0"/>
          <w:spacing w:val="-2"/>
          <w:w w:val="95"/>
          <w:kern w:val="0"/>
          <w:szCs w:val="28"/>
          <w:lang w:val="en-US" w:eastAsia="zh-CN"/>
        </w:rPr>
        <w:t>数据来源及监测</w:t>
      </w:r>
      <w:r>
        <w:tab/>
      </w:r>
      <w:r>
        <w:fldChar w:fldCharType="begin"/>
      </w:r>
      <w:r>
        <w:instrText xml:space="preserve"> PAGEREF _Toc7696 \h </w:instrText>
      </w:r>
      <w:r>
        <w:fldChar w:fldCharType="separate"/>
      </w:r>
      <w:r>
        <w:t>5</w:t>
      </w:r>
      <w:r>
        <w:fldChar w:fldCharType="end"/>
      </w:r>
      <w:r>
        <w:rPr>
          <w:rFonts w:ascii="Times New Roman" w:hAnsi="Times New Roman" w:eastAsia="宋体" w:cs="Times New Roman"/>
          <w:bCs/>
          <w:kern w:val="0"/>
        </w:rPr>
        <w:fldChar w:fldCharType="end"/>
      </w:r>
    </w:p>
    <w:p w14:paraId="6E9B3D37">
      <w:pPr>
        <w:pStyle w:val="7"/>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_Toc8144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9 </w:t>
      </w:r>
      <w:r>
        <w:rPr>
          <w:rFonts w:hint="eastAsia" w:ascii="黑体" w:hAnsi="黑体" w:eastAsia="黑体" w:cs="黑体"/>
          <w:bCs w:val="0"/>
          <w:spacing w:val="-2"/>
          <w:w w:val="95"/>
          <w:kern w:val="0"/>
          <w:szCs w:val="28"/>
          <w:lang w:val="en-US" w:eastAsia="zh-CN"/>
        </w:rPr>
        <w:t>场景审定与核查要点</w:t>
      </w:r>
      <w:r>
        <w:tab/>
      </w:r>
      <w:r>
        <w:fldChar w:fldCharType="begin"/>
      </w:r>
      <w:r>
        <w:instrText xml:space="preserve"> PAGEREF _Toc8144 \h </w:instrText>
      </w:r>
      <w:r>
        <w:fldChar w:fldCharType="separate"/>
      </w:r>
      <w:r>
        <w:t>7</w:t>
      </w:r>
      <w:r>
        <w:fldChar w:fldCharType="end"/>
      </w:r>
      <w:r>
        <w:rPr>
          <w:rFonts w:ascii="Times New Roman" w:hAnsi="Times New Roman" w:eastAsia="宋体" w:cs="Times New Roman"/>
          <w:bCs/>
          <w:kern w:val="0"/>
        </w:rPr>
        <w:fldChar w:fldCharType="end"/>
      </w:r>
    </w:p>
    <w:p w14:paraId="07681C9F">
      <w:pPr>
        <w:tabs>
          <w:tab w:val="left" w:pos="803"/>
        </w:tabs>
        <w:autoSpaceDE w:val="0"/>
        <w:autoSpaceDN w:val="0"/>
        <w:spacing w:before="54"/>
        <w:ind w:right="1100"/>
        <w:jc w:val="center"/>
        <w:rPr>
          <w:rFonts w:hint="eastAsia" w:ascii="黑体" w:hAnsi="宋体" w:eastAsia="黑体" w:cs="宋体"/>
          <w:b/>
          <w:kern w:val="0"/>
          <w:sz w:val="32"/>
        </w:rPr>
      </w:pPr>
      <w:r>
        <w:rPr>
          <w:rFonts w:ascii="Times New Roman" w:hAnsi="Times New Roman" w:eastAsia="宋体" w:cs="Times New Roman"/>
          <w:bCs/>
          <w:kern w:val="0"/>
        </w:rPr>
        <w:fldChar w:fldCharType="end"/>
      </w:r>
    </w:p>
    <w:p w14:paraId="303DE857">
      <w:pPr>
        <w:tabs>
          <w:tab w:val="left" w:pos="563"/>
          <w:tab w:val="left" w:pos="564"/>
          <w:tab w:val="right" w:leader="dot" w:pos="8427"/>
        </w:tabs>
        <w:autoSpaceDE w:val="0"/>
        <w:autoSpaceDN w:val="0"/>
        <w:spacing w:before="855"/>
        <w:jc w:val="left"/>
        <w:rPr>
          <w:rFonts w:hint="eastAsia" w:ascii="黑体" w:hAnsi="宋体" w:eastAsia="黑体" w:cs="宋体"/>
          <w:kern w:val="0"/>
          <w:sz w:val="28"/>
          <w:lang w:eastAsia="en-US"/>
        </w:rPr>
        <w:sectPr>
          <w:footerReference r:id="rId4" w:type="default"/>
          <w:pgSz w:w="11906" w:h="16838"/>
          <w:pgMar w:top="1440" w:right="1800" w:bottom="1440" w:left="1800" w:header="851" w:footer="992" w:gutter="0"/>
          <w:cols w:space="425" w:num="1"/>
          <w:docGrid w:type="lines" w:linePitch="312" w:charSpace="0"/>
        </w:sectPr>
      </w:pPr>
    </w:p>
    <w:p w14:paraId="38DCD8FD">
      <w:pPr>
        <w:keepNext w:val="0"/>
        <w:keepLines w:val="0"/>
        <w:pageBreakBefore w:val="0"/>
        <w:widowControl w:val="0"/>
        <w:numPr>
          <w:ilvl w:val="0"/>
          <w:numId w:val="0"/>
        </w:numPr>
        <w:tabs>
          <w:tab w:val="left" w:pos="847"/>
          <w:tab w:val="left" w:pos="848"/>
        </w:tabs>
        <w:kinsoku/>
        <w:wordWrap/>
        <w:overflowPunct/>
        <w:topLinePunct w:val="0"/>
        <w:autoSpaceDE w:val="0"/>
        <w:autoSpaceDN w:val="0"/>
        <w:bidi w:val="0"/>
        <w:adjustRightInd/>
        <w:snapToGrid w:val="0"/>
        <w:ind w:leftChars="0"/>
        <w:jc w:val="center"/>
        <w:textAlignment w:val="auto"/>
        <w:outlineLvl w:val="9"/>
        <w:rPr>
          <w:rFonts w:hint="eastAsia" w:ascii="黑体" w:hAnsi="黑体" w:eastAsia="黑体" w:cs="黑体"/>
          <w:b w:val="0"/>
          <w:bCs w:val="0"/>
          <w:spacing w:val="-2"/>
          <w:w w:val="95"/>
          <w:kern w:val="0"/>
          <w:sz w:val="52"/>
          <w:szCs w:val="52"/>
          <w:lang w:val="en-US" w:eastAsia="zh-CN"/>
        </w:rPr>
      </w:pPr>
      <w:bookmarkStart w:id="0" w:name="_Toc170134103"/>
      <w:r>
        <w:rPr>
          <w:rFonts w:hint="eastAsia" w:ascii="黑体" w:hAnsi="黑体" w:eastAsia="黑体" w:cs="黑体"/>
          <w:b w:val="0"/>
          <w:bCs w:val="0"/>
          <w:spacing w:val="-2"/>
          <w:w w:val="95"/>
          <w:kern w:val="0"/>
          <w:sz w:val="52"/>
          <w:szCs w:val="52"/>
          <w:lang w:eastAsia="en-US"/>
        </w:rPr>
        <w:t>南京市</w:t>
      </w:r>
      <w:r>
        <w:rPr>
          <w:rFonts w:hint="eastAsia" w:ascii="黑体" w:hAnsi="黑体" w:eastAsia="黑体" w:cs="黑体"/>
          <w:b w:val="0"/>
          <w:bCs w:val="0"/>
          <w:spacing w:val="-2"/>
          <w:w w:val="95"/>
          <w:kern w:val="0"/>
          <w:sz w:val="52"/>
          <w:szCs w:val="52"/>
          <w:lang w:val="en-US" w:eastAsia="zh-CN"/>
        </w:rPr>
        <w:t>区街道（镇）电动汽车充电设施</w:t>
      </w:r>
    </w:p>
    <w:p w14:paraId="52C7CF68">
      <w:pPr>
        <w:keepNext w:val="0"/>
        <w:keepLines w:val="0"/>
        <w:pageBreakBefore w:val="0"/>
        <w:widowControl w:val="0"/>
        <w:numPr>
          <w:ilvl w:val="0"/>
          <w:numId w:val="0"/>
        </w:numPr>
        <w:tabs>
          <w:tab w:val="left" w:pos="847"/>
          <w:tab w:val="left" w:pos="848"/>
        </w:tabs>
        <w:kinsoku/>
        <w:wordWrap/>
        <w:overflowPunct/>
        <w:topLinePunct w:val="0"/>
        <w:autoSpaceDE w:val="0"/>
        <w:autoSpaceDN w:val="0"/>
        <w:bidi w:val="0"/>
        <w:adjustRightInd/>
        <w:snapToGrid w:val="0"/>
        <w:ind w:leftChars="0"/>
        <w:jc w:val="center"/>
        <w:textAlignment w:val="auto"/>
        <w:outlineLvl w:val="9"/>
        <w:rPr>
          <w:rFonts w:hint="default" w:ascii="黑体" w:hAnsi="黑体" w:eastAsia="黑体" w:cs="黑体"/>
          <w:b w:val="0"/>
          <w:bCs w:val="0"/>
          <w:spacing w:val="-2"/>
          <w:w w:val="95"/>
          <w:kern w:val="0"/>
          <w:sz w:val="52"/>
          <w:szCs w:val="52"/>
          <w:lang w:val="en-US" w:eastAsia="zh-CN"/>
        </w:rPr>
      </w:pPr>
      <w:r>
        <w:rPr>
          <w:rFonts w:hint="eastAsia" w:ascii="黑体" w:hAnsi="黑体" w:eastAsia="黑体" w:cs="黑体"/>
          <w:b w:val="0"/>
          <w:bCs w:val="0"/>
          <w:spacing w:val="-2"/>
          <w:w w:val="95"/>
          <w:kern w:val="0"/>
          <w:sz w:val="52"/>
          <w:szCs w:val="52"/>
          <w:lang w:val="en-US" w:eastAsia="zh-CN"/>
        </w:rPr>
        <w:t>碳普惠方法学</w:t>
      </w:r>
    </w:p>
    <w:p w14:paraId="674A43B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eastAsia="en-US"/>
        </w:rPr>
      </w:pPr>
      <w:bookmarkStart w:id="1" w:name="_Toc9087"/>
      <w:bookmarkStart w:id="2" w:name="_Toc27138"/>
      <w:bookmarkStart w:id="3" w:name="_Toc14491"/>
      <w:bookmarkStart w:id="4" w:name="_Toc18519"/>
      <w:bookmarkStart w:id="5" w:name="_Toc31498"/>
      <w:r>
        <w:rPr>
          <w:rFonts w:hint="eastAsia" w:ascii="黑体" w:hAnsi="黑体" w:eastAsia="黑体" w:cs="黑体"/>
          <w:b w:val="0"/>
          <w:bCs w:val="0"/>
          <w:spacing w:val="-2"/>
          <w:w w:val="95"/>
          <w:kern w:val="0"/>
          <w:sz w:val="28"/>
          <w:szCs w:val="28"/>
          <w:lang w:val="en-US" w:eastAsia="zh-CN"/>
        </w:rPr>
        <w:t>引言</w:t>
      </w:r>
      <w:bookmarkEnd w:id="1"/>
      <w:bookmarkEnd w:id="2"/>
      <w:bookmarkEnd w:id="3"/>
      <w:bookmarkEnd w:id="4"/>
      <w:bookmarkEnd w:id="5"/>
    </w:p>
    <w:p w14:paraId="7338BDB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区街道（镇）地区电动汽车充电设施建设是推动交通领域绿色低碳转型的关键举措，对促进电动汽车普及、减少化石燃料依赖、实现“双碳”目标具有重要意义。为落实《南京市碳普惠管理实施方案》要求，规范本市区街道（镇）地区电动汽车充电设施充电行为的碳减排核算方法，推动本市区街道（镇）地区交通领域绿色低碳转型，特编制《南京市区街道（镇）电动汽车充电设施碳普惠方法学》。</w:t>
      </w:r>
    </w:p>
    <w:p w14:paraId="24A617D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highlight w:val="none"/>
          <w:lang w:val="en-US" w:eastAsia="zh-CN"/>
        </w:rPr>
        <w:t>本方法学为南京市碳普惠场景方法学（</w:t>
      </w:r>
      <w:r>
        <w:rPr>
          <w:rFonts w:hint="default" w:ascii="Times New Roman" w:hAnsi="Times New Roman" w:eastAsia="宋体" w:cs="Times New Roman"/>
          <w:kern w:val="0"/>
          <w:sz w:val="28"/>
          <w:szCs w:val="28"/>
          <w:highlight w:val="none"/>
          <w:lang w:val="en-US" w:eastAsia="zh-CN"/>
        </w:rPr>
        <w:t>Ⅱ类</w:t>
      </w:r>
      <w:r>
        <w:rPr>
          <w:rFonts w:hint="eastAsia" w:ascii="宋体" w:hAnsi="宋体" w:eastAsia="宋体" w:cs="宋体"/>
          <w:kern w:val="0"/>
          <w:sz w:val="28"/>
          <w:szCs w:val="28"/>
          <w:highlight w:val="none"/>
          <w:lang w:val="en-US" w:eastAsia="zh-CN"/>
        </w:rPr>
        <w:t>），属于新开发方法学，符合条件场景免于额外性论证。本方法学以建设本地公共充电设施消除远距离补能往返行驶产生的碳排放作为减排机理，明确核算规则、数据监测要求与管理规范，实现减排量可测量、可报告、可核查。本方法学有利于完善城乡充电基础设施布局，减少因充电带来的额外车辆行驶，助力城乡交通绿色低碳转型，为南京市构建绿色低碳交通体系提供技术支撑</w:t>
      </w:r>
      <w:r>
        <w:rPr>
          <w:rFonts w:hint="eastAsia" w:ascii="宋体" w:hAnsi="宋体" w:eastAsia="宋体" w:cs="宋体"/>
          <w:kern w:val="0"/>
          <w:sz w:val="28"/>
          <w:szCs w:val="28"/>
          <w:lang w:val="en-US" w:eastAsia="zh-CN"/>
        </w:rPr>
        <w:t>。</w:t>
      </w:r>
    </w:p>
    <w:p w14:paraId="75F42F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6" w:name="_Toc10615"/>
      <w:bookmarkStart w:id="7" w:name="_Toc12647"/>
      <w:bookmarkStart w:id="8" w:name="_Toc31835"/>
      <w:bookmarkStart w:id="9" w:name="_Toc18812"/>
      <w:bookmarkStart w:id="10" w:name="_Toc11874"/>
      <w:r>
        <w:rPr>
          <w:rFonts w:hint="eastAsia" w:ascii="黑体" w:hAnsi="黑体" w:eastAsia="黑体" w:cs="黑体"/>
          <w:b w:val="0"/>
          <w:bCs w:val="0"/>
          <w:spacing w:val="-2"/>
          <w:w w:val="95"/>
          <w:kern w:val="0"/>
          <w:sz w:val="28"/>
          <w:szCs w:val="28"/>
          <w:lang w:val="en-US" w:eastAsia="en-US"/>
        </w:rPr>
        <w:t>适用</w:t>
      </w:r>
      <w:bookmarkEnd w:id="0"/>
      <w:r>
        <w:rPr>
          <w:rFonts w:hint="eastAsia" w:ascii="黑体" w:hAnsi="黑体" w:eastAsia="黑体" w:cs="黑体"/>
          <w:b w:val="0"/>
          <w:bCs w:val="0"/>
          <w:spacing w:val="-2"/>
          <w:w w:val="95"/>
          <w:kern w:val="0"/>
          <w:sz w:val="28"/>
          <w:szCs w:val="28"/>
          <w:lang w:val="en-US" w:eastAsia="zh-CN"/>
        </w:rPr>
        <w:t>范围</w:t>
      </w:r>
      <w:bookmarkEnd w:id="6"/>
      <w:bookmarkEnd w:id="7"/>
      <w:bookmarkEnd w:id="8"/>
      <w:bookmarkEnd w:id="9"/>
      <w:bookmarkEnd w:id="10"/>
    </w:p>
    <w:p w14:paraId="33D4819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本方法学适用于南京市市域范围内三类地区（积极发展区，即市域范围内的新城镇及周边乡村地区）内布局的新建公共电动汽车充电设施。</w:t>
      </w:r>
      <w:r>
        <w:rPr>
          <w:rFonts w:ascii="宋体" w:hAnsi="宋体" w:eastAsia="宋体" w:cs="宋体"/>
          <w:kern w:val="0"/>
          <w:sz w:val="28"/>
          <w:szCs w:val="28"/>
        </w:rPr>
        <w:t>使用本方法学必须满足以下条件：</w:t>
      </w:r>
    </w:p>
    <w:p w14:paraId="17B6D506">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在</w:t>
      </w:r>
      <w:r>
        <w:rPr>
          <w:rFonts w:hint="eastAsia" w:ascii="宋体" w:hAnsi="宋体" w:eastAsia="宋体" w:cs="宋体"/>
          <w:kern w:val="0"/>
          <w:sz w:val="28"/>
          <w:szCs w:val="28"/>
          <w:lang w:val="en-US" w:eastAsia="zh-CN"/>
        </w:rPr>
        <w:t>区</w:t>
      </w:r>
      <w:r>
        <w:rPr>
          <w:rFonts w:hint="eastAsia" w:ascii="宋体" w:hAnsi="宋体" w:eastAsia="宋体" w:cs="宋体"/>
          <w:kern w:val="0"/>
          <w:sz w:val="28"/>
          <w:szCs w:val="28"/>
        </w:rPr>
        <w:t>级行政中心、</w:t>
      </w:r>
      <w:r>
        <w:rPr>
          <w:rFonts w:hint="eastAsia" w:ascii="宋体" w:hAnsi="宋体" w:eastAsia="宋体" w:cs="宋体"/>
          <w:kern w:val="0"/>
          <w:sz w:val="28"/>
          <w:szCs w:val="28"/>
          <w:lang w:val="en-US" w:eastAsia="zh-CN"/>
        </w:rPr>
        <w:t>街道</w:t>
      </w:r>
      <w:r>
        <w:rPr>
          <w:rFonts w:hint="eastAsia" w:ascii="宋体" w:hAnsi="宋体" w:eastAsia="宋体" w:cs="宋体"/>
          <w:kern w:val="0"/>
          <w:sz w:val="28"/>
          <w:szCs w:val="28"/>
        </w:rPr>
        <w:t>（镇）政府驻地、行政村及交通干线沿线布局的公共充电设施；</w:t>
      </w:r>
    </w:p>
    <w:p w14:paraId="456347E6">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充电设施为面向社会开放的公共充电设施；充电桩已完成电网正规报装，权属清晰，具备完整计量、充电明细记录存储能力</w:t>
      </w:r>
      <w:r>
        <w:rPr>
          <w:rFonts w:hint="eastAsia" w:ascii="宋体" w:hAnsi="宋体" w:eastAsia="宋体" w:cs="宋体"/>
          <w:kern w:val="0"/>
          <w:sz w:val="28"/>
          <w:szCs w:val="28"/>
          <w:lang w:eastAsia="zh-CN"/>
        </w:rPr>
        <w:t>；</w:t>
      </w:r>
      <w:r>
        <w:rPr>
          <w:rFonts w:hint="eastAsia" w:ascii="宋体" w:hAnsi="宋体" w:eastAsia="宋体" w:cs="宋体"/>
          <w:kern w:val="0"/>
          <w:sz w:val="28"/>
          <w:szCs w:val="28"/>
          <w:lang w:val="en-US" w:eastAsia="zh-CN"/>
        </w:rPr>
        <w:t>设施</w:t>
      </w:r>
      <w:r>
        <w:rPr>
          <w:rFonts w:hint="eastAsia" w:ascii="宋体" w:hAnsi="宋体" w:eastAsia="宋体" w:cs="宋体"/>
          <w:kern w:val="0"/>
          <w:sz w:val="28"/>
          <w:szCs w:val="28"/>
        </w:rPr>
        <w:t>投运前</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点位直线距</w:t>
      </w:r>
      <w:r>
        <w:rPr>
          <w:rFonts w:hint="default" w:ascii="Times New Roman" w:hAnsi="Times New Roman" w:eastAsia="宋体" w:cs="Times New Roman"/>
          <w:kern w:val="0"/>
          <w:sz w:val="28"/>
          <w:szCs w:val="28"/>
        </w:rPr>
        <w:t>离1.6km范围内</w:t>
      </w:r>
      <w:r>
        <w:rPr>
          <w:rFonts w:hint="eastAsia" w:ascii="宋体" w:hAnsi="宋体" w:eastAsia="宋体" w:cs="宋体"/>
          <w:kern w:val="0"/>
          <w:sz w:val="28"/>
          <w:szCs w:val="28"/>
        </w:rPr>
        <w:t>无可用公共充电设施，本地存在明显公共充电供给缺口，车主需要远距离出行完成补能</w:t>
      </w:r>
      <w:r>
        <w:rPr>
          <w:rFonts w:hint="eastAsia" w:ascii="宋体" w:hAnsi="宋体" w:eastAsia="宋体" w:cs="宋体"/>
          <w:kern w:val="0"/>
          <w:sz w:val="28"/>
          <w:szCs w:val="28"/>
          <w:lang w:eastAsia="zh-CN"/>
        </w:rPr>
        <w:t>；</w:t>
      </w:r>
    </w:p>
    <w:p w14:paraId="0B8BE73B">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充电量、运行状态等数据需实时接入充电设施监测系统，减排量仅计入联网后产生的部分；</w:t>
      </w:r>
    </w:p>
    <w:p w14:paraId="2E288819">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可</w:t>
      </w:r>
      <w:r>
        <w:rPr>
          <w:rFonts w:hint="eastAsia" w:ascii="宋体" w:hAnsi="宋体" w:eastAsia="宋体" w:cs="宋体"/>
          <w:kern w:val="0"/>
          <w:sz w:val="28"/>
          <w:szCs w:val="28"/>
          <w:lang w:eastAsia="zh-CN"/>
        </w:rPr>
        <w:t>以把</w:t>
      </w:r>
      <w:r>
        <w:rPr>
          <w:rFonts w:hint="eastAsia" w:ascii="宋体" w:hAnsi="宋体" w:eastAsia="宋体" w:cs="宋体"/>
          <w:kern w:val="0"/>
          <w:sz w:val="28"/>
          <w:szCs w:val="28"/>
        </w:rPr>
        <w:t>多个</w:t>
      </w:r>
      <w:r>
        <w:rPr>
          <w:rFonts w:hint="eastAsia" w:ascii="宋体" w:hAnsi="宋体" w:eastAsia="宋体" w:cs="宋体"/>
          <w:kern w:val="0"/>
          <w:sz w:val="28"/>
          <w:szCs w:val="28"/>
          <w:lang w:val="en-US" w:eastAsia="zh-CN"/>
        </w:rPr>
        <w:t>区</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街道</w:t>
      </w:r>
      <w:r>
        <w:rPr>
          <w:rFonts w:hint="eastAsia" w:ascii="宋体" w:hAnsi="宋体" w:eastAsia="宋体" w:cs="宋体"/>
          <w:kern w:val="0"/>
          <w:sz w:val="28"/>
          <w:szCs w:val="28"/>
        </w:rPr>
        <w:t>（镇）的充电设施</w:t>
      </w:r>
      <w:r>
        <w:rPr>
          <w:rFonts w:hint="eastAsia" w:ascii="宋体" w:hAnsi="宋体" w:eastAsia="宋体" w:cs="宋体"/>
          <w:kern w:val="0"/>
          <w:sz w:val="28"/>
          <w:szCs w:val="28"/>
          <w:lang w:eastAsia="zh-CN"/>
        </w:rPr>
        <w:t>打捆</w:t>
      </w:r>
      <w:r>
        <w:rPr>
          <w:rFonts w:hint="eastAsia" w:ascii="宋体" w:hAnsi="宋体" w:eastAsia="宋体" w:cs="宋体"/>
          <w:kern w:val="0"/>
          <w:sz w:val="28"/>
          <w:szCs w:val="28"/>
        </w:rPr>
        <w:t>联合申报减排量；</w:t>
      </w:r>
    </w:p>
    <w:p w14:paraId="35BADE02">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设施</w:t>
      </w:r>
      <w:r>
        <w:rPr>
          <w:rFonts w:hint="eastAsia" w:ascii="宋体" w:hAnsi="宋体" w:eastAsia="宋体" w:cs="宋体"/>
          <w:kern w:val="0"/>
          <w:sz w:val="28"/>
          <w:szCs w:val="28"/>
        </w:rPr>
        <w:t>建设、运营符合电力安全、充电设施建设相关行业标准以及南京市碳普惠管理相关规定。</w:t>
      </w:r>
    </w:p>
    <w:p w14:paraId="5CE3C2F9">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11" w:name="_Toc31535"/>
      <w:bookmarkStart w:id="12" w:name="_Toc170134104"/>
      <w:bookmarkStart w:id="13" w:name="_Toc27789"/>
      <w:bookmarkStart w:id="14" w:name="_Toc29707"/>
      <w:bookmarkStart w:id="15" w:name="_Toc29518"/>
      <w:bookmarkStart w:id="16" w:name="_Toc6335"/>
      <w:r>
        <w:rPr>
          <w:rFonts w:hint="eastAsia" w:ascii="黑体" w:hAnsi="黑体" w:eastAsia="黑体" w:cs="黑体"/>
          <w:b w:val="0"/>
          <w:bCs w:val="0"/>
          <w:spacing w:val="-2"/>
          <w:w w:val="95"/>
          <w:kern w:val="0"/>
          <w:sz w:val="28"/>
          <w:szCs w:val="28"/>
          <w:lang w:val="en-US" w:eastAsia="en-US"/>
        </w:rPr>
        <w:t>引用文件</w:t>
      </w:r>
      <w:bookmarkEnd w:id="11"/>
      <w:bookmarkEnd w:id="12"/>
      <w:bookmarkEnd w:id="13"/>
      <w:bookmarkEnd w:id="14"/>
      <w:bookmarkEnd w:id="15"/>
      <w:bookmarkEnd w:id="16"/>
    </w:p>
    <w:p w14:paraId="28BBB8E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ascii="宋体" w:hAnsi="宋体" w:eastAsia="宋体" w:cs="宋体"/>
          <w:kern w:val="0"/>
          <w:sz w:val="28"/>
          <w:szCs w:val="28"/>
        </w:rPr>
        <w:t>本方法学引用了下列文件或其中的条款。凡是注日期的引用文件，仅注日期的版本适用于本方法学。凡是未注日期的引用文件，其有效版本（包括所有的修改单）适用于本方法学。</w:t>
      </w:r>
    </w:p>
    <w:p w14:paraId="6309BB6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GB/T 28569 电动汽车交流充电桩电能计量</w:t>
      </w:r>
    </w:p>
    <w:p w14:paraId="616B7A0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GB/T 29781 电动汽车充电站通用要求</w:t>
      </w:r>
    </w:p>
    <w:p w14:paraId="75E8F8F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GB/T 51313 电动汽车分散充电设施工程技术标准</w:t>
      </w:r>
    </w:p>
    <w:p w14:paraId="58443B3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JJG 1148 电动汽车交流充电桩（试行）</w:t>
      </w:r>
    </w:p>
    <w:p w14:paraId="0017DD6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JJG 1149 电动汽车非车载充电机（试行）</w:t>
      </w:r>
    </w:p>
    <w:p w14:paraId="22771E3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JJG 596 电子式交流电能表</w:t>
      </w:r>
    </w:p>
    <w:p w14:paraId="4EE75F3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Times New Roman" w:hAnsi="Times New Roman" w:eastAsia="宋体" w:cs="Times New Roman"/>
          <w:kern w:val="0"/>
          <w:sz w:val="28"/>
          <w:szCs w:val="28"/>
          <w:lang w:val="en-US" w:eastAsia="zh-CN"/>
        </w:rPr>
        <w:t>DL/T 448 电能计量装置技术管理规程</w:t>
      </w:r>
    </w:p>
    <w:p w14:paraId="1D3CBE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17" w:name="_Toc12695"/>
      <w:bookmarkStart w:id="18" w:name="_Toc3115"/>
      <w:bookmarkStart w:id="19" w:name="_Toc9559"/>
      <w:bookmarkStart w:id="20" w:name="_Toc21373"/>
      <w:bookmarkStart w:id="21" w:name="_Toc170134105"/>
      <w:bookmarkStart w:id="22" w:name="_Toc19153"/>
      <w:r>
        <w:rPr>
          <w:rFonts w:hint="eastAsia" w:ascii="黑体" w:hAnsi="黑体" w:eastAsia="黑体" w:cs="黑体"/>
          <w:b w:val="0"/>
          <w:bCs w:val="0"/>
          <w:spacing w:val="-2"/>
          <w:w w:val="95"/>
          <w:kern w:val="0"/>
          <w:sz w:val="28"/>
          <w:szCs w:val="28"/>
          <w:lang w:val="en-US" w:eastAsia="en-US"/>
        </w:rPr>
        <w:t>术语和定义</w:t>
      </w:r>
      <w:bookmarkEnd w:id="17"/>
      <w:bookmarkEnd w:id="18"/>
      <w:bookmarkEnd w:id="19"/>
      <w:bookmarkEnd w:id="20"/>
      <w:bookmarkEnd w:id="21"/>
      <w:bookmarkEnd w:id="22"/>
    </w:p>
    <w:p w14:paraId="1E37C71B">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ascii="Times New Roman" w:hAnsi="Times New Roman" w:cs="Times New Roman"/>
          <w:b w:val="0"/>
          <w:bCs/>
          <w:spacing w:val="-5"/>
          <w:sz w:val="28"/>
          <w:szCs w:val="28"/>
          <w:lang w:val="en-US" w:eastAsia="zh-CN"/>
        </w:rPr>
      </w:pPr>
      <w:bookmarkStart w:id="23" w:name="3.1"/>
      <w:bookmarkEnd w:id="23"/>
      <w:bookmarkStart w:id="24" w:name="_Toc1310109466"/>
      <w:bookmarkStart w:id="25" w:name="_Toc1322001721"/>
      <w:bookmarkStart w:id="26" w:name="_Toc960204844"/>
      <w:bookmarkStart w:id="27" w:name="_Toc9005"/>
      <w:r>
        <w:rPr>
          <w:rFonts w:hint="default" w:ascii="Times New Roman" w:hAnsi="Times New Roman" w:cs="Times New Roman"/>
          <w:b w:val="0"/>
          <w:bCs/>
          <w:spacing w:val="-5"/>
          <w:sz w:val="28"/>
          <w:szCs w:val="28"/>
          <w:lang w:val="en-US" w:eastAsia="zh-CN"/>
        </w:rPr>
        <w:t xml:space="preserve">4.1 分散充电设施  </w:t>
      </w:r>
    </w:p>
    <w:p w14:paraId="7C98C48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结合用户居住地停车位、单位停车场、公共建筑物停车场、社会公共停车场、路内临时停车位等配建的为电动汽车提供电能的设施，包括充电设备、供电系统、配套设施等。</w:t>
      </w:r>
    </w:p>
    <w:p w14:paraId="224C71E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[来源：GB/T 51313—2018，2.01]</w:t>
      </w:r>
    </w:p>
    <w:p w14:paraId="042F4F58">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jc w:val="both"/>
        <w:textAlignment w:val="auto"/>
        <w:outlineLvl w:val="9"/>
        <w:rPr>
          <w:rFonts w:hint="default" w:ascii="Times New Roman" w:hAnsi="Times New Roman" w:cs="Times New Roman"/>
          <w:b w:val="0"/>
          <w:bCs/>
          <w:spacing w:val="-5"/>
          <w:sz w:val="28"/>
          <w:szCs w:val="28"/>
          <w:lang w:eastAsia="en-US"/>
        </w:rPr>
      </w:pPr>
      <w:r>
        <w:rPr>
          <w:rFonts w:hint="default" w:ascii="Times New Roman" w:hAnsi="Times New Roman" w:cs="Times New Roman"/>
          <w:b w:val="0"/>
          <w:bCs/>
          <w:spacing w:val="-5"/>
          <w:sz w:val="28"/>
          <w:szCs w:val="28"/>
          <w:lang w:val="en-US" w:eastAsia="zh-CN"/>
        </w:rPr>
        <w:t>4</w:t>
      </w:r>
      <w:r>
        <w:rPr>
          <w:rFonts w:hint="default" w:ascii="Times New Roman" w:hAnsi="Times New Roman" w:cs="Times New Roman"/>
          <w:b w:val="0"/>
          <w:bCs/>
          <w:spacing w:val="-5"/>
          <w:sz w:val="28"/>
          <w:szCs w:val="28"/>
          <w:lang w:eastAsia="en-US"/>
        </w:rPr>
        <w:t>.2</w:t>
      </w:r>
      <w:r>
        <w:rPr>
          <w:rFonts w:hint="default" w:ascii="Times New Roman" w:hAnsi="Times New Roman" w:cs="Times New Roman"/>
          <w:b w:val="0"/>
          <w:bCs/>
          <w:spacing w:val="-5"/>
          <w:sz w:val="28"/>
          <w:szCs w:val="28"/>
          <w:lang w:val="en-US" w:eastAsia="zh-CN"/>
        </w:rPr>
        <w:t xml:space="preserve"> </w:t>
      </w:r>
      <w:bookmarkEnd w:id="24"/>
      <w:bookmarkEnd w:id="25"/>
      <w:bookmarkEnd w:id="26"/>
      <w:r>
        <w:rPr>
          <w:rFonts w:hint="default" w:ascii="Times New Roman" w:hAnsi="Times New Roman" w:cs="Times New Roman"/>
          <w:b w:val="0"/>
          <w:bCs/>
          <w:spacing w:val="-5"/>
          <w:sz w:val="28"/>
          <w:szCs w:val="28"/>
          <w:lang w:eastAsia="en-US"/>
        </w:rPr>
        <w:t>充电站</w:t>
      </w:r>
    </w:p>
    <w:p w14:paraId="7AC1979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由三台及以上电动汽车充电设备（至少有一台非车载充电机）组成</w:t>
      </w:r>
      <w:r>
        <w:rPr>
          <w:rFonts w:hint="eastAsia" w:ascii="Times New Roman" w:hAnsi="Times New Roman" w:eastAsia="宋体" w:cs="Times New Roman"/>
          <w:kern w:val="0"/>
          <w:sz w:val="28"/>
          <w:szCs w:val="28"/>
          <w:lang w:eastAsia="zh-CN"/>
        </w:rPr>
        <w:t>，</w:t>
      </w:r>
      <w:r>
        <w:rPr>
          <w:rFonts w:hint="default" w:ascii="Times New Roman" w:hAnsi="Times New Roman" w:eastAsia="宋体" w:cs="Times New Roman"/>
          <w:kern w:val="0"/>
          <w:sz w:val="28"/>
          <w:szCs w:val="28"/>
        </w:rPr>
        <w:t>为电动汽车进行充电，并能够在充电过程中对充电设备进行状态监控的场所。</w:t>
      </w:r>
    </w:p>
    <w:p w14:paraId="4CD3657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eastAsia="zh-CN"/>
        </w:rPr>
      </w:pPr>
      <w:r>
        <w:rPr>
          <w:rFonts w:hint="default" w:ascii="Times New Roman" w:hAnsi="Times New Roman" w:eastAsia="宋体" w:cs="Times New Roman"/>
          <w:kern w:val="0"/>
          <w:sz w:val="28"/>
          <w:szCs w:val="28"/>
        </w:rPr>
        <w:t>[来源：GB/T 29781—2013，3.4]</w:t>
      </w:r>
    </w:p>
    <w:bookmarkEnd w:id="27"/>
    <w:p w14:paraId="3E522A90">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28" w:name="_Toc28216"/>
      <w:bookmarkStart w:id="29" w:name="_Toc22146"/>
      <w:bookmarkStart w:id="30" w:name="_Toc14777"/>
      <w:bookmarkStart w:id="31" w:name="_Toc28024"/>
      <w:bookmarkStart w:id="32" w:name="_Toc31773"/>
      <w:r>
        <w:rPr>
          <w:rFonts w:hint="eastAsia" w:ascii="黑体" w:hAnsi="黑体" w:eastAsia="黑体" w:cs="黑体"/>
          <w:b w:val="0"/>
          <w:bCs w:val="0"/>
          <w:spacing w:val="-2"/>
          <w:w w:val="95"/>
          <w:kern w:val="0"/>
          <w:sz w:val="28"/>
          <w:szCs w:val="28"/>
          <w:lang w:val="en-US" w:eastAsia="zh-CN"/>
        </w:rPr>
        <w:t>基本要求</w:t>
      </w:r>
      <w:bookmarkEnd w:id="28"/>
      <w:bookmarkEnd w:id="29"/>
      <w:bookmarkEnd w:id="30"/>
      <w:bookmarkEnd w:id="31"/>
      <w:bookmarkEnd w:id="32"/>
    </w:p>
    <w:p w14:paraId="1E8ACA6F">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eastAsia="en-US"/>
        </w:rPr>
      </w:pPr>
      <w:r>
        <w:rPr>
          <w:rFonts w:hint="eastAsia" w:cs="宋体"/>
          <w:b w:val="0"/>
          <w:bCs/>
          <w:spacing w:val="-5"/>
          <w:sz w:val="28"/>
          <w:szCs w:val="28"/>
          <w:lang w:eastAsia="en-US"/>
        </w:rPr>
        <w:t>5.1 合规性说明</w:t>
      </w:r>
    </w:p>
    <w:p w14:paraId="78CCF82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需要在合法合规的前提下进行，</w:t>
      </w:r>
      <w:r>
        <w:rPr>
          <w:rFonts w:hint="eastAsia" w:ascii="宋体" w:hAnsi="宋体" w:eastAsia="宋体" w:cs="宋体"/>
          <w:kern w:val="0"/>
          <w:sz w:val="28"/>
          <w:szCs w:val="28"/>
          <w:lang w:val="en-US" w:eastAsia="zh-CN"/>
        </w:rPr>
        <w:t>场景</w:t>
      </w:r>
      <w:r>
        <w:rPr>
          <w:rFonts w:hint="eastAsia" w:ascii="宋体" w:hAnsi="宋体" w:eastAsia="宋体" w:cs="宋体"/>
          <w:kern w:val="0"/>
          <w:sz w:val="28"/>
          <w:szCs w:val="28"/>
        </w:rPr>
        <w:t>开发主体不得非法收集、使用、加工、传输用户信息，不得非法买卖、提供或者公开用户信息。</w:t>
      </w:r>
    </w:p>
    <w:p w14:paraId="04877D83">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eastAsia="en-US"/>
        </w:rPr>
      </w:pPr>
      <w:r>
        <w:rPr>
          <w:rFonts w:hint="eastAsia" w:cs="宋体"/>
          <w:b w:val="0"/>
          <w:bCs/>
          <w:spacing w:val="-5"/>
          <w:sz w:val="28"/>
          <w:szCs w:val="28"/>
          <w:lang w:eastAsia="en-US"/>
        </w:rPr>
        <w:t>5.2 普惠性说明</w:t>
      </w:r>
    </w:p>
    <w:p w14:paraId="2063720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当前南京市部分街道（镇）区域公共充电资源存在缺口，建设本地公共充电设施，可减少车主远距离补能带来的额外车辆行驶；本方法学核算因消除远距离补能往返行驶产生的碳减排，普适性较强；基于本方法学核算并申请获得的碳普惠</w:t>
      </w:r>
      <w:r>
        <w:rPr>
          <w:rFonts w:hint="eastAsia" w:ascii="宋体" w:hAnsi="宋体" w:eastAsia="宋体" w:cs="宋体"/>
          <w:kern w:val="0"/>
          <w:sz w:val="28"/>
          <w:szCs w:val="28"/>
          <w:lang w:val="en-US" w:eastAsia="zh-CN"/>
        </w:rPr>
        <w:t>场景</w:t>
      </w:r>
      <w:r>
        <w:rPr>
          <w:rFonts w:hint="eastAsia" w:ascii="宋体" w:hAnsi="宋体" w:eastAsia="宋体" w:cs="宋体"/>
          <w:kern w:val="0"/>
          <w:sz w:val="28"/>
          <w:szCs w:val="28"/>
        </w:rPr>
        <w:t>减排量，其第一获益人为</w:t>
      </w:r>
      <w:r>
        <w:rPr>
          <w:rFonts w:hint="eastAsia" w:ascii="宋体" w:hAnsi="宋体" w:eastAsia="宋体" w:cs="宋体"/>
          <w:kern w:val="0"/>
          <w:sz w:val="28"/>
          <w:szCs w:val="28"/>
          <w:lang w:eastAsia="zh-CN"/>
        </w:rPr>
        <w:t>区街道（镇）</w:t>
      </w:r>
      <w:r>
        <w:rPr>
          <w:rFonts w:hint="eastAsia" w:ascii="宋体" w:hAnsi="宋体" w:eastAsia="宋体" w:cs="宋体"/>
          <w:kern w:val="0"/>
          <w:sz w:val="28"/>
          <w:szCs w:val="28"/>
        </w:rPr>
        <w:t>电动汽车充电设施</w:t>
      </w:r>
      <w:r>
        <w:rPr>
          <w:rFonts w:hint="eastAsia" w:ascii="宋体" w:hAnsi="宋体" w:eastAsia="宋体" w:cs="宋体"/>
          <w:kern w:val="0"/>
          <w:sz w:val="28"/>
          <w:szCs w:val="28"/>
          <w:lang w:val="en-US" w:eastAsia="zh-CN"/>
        </w:rPr>
        <w:t>运营单位</w:t>
      </w:r>
      <w:r>
        <w:rPr>
          <w:rFonts w:hint="eastAsia" w:ascii="宋体" w:hAnsi="宋体" w:eastAsia="宋体" w:cs="宋体"/>
          <w:kern w:val="0"/>
          <w:sz w:val="28"/>
          <w:szCs w:val="28"/>
        </w:rPr>
        <w:t>，可操作性高，能够调动</w:t>
      </w:r>
      <w:r>
        <w:rPr>
          <w:rFonts w:hint="eastAsia" w:ascii="宋体" w:hAnsi="宋体" w:eastAsia="宋体" w:cs="宋体"/>
          <w:kern w:val="0"/>
          <w:sz w:val="28"/>
          <w:szCs w:val="28"/>
          <w:lang w:val="en-US" w:eastAsia="zh-CN"/>
        </w:rPr>
        <w:t>社会主体参与区街道（镇）电动汽车充电设施建设的积极性</w:t>
      </w:r>
      <w:r>
        <w:rPr>
          <w:rFonts w:hint="eastAsia" w:ascii="宋体" w:hAnsi="宋体" w:eastAsia="宋体" w:cs="宋体"/>
          <w:kern w:val="0"/>
          <w:sz w:val="28"/>
          <w:szCs w:val="28"/>
        </w:rPr>
        <w:t>，具备一定激励作用。</w:t>
      </w:r>
    </w:p>
    <w:p w14:paraId="26C6FF6F">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33" w:name="_Toc21377"/>
      <w:bookmarkStart w:id="34" w:name="_Toc31722"/>
      <w:bookmarkStart w:id="35" w:name="_Toc28490"/>
      <w:bookmarkStart w:id="36" w:name="_Toc27141"/>
      <w:bookmarkStart w:id="37" w:name="_Toc5455"/>
      <w:r>
        <w:rPr>
          <w:rFonts w:hint="eastAsia" w:ascii="黑体" w:hAnsi="黑体" w:eastAsia="黑体" w:cs="黑体"/>
          <w:b w:val="0"/>
          <w:bCs w:val="0"/>
          <w:spacing w:val="-2"/>
          <w:w w:val="95"/>
          <w:kern w:val="0"/>
          <w:sz w:val="28"/>
          <w:szCs w:val="28"/>
          <w:lang w:val="en-US" w:eastAsia="zh-CN"/>
        </w:rPr>
        <w:t>核算边界及排放源</w:t>
      </w:r>
      <w:bookmarkEnd w:id="33"/>
      <w:bookmarkEnd w:id="34"/>
      <w:bookmarkEnd w:id="35"/>
      <w:bookmarkEnd w:id="36"/>
      <w:bookmarkEnd w:id="37"/>
    </w:p>
    <w:p w14:paraId="6712586C">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6.1 核算边界</w:t>
      </w:r>
    </w:p>
    <w:p w14:paraId="3B420A1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核算边界的范围包括</w:t>
      </w:r>
      <w:r>
        <w:rPr>
          <w:rFonts w:hint="eastAsia" w:ascii="宋体" w:hAnsi="宋体" w:eastAsia="宋体" w:cs="宋体"/>
          <w:kern w:val="0"/>
          <w:sz w:val="28"/>
          <w:szCs w:val="28"/>
          <w:lang w:val="en-US" w:eastAsia="zh-CN"/>
        </w:rPr>
        <w:t>充电设施的</w:t>
      </w:r>
      <w:r>
        <w:rPr>
          <w:rFonts w:hint="eastAsia" w:ascii="宋体" w:hAnsi="宋体" w:eastAsia="宋体" w:cs="宋体"/>
          <w:kern w:val="0"/>
          <w:sz w:val="28"/>
          <w:szCs w:val="28"/>
        </w:rPr>
        <w:t>地理边界</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车辆、为</w:t>
      </w:r>
      <w:r>
        <w:rPr>
          <w:rFonts w:hint="eastAsia" w:ascii="宋体" w:hAnsi="宋体" w:eastAsia="宋体" w:cs="宋体"/>
          <w:kern w:val="0"/>
          <w:sz w:val="28"/>
          <w:szCs w:val="28"/>
          <w:lang w:val="en-US" w:eastAsia="zh-CN"/>
        </w:rPr>
        <w:t>场景</w:t>
      </w:r>
      <w:r>
        <w:rPr>
          <w:rFonts w:hint="eastAsia" w:ascii="宋体" w:hAnsi="宋体" w:eastAsia="宋体" w:cs="宋体"/>
          <w:kern w:val="0"/>
          <w:sz w:val="28"/>
          <w:szCs w:val="28"/>
        </w:rPr>
        <w:t>活动车辆提供的电力供应源。</w:t>
      </w:r>
    </w:p>
    <w:p w14:paraId="16405E14">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6.2 计入期</w:t>
      </w:r>
    </w:p>
    <w:p w14:paraId="1642A8A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rPr>
        <w:t>场景</w:t>
      </w:r>
      <w:r>
        <w:rPr>
          <w:rFonts w:hint="default" w:ascii="Times New Roman" w:hAnsi="Times New Roman" w:eastAsia="宋体" w:cs="Times New Roman"/>
          <w:kern w:val="0"/>
          <w:sz w:val="28"/>
          <w:szCs w:val="28"/>
        </w:rPr>
        <w:t>计入期为可申请碳普惠</w:t>
      </w:r>
      <w:r>
        <w:rPr>
          <w:rFonts w:hint="default" w:ascii="Times New Roman" w:hAnsi="Times New Roman" w:eastAsia="宋体" w:cs="Times New Roman"/>
          <w:kern w:val="0"/>
          <w:sz w:val="28"/>
          <w:szCs w:val="28"/>
          <w:lang w:val="en-US" w:eastAsia="zh-CN"/>
        </w:rPr>
        <w:t>场景</w:t>
      </w:r>
      <w:r>
        <w:rPr>
          <w:rFonts w:hint="default" w:ascii="Times New Roman" w:hAnsi="Times New Roman" w:eastAsia="宋体" w:cs="Times New Roman"/>
          <w:kern w:val="0"/>
          <w:sz w:val="28"/>
          <w:szCs w:val="28"/>
        </w:rPr>
        <w:t>减排量登记的时间期限，计入期不超过</w:t>
      </w:r>
      <w:r>
        <w:rPr>
          <w:rFonts w:hint="default" w:ascii="Times New Roman" w:hAnsi="Times New Roman" w:eastAsia="宋体" w:cs="Times New Roman"/>
          <w:kern w:val="0"/>
          <w:sz w:val="28"/>
          <w:szCs w:val="28"/>
          <w:lang w:val="en-US" w:eastAsia="zh-CN"/>
        </w:rPr>
        <w:t>5</w:t>
      </w:r>
      <w:r>
        <w:rPr>
          <w:rFonts w:hint="default" w:ascii="Times New Roman" w:hAnsi="Times New Roman" w:eastAsia="宋体" w:cs="Times New Roman"/>
          <w:kern w:val="0"/>
          <w:sz w:val="28"/>
          <w:szCs w:val="28"/>
        </w:rPr>
        <w:t>年。新建充电设施计入期自</w:t>
      </w:r>
      <w:r>
        <w:rPr>
          <w:rFonts w:hint="eastAsia" w:ascii="Times New Roman" w:hAnsi="Times New Roman" w:eastAsia="宋体" w:cs="Times New Roman"/>
          <w:kern w:val="0"/>
          <w:sz w:val="28"/>
          <w:szCs w:val="28"/>
          <w:lang w:eastAsia="zh-CN"/>
        </w:rPr>
        <w:t>场景</w:t>
      </w:r>
      <w:r>
        <w:rPr>
          <w:rFonts w:hint="default" w:ascii="Times New Roman" w:hAnsi="Times New Roman" w:eastAsia="宋体" w:cs="Times New Roman"/>
          <w:kern w:val="0"/>
          <w:sz w:val="28"/>
          <w:szCs w:val="28"/>
        </w:rPr>
        <w:t>实际对外提供充电服务的运营起始日起算；对于2026年之前已经投运的存量充电设施，计入期统一自2026</w:t>
      </w:r>
      <w:r>
        <w:rPr>
          <w:rFonts w:hint="default" w:ascii="Times New Roman" w:hAnsi="Times New Roman" w:eastAsia="宋体" w:cs="Times New Roman"/>
          <w:kern w:val="0"/>
          <w:sz w:val="28"/>
          <w:szCs w:val="28"/>
          <w:lang w:val="en-US" w:eastAsia="zh-CN"/>
        </w:rPr>
        <w:t>年1月1日</w:t>
      </w:r>
      <w:r>
        <w:rPr>
          <w:rFonts w:hint="default" w:ascii="Times New Roman" w:hAnsi="Times New Roman" w:eastAsia="宋体" w:cs="Times New Roman"/>
          <w:kern w:val="0"/>
          <w:sz w:val="28"/>
          <w:szCs w:val="28"/>
        </w:rPr>
        <w:t>起开始计算</w:t>
      </w:r>
      <w:r>
        <w:rPr>
          <w:rFonts w:hint="eastAsia" w:ascii="Times New Roman" w:hAnsi="Times New Roman" w:eastAsia="宋体" w:cs="Times New Roman"/>
          <w:kern w:val="0"/>
          <w:sz w:val="28"/>
          <w:szCs w:val="28"/>
          <w:lang w:eastAsia="zh-CN"/>
        </w:rPr>
        <w:t>。</w:t>
      </w:r>
    </w:p>
    <w:p w14:paraId="66BC0961">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6.3 温室气体排放源</w:t>
      </w:r>
    </w:p>
    <w:p w14:paraId="6F8AA44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场景</w:t>
      </w:r>
      <w:r>
        <w:rPr>
          <w:rFonts w:hint="eastAsia" w:ascii="宋体" w:hAnsi="宋体" w:eastAsia="宋体" w:cs="宋体"/>
          <w:kern w:val="0"/>
          <w:sz w:val="28"/>
          <w:szCs w:val="28"/>
        </w:rPr>
        <w:t>减排量核算涉及的温室气体排放来源及种类见表1。</w:t>
      </w:r>
    </w:p>
    <w:p w14:paraId="6FBFA0A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jc w:val="center"/>
        <w:textAlignment w:val="auto"/>
        <w:rPr>
          <w:rFonts w:hint="eastAsia" w:ascii="黑体" w:hAnsi="黑体" w:eastAsia="黑体" w:cs="黑体"/>
          <w:kern w:val="0"/>
          <w:sz w:val="24"/>
          <w:szCs w:val="24"/>
        </w:rPr>
      </w:pPr>
      <w:r>
        <w:rPr>
          <w:rFonts w:hint="eastAsia" w:ascii="黑体" w:hAnsi="黑体" w:eastAsia="黑体" w:cs="黑体"/>
          <w:kern w:val="0"/>
          <w:sz w:val="24"/>
          <w:szCs w:val="24"/>
        </w:rPr>
        <w:t>表1 温室气体主要种类</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2407"/>
        <w:gridCol w:w="1343"/>
        <w:gridCol w:w="1338"/>
        <w:gridCol w:w="2396"/>
      </w:tblGrid>
      <w:tr w14:paraId="56B8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489" w:type="pct"/>
            <w:vAlign w:val="center"/>
          </w:tcPr>
          <w:p w14:paraId="193C603A">
            <w:pPr>
              <w:pStyle w:val="22"/>
              <w:widowControl w:val="0"/>
              <w:ind w:firstLine="0" w:firstLineChars="0"/>
              <w:jc w:val="center"/>
              <w:rPr>
                <w:rFonts w:ascii="Times New Roman"/>
                <w:b/>
                <w:bCs/>
                <w:color w:val="000000"/>
                <w:sz w:val="24"/>
                <w:szCs w:val="24"/>
              </w:rPr>
            </w:pPr>
            <w:r>
              <w:rPr>
                <w:rFonts w:ascii="Times New Roman"/>
                <w:b/>
                <w:bCs/>
                <w:color w:val="000000"/>
                <w:sz w:val="24"/>
                <w:szCs w:val="24"/>
              </w:rPr>
              <w:t>类型</w:t>
            </w:r>
          </w:p>
        </w:tc>
        <w:tc>
          <w:tcPr>
            <w:tcW w:w="1450" w:type="pct"/>
            <w:vAlign w:val="center"/>
          </w:tcPr>
          <w:p w14:paraId="5DAF1832">
            <w:pPr>
              <w:pStyle w:val="22"/>
              <w:widowControl w:val="0"/>
              <w:ind w:firstLine="0" w:firstLineChars="0"/>
              <w:jc w:val="center"/>
              <w:rPr>
                <w:rFonts w:ascii="Times New Roman"/>
                <w:b/>
                <w:bCs/>
                <w:color w:val="000000"/>
                <w:sz w:val="24"/>
                <w:szCs w:val="24"/>
              </w:rPr>
            </w:pPr>
            <w:r>
              <w:rPr>
                <w:rFonts w:ascii="Times New Roman"/>
                <w:b/>
                <w:bCs/>
                <w:color w:val="000000"/>
                <w:sz w:val="24"/>
                <w:szCs w:val="24"/>
              </w:rPr>
              <w:t>排放源</w:t>
            </w:r>
          </w:p>
        </w:tc>
        <w:tc>
          <w:tcPr>
            <w:tcW w:w="809" w:type="pct"/>
            <w:vAlign w:val="center"/>
          </w:tcPr>
          <w:p w14:paraId="48EBD438">
            <w:pPr>
              <w:pStyle w:val="22"/>
              <w:widowControl w:val="0"/>
              <w:ind w:firstLine="0" w:firstLineChars="0"/>
              <w:jc w:val="center"/>
              <w:rPr>
                <w:rFonts w:ascii="Times New Roman"/>
                <w:b/>
                <w:bCs/>
                <w:color w:val="000000"/>
                <w:sz w:val="24"/>
                <w:szCs w:val="24"/>
              </w:rPr>
            </w:pPr>
            <w:r>
              <w:rPr>
                <w:rFonts w:ascii="Times New Roman"/>
                <w:b/>
                <w:bCs/>
                <w:color w:val="000000"/>
                <w:sz w:val="24"/>
                <w:szCs w:val="24"/>
              </w:rPr>
              <w:t>温室气体</w:t>
            </w:r>
          </w:p>
        </w:tc>
        <w:tc>
          <w:tcPr>
            <w:tcW w:w="806" w:type="pct"/>
            <w:vAlign w:val="center"/>
          </w:tcPr>
          <w:p w14:paraId="6253ADE9">
            <w:pPr>
              <w:pStyle w:val="22"/>
              <w:widowControl w:val="0"/>
              <w:ind w:firstLine="0" w:firstLineChars="0"/>
              <w:jc w:val="center"/>
              <w:rPr>
                <w:rFonts w:ascii="Times New Roman"/>
                <w:b/>
                <w:bCs/>
                <w:color w:val="000000"/>
                <w:sz w:val="24"/>
                <w:szCs w:val="24"/>
              </w:rPr>
            </w:pPr>
            <w:r>
              <w:rPr>
                <w:rFonts w:ascii="Times New Roman"/>
                <w:b/>
                <w:bCs/>
                <w:color w:val="000000"/>
                <w:sz w:val="24"/>
                <w:szCs w:val="24"/>
              </w:rPr>
              <w:t>是否包括</w:t>
            </w:r>
          </w:p>
        </w:tc>
        <w:tc>
          <w:tcPr>
            <w:tcW w:w="1443" w:type="pct"/>
            <w:vAlign w:val="center"/>
          </w:tcPr>
          <w:p w14:paraId="4C38C6A1">
            <w:pPr>
              <w:pStyle w:val="22"/>
              <w:widowControl w:val="0"/>
              <w:ind w:firstLine="0" w:firstLineChars="0"/>
              <w:jc w:val="center"/>
              <w:rPr>
                <w:rFonts w:ascii="Times New Roman"/>
                <w:b/>
                <w:bCs/>
                <w:color w:val="000000"/>
                <w:sz w:val="24"/>
                <w:szCs w:val="24"/>
              </w:rPr>
            </w:pPr>
            <w:r>
              <w:rPr>
                <w:rFonts w:ascii="Times New Roman"/>
                <w:b/>
                <w:bCs/>
                <w:color w:val="000000"/>
                <w:sz w:val="24"/>
                <w:szCs w:val="24"/>
              </w:rPr>
              <w:t>说明理由/解释</w:t>
            </w:r>
          </w:p>
        </w:tc>
      </w:tr>
      <w:tr w14:paraId="51A0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89" w:type="pct"/>
            <w:vMerge w:val="restart"/>
            <w:vAlign w:val="center"/>
          </w:tcPr>
          <w:p w14:paraId="79CFC1CA">
            <w:pPr>
              <w:pStyle w:val="22"/>
              <w:widowControl w:val="0"/>
              <w:ind w:firstLine="0" w:firstLineChars="0"/>
              <w:jc w:val="center"/>
              <w:rPr>
                <w:rFonts w:ascii="Times New Roman"/>
                <w:color w:val="000000"/>
                <w:sz w:val="24"/>
                <w:szCs w:val="24"/>
              </w:rPr>
            </w:pPr>
            <w:r>
              <w:rPr>
                <w:rFonts w:hint="eastAsia" w:ascii="Times New Roman"/>
                <w:color w:val="000000"/>
                <w:sz w:val="24"/>
                <w:szCs w:val="24"/>
                <w:lang w:val="en-US" w:eastAsia="zh-CN"/>
              </w:rPr>
              <w:t>场景</w:t>
            </w:r>
            <w:r>
              <w:rPr>
                <w:rFonts w:ascii="Times New Roman"/>
                <w:color w:val="000000"/>
                <w:sz w:val="24"/>
                <w:szCs w:val="24"/>
              </w:rPr>
              <w:t>活动</w:t>
            </w:r>
          </w:p>
        </w:tc>
        <w:tc>
          <w:tcPr>
            <w:tcW w:w="1450" w:type="pct"/>
            <w:vMerge w:val="restart"/>
            <w:vAlign w:val="center"/>
          </w:tcPr>
          <w:p w14:paraId="66223C4C">
            <w:pPr>
              <w:pStyle w:val="22"/>
              <w:widowControl w:val="0"/>
              <w:ind w:firstLine="0" w:firstLineChars="0"/>
              <w:jc w:val="center"/>
              <w:rPr>
                <w:rFonts w:ascii="Times New Roman"/>
                <w:color w:val="000000"/>
                <w:sz w:val="24"/>
                <w:szCs w:val="24"/>
              </w:rPr>
            </w:pPr>
            <w:r>
              <w:rPr>
                <w:rFonts w:hint="eastAsia" w:ascii="Times New Roman"/>
                <w:color w:val="000000"/>
                <w:sz w:val="24"/>
                <w:szCs w:val="24"/>
              </w:rPr>
              <w:t>本方法学</w:t>
            </w:r>
            <w:r>
              <w:rPr>
                <w:rFonts w:hint="eastAsia" w:ascii="Times New Roman"/>
                <w:color w:val="000000"/>
                <w:sz w:val="24"/>
                <w:szCs w:val="24"/>
                <w:lang w:val="en-US" w:eastAsia="zh-CN"/>
              </w:rPr>
              <w:t>场景</w:t>
            </w:r>
            <w:r>
              <w:rPr>
                <w:rFonts w:hint="eastAsia" w:ascii="Times New Roman"/>
                <w:color w:val="000000"/>
                <w:sz w:val="24"/>
                <w:szCs w:val="24"/>
              </w:rPr>
              <w:t>活动排放予以忽略，</w:t>
            </w:r>
            <w:r>
              <w:rPr>
                <w:rFonts w:hint="eastAsia" w:ascii="Times New Roman"/>
                <w:color w:val="000000"/>
                <w:sz w:val="24"/>
                <w:szCs w:val="24"/>
                <w:lang w:eastAsia="zh-CN"/>
              </w:rPr>
              <w:t>场景</w:t>
            </w:r>
            <w:r>
              <w:rPr>
                <w:rFonts w:hint="eastAsia" w:ascii="Times New Roman"/>
                <w:color w:val="000000"/>
                <w:sz w:val="24"/>
                <w:szCs w:val="24"/>
              </w:rPr>
              <w:t>排放取0</w:t>
            </w:r>
          </w:p>
        </w:tc>
        <w:tc>
          <w:tcPr>
            <w:tcW w:w="809" w:type="pct"/>
            <w:vAlign w:val="center"/>
          </w:tcPr>
          <w:p w14:paraId="42075B2E">
            <w:pPr>
              <w:pStyle w:val="22"/>
              <w:widowControl w:val="0"/>
              <w:ind w:firstLine="0" w:firstLineChars="0"/>
              <w:jc w:val="center"/>
              <w:rPr>
                <w:rFonts w:ascii="Times New Roman"/>
                <w:color w:val="000000"/>
                <w:sz w:val="24"/>
                <w:szCs w:val="24"/>
              </w:rPr>
            </w:pPr>
            <w:r>
              <w:rPr>
                <w:rFonts w:ascii="Times New Roman"/>
                <w:color w:val="000000"/>
                <w:sz w:val="24"/>
                <w:szCs w:val="24"/>
              </w:rPr>
              <w:t>CO</w:t>
            </w:r>
            <w:r>
              <w:rPr>
                <w:rFonts w:ascii="Times New Roman"/>
                <w:color w:val="000000"/>
                <w:sz w:val="24"/>
                <w:szCs w:val="24"/>
                <w:vertAlign w:val="subscript"/>
              </w:rPr>
              <w:t>2</w:t>
            </w:r>
          </w:p>
        </w:tc>
        <w:tc>
          <w:tcPr>
            <w:tcW w:w="806" w:type="pct"/>
            <w:vAlign w:val="center"/>
          </w:tcPr>
          <w:p w14:paraId="755E1D08">
            <w:pPr>
              <w:pStyle w:val="22"/>
              <w:widowControl w:val="0"/>
              <w:ind w:firstLine="0" w:firstLineChars="0"/>
              <w:jc w:val="center"/>
              <w:rPr>
                <w:rFonts w:ascii="Times New Roman"/>
                <w:color w:val="000000"/>
                <w:sz w:val="24"/>
                <w:szCs w:val="24"/>
              </w:rPr>
            </w:pPr>
            <w:r>
              <w:rPr>
                <w:rFonts w:ascii="Times New Roman"/>
                <w:color w:val="000000"/>
                <w:sz w:val="24"/>
                <w:szCs w:val="24"/>
              </w:rPr>
              <w:t>是</w:t>
            </w:r>
          </w:p>
        </w:tc>
        <w:tc>
          <w:tcPr>
            <w:tcW w:w="1443" w:type="pct"/>
            <w:vAlign w:val="center"/>
          </w:tcPr>
          <w:p w14:paraId="78904EEA">
            <w:pPr>
              <w:pStyle w:val="22"/>
              <w:widowControl w:val="0"/>
              <w:ind w:firstLine="0" w:firstLineChars="0"/>
              <w:jc w:val="center"/>
              <w:rPr>
                <w:rFonts w:ascii="Times New Roman"/>
                <w:color w:val="000000"/>
                <w:sz w:val="24"/>
                <w:szCs w:val="24"/>
              </w:rPr>
            </w:pPr>
            <w:r>
              <w:rPr>
                <w:rFonts w:ascii="Times New Roman"/>
                <w:color w:val="000000"/>
                <w:sz w:val="24"/>
                <w:szCs w:val="24"/>
              </w:rPr>
              <w:t>主要排放源</w:t>
            </w:r>
          </w:p>
        </w:tc>
      </w:tr>
      <w:tr w14:paraId="0783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9" w:type="pct"/>
            <w:vMerge w:val="continue"/>
            <w:vAlign w:val="center"/>
          </w:tcPr>
          <w:p w14:paraId="58DE9E80">
            <w:pPr>
              <w:pStyle w:val="22"/>
              <w:widowControl w:val="0"/>
              <w:ind w:firstLine="360"/>
              <w:jc w:val="center"/>
              <w:rPr>
                <w:rFonts w:ascii="Times New Roman"/>
                <w:color w:val="000000"/>
                <w:sz w:val="24"/>
                <w:szCs w:val="24"/>
              </w:rPr>
            </w:pPr>
          </w:p>
        </w:tc>
        <w:tc>
          <w:tcPr>
            <w:tcW w:w="1450" w:type="pct"/>
            <w:vMerge w:val="continue"/>
            <w:vAlign w:val="center"/>
          </w:tcPr>
          <w:p w14:paraId="1DDE1917">
            <w:pPr>
              <w:pStyle w:val="22"/>
              <w:widowControl w:val="0"/>
              <w:ind w:firstLine="0" w:firstLineChars="0"/>
              <w:jc w:val="left"/>
              <w:rPr>
                <w:rFonts w:ascii="Times New Roman"/>
                <w:color w:val="000000"/>
                <w:sz w:val="24"/>
                <w:szCs w:val="24"/>
              </w:rPr>
            </w:pPr>
          </w:p>
        </w:tc>
        <w:tc>
          <w:tcPr>
            <w:tcW w:w="809" w:type="pct"/>
            <w:vAlign w:val="center"/>
          </w:tcPr>
          <w:p w14:paraId="5F3659D4">
            <w:pPr>
              <w:pStyle w:val="22"/>
              <w:widowControl w:val="0"/>
              <w:ind w:firstLine="0" w:firstLineChars="0"/>
              <w:jc w:val="center"/>
              <w:rPr>
                <w:rFonts w:ascii="Times New Roman"/>
                <w:color w:val="000000"/>
                <w:sz w:val="24"/>
                <w:szCs w:val="24"/>
              </w:rPr>
            </w:pPr>
            <w:r>
              <w:rPr>
                <w:rFonts w:ascii="Times New Roman"/>
                <w:color w:val="000000"/>
                <w:sz w:val="24"/>
                <w:szCs w:val="24"/>
              </w:rPr>
              <w:t>CH</w:t>
            </w:r>
            <w:r>
              <w:rPr>
                <w:rFonts w:ascii="Times New Roman"/>
                <w:color w:val="000000"/>
                <w:sz w:val="24"/>
                <w:szCs w:val="24"/>
                <w:vertAlign w:val="subscript"/>
              </w:rPr>
              <w:t>4</w:t>
            </w:r>
          </w:p>
        </w:tc>
        <w:tc>
          <w:tcPr>
            <w:tcW w:w="806" w:type="pct"/>
            <w:vAlign w:val="center"/>
          </w:tcPr>
          <w:p w14:paraId="637B42E3">
            <w:pPr>
              <w:pStyle w:val="22"/>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3" w:type="pct"/>
            <w:vAlign w:val="center"/>
          </w:tcPr>
          <w:p w14:paraId="615CC0C7">
            <w:pPr>
              <w:pStyle w:val="22"/>
              <w:widowControl w:val="0"/>
              <w:ind w:firstLine="0" w:firstLineChars="0"/>
              <w:jc w:val="center"/>
              <w:rPr>
                <w:rFonts w:ascii="Times New Roman"/>
                <w:color w:val="000000"/>
                <w:sz w:val="24"/>
                <w:szCs w:val="24"/>
              </w:rPr>
            </w:pPr>
            <w:r>
              <w:rPr>
                <w:rFonts w:ascii="Times New Roman"/>
                <w:color w:val="000000"/>
                <w:sz w:val="24"/>
                <w:szCs w:val="24"/>
              </w:rPr>
              <w:t>简化起见，排除</w:t>
            </w:r>
          </w:p>
        </w:tc>
      </w:tr>
      <w:tr w14:paraId="2E76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9" w:type="pct"/>
            <w:vMerge w:val="continue"/>
            <w:vAlign w:val="center"/>
          </w:tcPr>
          <w:p w14:paraId="0BF09485">
            <w:pPr>
              <w:pStyle w:val="22"/>
              <w:widowControl w:val="0"/>
              <w:ind w:firstLine="360"/>
              <w:jc w:val="center"/>
              <w:rPr>
                <w:rFonts w:ascii="Times New Roman"/>
                <w:color w:val="000000"/>
                <w:sz w:val="24"/>
                <w:szCs w:val="24"/>
              </w:rPr>
            </w:pPr>
          </w:p>
        </w:tc>
        <w:tc>
          <w:tcPr>
            <w:tcW w:w="1450" w:type="pct"/>
            <w:vMerge w:val="continue"/>
            <w:vAlign w:val="center"/>
          </w:tcPr>
          <w:p w14:paraId="14BB9F5B">
            <w:pPr>
              <w:pStyle w:val="22"/>
              <w:widowControl w:val="0"/>
              <w:ind w:firstLine="0" w:firstLineChars="0"/>
              <w:jc w:val="left"/>
              <w:rPr>
                <w:rFonts w:ascii="Times New Roman"/>
                <w:color w:val="000000"/>
                <w:sz w:val="24"/>
                <w:szCs w:val="24"/>
              </w:rPr>
            </w:pPr>
          </w:p>
        </w:tc>
        <w:tc>
          <w:tcPr>
            <w:tcW w:w="809" w:type="pct"/>
            <w:vAlign w:val="center"/>
          </w:tcPr>
          <w:p w14:paraId="3000D5E4">
            <w:pPr>
              <w:pStyle w:val="22"/>
              <w:widowControl w:val="0"/>
              <w:ind w:firstLine="0" w:firstLineChars="0"/>
              <w:jc w:val="center"/>
              <w:rPr>
                <w:rFonts w:ascii="Times New Roman"/>
                <w:color w:val="000000"/>
                <w:sz w:val="24"/>
                <w:szCs w:val="24"/>
              </w:rPr>
            </w:pPr>
            <w:r>
              <w:rPr>
                <w:rFonts w:ascii="Times New Roman"/>
                <w:color w:val="000000"/>
                <w:sz w:val="24"/>
                <w:szCs w:val="24"/>
              </w:rPr>
              <w:t>N</w:t>
            </w:r>
            <w:r>
              <w:rPr>
                <w:rFonts w:ascii="Times New Roman"/>
                <w:color w:val="000000"/>
                <w:sz w:val="24"/>
                <w:szCs w:val="24"/>
                <w:vertAlign w:val="subscript"/>
              </w:rPr>
              <w:t>2</w:t>
            </w:r>
            <w:r>
              <w:rPr>
                <w:rFonts w:ascii="Times New Roman"/>
                <w:color w:val="000000"/>
                <w:sz w:val="24"/>
                <w:szCs w:val="24"/>
              </w:rPr>
              <w:t>O</w:t>
            </w:r>
          </w:p>
        </w:tc>
        <w:tc>
          <w:tcPr>
            <w:tcW w:w="806" w:type="pct"/>
            <w:vAlign w:val="center"/>
          </w:tcPr>
          <w:p w14:paraId="77D74241">
            <w:pPr>
              <w:pStyle w:val="22"/>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3" w:type="pct"/>
            <w:vAlign w:val="center"/>
          </w:tcPr>
          <w:p w14:paraId="4FEE243F">
            <w:pPr>
              <w:pStyle w:val="22"/>
              <w:widowControl w:val="0"/>
              <w:ind w:firstLine="0" w:firstLineChars="0"/>
              <w:jc w:val="center"/>
              <w:rPr>
                <w:rFonts w:ascii="Times New Roman"/>
                <w:color w:val="000000"/>
                <w:sz w:val="24"/>
                <w:szCs w:val="24"/>
              </w:rPr>
            </w:pPr>
            <w:r>
              <w:rPr>
                <w:rFonts w:ascii="Times New Roman"/>
                <w:color w:val="000000"/>
                <w:sz w:val="24"/>
                <w:szCs w:val="24"/>
              </w:rPr>
              <w:t>简化起见，排除</w:t>
            </w:r>
          </w:p>
        </w:tc>
      </w:tr>
      <w:tr w14:paraId="007D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489" w:type="pct"/>
            <w:vMerge w:val="restart"/>
            <w:vAlign w:val="center"/>
          </w:tcPr>
          <w:p w14:paraId="1AD35EA8">
            <w:pPr>
              <w:pStyle w:val="22"/>
              <w:widowControl w:val="0"/>
              <w:ind w:firstLine="0" w:firstLineChars="0"/>
              <w:jc w:val="center"/>
              <w:rPr>
                <w:rFonts w:ascii="Times New Roman"/>
                <w:color w:val="000000"/>
                <w:sz w:val="24"/>
                <w:szCs w:val="24"/>
              </w:rPr>
            </w:pPr>
            <w:r>
              <w:rPr>
                <w:rFonts w:ascii="Times New Roman"/>
                <w:color w:val="000000"/>
                <w:sz w:val="24"/>
                <w:szCs w:val="24"/>
              </w:rPr>
              <w:t>基准线情景</w:t>
            </w:r>
          </w:p>
        </w:tc>
        <w:tc>
          <w:tcPr>
            <w:tcW w:w="1450" w:type="pct"/>
            <w:vMerge w:val="restart"/>
            <w:vAlign w:val="center"/>
          </w:tcPr>
          <w:p w14:paraId="0708327F">
            <w:pPr>
              <w:pStyle w:val="22"/>
              <w:widowControl w:val="0"/>
              <w:ind w:firstLine="0" w:firstLineChars="0"/>
              <w:jc w:val="center"/>
              <w:rPr>
                <w:rFonts w:ascii="Times New Roman"/>
                <w:color w:val="000000"/>
                <w:sz w:val="24"/>
                <w:szCs w:val="24"/>
              </w:rPr>
            </w:pPr>
            <w:r>
              <w:rPr>
                <w:rFonts w:ascii="Times New Roman"/>
                <w:color w:val="000000"/>
                <w:sz w:val="24"/>
                <w:szCs w:val="24"/>
              </w:rPr>
              <w:t>在没有</w:t>
            </w:r>
            <w:r>
              <w:rPr>
                <w:rFonts w:hint="eastAsia" w:ascii="Times New Roman"/>
                <w:color w:val="000000"/>
                <w:sz w:val="24"/>
                <w:szCs w:val="24"/>
                <w:lang w:val="en-US" w:eastAsia="zh-CN"/>
              </w:rPr>
              <w:t>场景设施</w:t>
            </w:r>
            <w:r>
              <w:rPr>
                <w:rFonts w:ascii="Times New Roman"/>
                <w:color w:val="000000"/>
                <w:sz w:val="24"/>
                <w:szCs w:val="24"/>
              </w:rPr>
              <w:t>的情况下，</w:t>
            </w:r>
            <w:r>
              <w:rPr>
                <w:rFonts w:hint="eastAsia" w:ascii="Times New Roman"/>
                <w:color w:val="000000"/>
                <w:sz w:val="24"/>
                <w:szCs w:val="24"/>
              </w:rPr>
              <w:t>电动车辆往返外部充电点行驶消耗电力产生的排放</w:t>
            </w:r>
          </w:p>
        </w:tc>
        <w:tc>
          <w:tcPr>
            <w:tcW w:w="809" w:type="pct"/>
            <w:vAlign w:val="center"/>
          </w:tcPr>
          <w:p w14:paraId="43891B17">
            <w:pPr>
              <w:pStyle w:val="22"/>
              <w:widowControl w:val="0"/>
              <w:ind w:firstLine="0" w:firstLineChars="0"/>
              <w:jc w:val="center"/>
              <w:rPr>
                <w:rFonts w:ascii="Times New Roman"/>
                <w:color w:val="000000"/>
                <w:sz w:val="24"/>
                <w:szCs w:val="24"/>
              </w:rPr>
            </w:pPr>
            <w:r>
              <w:rPr>
                <w:rFonts w:ascii="Times New Roman"/>
                <w:color w:val="000000"/>
                <w:sz w:val="24"/>
                <w:szCs w:val="24"/>
              </w:rPr>
              <w:t>CO</w:t>
            </w:r>
            <w:r>
              <w:rPr>
                <w:rFonts w:ascii="Times New Roman"/>
                <w:color w:val="000000"/>
                <w:sz w:val="24"/>
                <w:szCs w:val="24"/>
                <w:vertAlign w:val="subscript"/>
              </w:rPr>
              <w:t>2</w:t>
            </w:r>
          </w:p>
        </w:tc>
        <w:tc>
          <w:tcPr>
            <w:tcW w:w="806" w:type="pct"/>
            <w:vAlign w:val="center"/>
          </w:tcPr>
          <w:p w14:paraId="3F8E8105">
            <w:pPr>
              <w:pStyle w:val="22"/>
              <w:widowControl w:val="0"/>
              <w:ind w:firstLine="0" w:firstLineChars="0"/>
              <w:jc w:val="center"/>
              <w:rPr>
                <w:rFonts w:ascii="Times New Roman"/>
                <w:color w:val="000000"/>
                <w:sz w:val="24"/>
                <w:szCs w:val="24"/>
              </w:rPr>
            </w:pPr>
            <w:r>
              <w:rPr>
                <w:rFonts w:ascii="Times New Roman"/>
                <w:color w:val="000000"/>
                <w:sz w:val="24"/>
                <w:szCs w:val="24"/>
              </w:rPr>
              <w:t>是</w:t>
            </w:r>
          </w:p>
        </w:tc>
        <w:tc>
          <w:tcPr>
            <w:tcW w:w="1443" w:type="pct"/>
            <w:vAlign w:val="center"/>
          </w:tcPr>
          <w:p w14:paraId="078E6671">
            <w:pPr>
              <w:pStyle w:val="22"/>
              <w:widowControl w:val="0"/>
              <w:ind w:firstLine="0" w:firstLineChars="0"/>
              <w:jc w:val="center"/>
              <w:rPr>
                <w:rFonts w:ascii="Times New Roman"/>
                <w:color w:val="000000"/>
                <w:sz w:val="24"/>
                <w:szCs w:val="24"/>
              </w:rPr>
            </w:pPr>
            <w:r>
              <w:rPr>
                <w:rFonts w:ascii="Times New Roman"/>
                <w:color w:val="000000"/>
                <w:sz w:val="24"/>
                <w:szCs w:val="24"/>
              </w:rPr>
              <w:t>主要排放源</w:t>
            </w:r>
          </w:p>
        </w:tc>
      </w:tr>
      <w:tr w14:paraId="6863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9" w:type="pct"/>
            <w:vMerge w:val="continue"/>
            <w:vAlign w:val="center"/>
          </w:tcPr>
          <w:p w14:paraId="74D68AB0">
            <w:pPr>
              <w:pStyle w:val="22"/>
              <w:widowControl w:val="0"/>
              <w:ind w:firstLine="0" w:firstLineChars="0"/>
              <w:jc w:val="center"/>
              <w:rPr>
                <w:rFonts w:ascii="Times New Roman"/>
                <w:color w:val="000000"/>
                <w:sz w:val="24"/>
                <w:szCs w:val="24"/>
              </w:rPr>
            </w:pPr>
          </w:p>
        </w:tc>
        <w:tc>
          <w:tcPr>
            <w:tcW w:w="1450" w:type="pct"/>
            <w:vMerge w:val="continue"/>
            <w:vAlign w:val="center"/>
          </w:tcPr>
          <w:p w14:paraId="28BB993D">
            <w:pPr>
              <w:pStyle w:val="22"/>
              <w:widowControl w:val="0"/>
              <w:ind w:firstLine="0" w:firstLineChars="0"/>
              <w:jc w:val="center"/>
              <w:rPr>
                <w:rFonts w:ascii="Times New Roman"/>
                <w:color w:val="000000"/>
                <w:sz w:val="24"/>
                <w:szCs w:val="24"/>
              </w:rPr>
            </w:pPr>
          </w:p>
        </w:tc>
        <w:tc>
          <w:tcPr>
            <w:tcW w:w="809" w:type="pct"/>
            <w:vAlign w:val="center"/>
          </w:tcPr>
          <w:p w14:paraId="52830A0C">
            <w:pPr>
              <w:pStyle w:val="22"/>
              <w:widowControl w:val="0"/>
              <w:ind w:firstLine="0" w:firstLineChars="0"/>
              <w:jc w:val="center"/>
              <w:rPr>
                <w:rFonts w:ascii="Times New Roman"/>
                <w:color w:val="000000"/>
                <w:sz w:val="24"/>
                <w:szCs w:val="24"/>
              </w:rPr>
            </w:pPr>
            <w:r>
              <w:rPr>
                <w:rFonts w:ascii="Times New Roman"/>
                <w:color w:val="000000"/>
                <w:sz w:val="24"/>
                <w:szCs w:val="24"/>
              </w:rPr>
              <w:t>CH</w:t>
            </w:r>
            <w:r>
              <w:rPr>
                <w:rFonts w:ascii="Times New Roman"/>
                <w:color w:val="000000"/>
                <w:sz w:val="24"/>
                <w:szCs w:val="24"/>
                <w:vertAlign w:val="subscript"/>
              </w:rPr>
              <w:t>4</w:t>
            </w:r>
          </w:p>
        </w:tc>
        <w:tc>
          <w:tcPr>
            <w:tcW w:w="806" w:type="pct"/>
            <w:vAlign w:val="center"/>
          </w:tcPr>
          <w:p w14:paraId="780AC3DD">
            <w:pPr>
              <w:pStyle w:val="22"/>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3" w:type="pct"/>
            <w:vAlign w:val="center"/>
          </w:tcPr>
          <w:p w14:paraId="0DAA0D53">
            <w:pPr>
              <w:pStyle w:val="22"/>
              <w:widowControl w:val="0"/>
              <w:ind w:firstLine="0" w:firstLineChars="0"/>
              <w:jc w:val="center"/>
              <w:rPr>
                <w:rFonts w:ascii="Times New Roman"/>
                <w:color w:val="000000"/>
                <w:sz w:val="24"/>
                <w:szCs w:val="24"/>
              </w:rPr>
            </w:pPr>
            <w:r>
              <w:rPr>
                <w:rFonts w:ascii="Times New Roman"/>
                <w:color w:val="000000"/>
                <w:sz w:val="24"/>
                <w:szCs w:val="24"/>
              </w:rPr>
              <w:t>简化起见，排除，符合保守性原则</w:t>
            </w:r>
          </w:p>
        </w:tc>
      </w:tr>
      <w:tr w14:paraId="2B3D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9" w:type="pct"/>
            <w:vMerge w:val="continue"/>
            <w:vAlign w:val="center"/>
          </w:tcPr>
          <w:p w14:paraId="3DCAB5DA">
            <w:pPr>
              <w:pStyle w:val="22"/>
              <w:widowControl w:val="0"/>
              <w:ind w:firstLine="0" w:firstLineChars="0"/>
              <w:jc w:val="center"/>
              <w:rPr>
                <w:rFonts w:ascii="Times New Roman"/>
                <w:color w:val="000000"/>
                <w:sz w:val="24"/>
                <w:szCs w:val="24"/>
              </w:rPr>
            </w:pPr>
          </w:p>
        </w:tc>
        <w:tc>
          <w:tcPr>
            <w:tcW w:w="1450" w:type="pct"/>
            <w:vMerge w:val="continue"/>
            <w:vAlign w:val="center"/>
          </w:tcPr>
          <w:p w14:paraId="3A2A026F">
            <w:pPr>
              <w:pStyle w:val="22"/>
              <w:widowControl w:val="0"/>
              <w:ind w:firstLine="0" w:firstLineChars="0"/>
              <w:jc w:val="center"/>
              <w:rPr>
                <w:rFonts w:ascii="Times New Roman"/>
                <w:color w:val="000000"/>
                <w:sz w:val="24"/>
                <w:szCs w:val="24"/>
              </w:rPr>
            </w:pPr>
          </w:p>
        </w:tc>
        <w:tc>
          <w:tcPr>
            <w:tcW w:w="809" w:type="pct"/>
            <w:vAlign w:val="center"/>
          </w:tcPr>
          <w:p w14:paraId="7299B82C">
            <w:pPr>
              <w:pStyle w:val="22"/>
              <w:widowControl w:val="0"/>
              <w:ind w:firstLine="0" w:firstLineChars="0"/>
              <w:jc w:val="center"/>
              <w:rPr>
                <w:rFonts w:ascii="Times New Roman"/>
                <w:color w:val="000000"/>
                <w:sz w:val="24"/>
                <w:szCs w:val="24"/>
              </w:rPr>
            </w:pPr>
            <w:r>
              <w:rPr>
                <w:rFonts w:ascii="Times New Roman"/>
                <w:color w:val="000000"/>
                <w:sz w:val="24"/>
                <w:szCs w:val="24"/>
              </w:rPr>
              <w:t>N</w:t>
            </w:r>
            <w:r>
              <w:rPr>
                <w:rFonts w:ascii="Times New Roman"/>
                <w:color w:val="000000"/>
                <w:sz w:val="24"/>
                <w:szCs w:val="24"/>
                <w:vertAlign w:val="subscript"/>
              </w:rPr>
              <w:t>2</w:t>
            </w:r>
            <w:r>
              <w:rPr>
                <w:rFonts w:ascii="Times New Roman"/>
                <w:color w:val="000000"/>
                <w:sz w:val="24"/>
                <w:szCs w:val="24"/>
              </w:rPr>
              <w:t xml:space="preserve">O </w:t>
            </w:r>
          </w:p>
        </w:tc>
        <w:tc>
          <w:tcPr>
            <w:tcW w:w="806" w:type="pct"/>
            <w:vAlign w:val="center"/>
          </w:tcPr>
          <w:p w14:paraId="6591A8E1">
            <w:pPr>
              <w:pStyle w:val="22"/>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3" w:type="pct"/>
            <w:vAlign w:val="center"/>
          </w:tcPr>
          <w:p w14:paraId="6BC61626">
            <w:pPr>
              <w:pStyle w:val="22"/>
              <w:widowControl w:val="0"/>
              <w:ind w:firstLine="0" w:firstLineChars="0"/>
              <w:jc w:val="center"/>
              <w:rPr>
                <w:rFonts w:ascii="Times New Roman"/>
                <w:color w:val="000000"/>
                <w:sz w:val="24"/>
                <w:szCs w:val="24"/>
              </w:rPr>
            </w:pPr>
            <w:r>
              <w:rPr>
                <w:rFonts w:ascii="Times New Roman"/>
                <w:color w:val="000000"/>
                <w:sz w:val="24"/>
                <w:szCs w:val="24"/>
              </w:rPr>
              <w:t>简化起见，排除，符合保守性原则</w:t>
            </w:r>
          </w:p>
        </w:tc>
      </w:tr>
    </w:tbl>
    <w:p w14:paraId="4E05064D">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38" w:name="3.2"/>
      <w:bookmarkEnd w:id="38"/>
      <w:bookmarkStart w:id="39" w:name="_Toc8671"/>
      <w:bookmarkStart w:id="40" w:name="_Toc21023"/>
      <w:bookmarkStart w:id="41" w:name="_Toc32349"/>
      <w:bookmarkStart w:id="42" w:name="_Toc12354"/>
      <w:bookmarkStart w:id="43" w:name="_Toc20450"/>
      <w:bookmarkStart w:id="44" w:name="_Toc170134106"/>
      <w:r>
        <w:rPr>
          <w:rFonts w:hint="eastAsia" w:ascii="黑体" w:hAnsi="黑体" w:eastAsia="黑体" w:cs="黑体"/>
          <w:b w:val="0"/>
          <w:bCs w:val="0"/>
          <w:spacing w:val="-2"/>
          <w:w w:val="95"/>
          <w:kern w:val="0"/>
          <w:sz w:val="28"/>
          <w:szCs w:val="28"/>
          <w:lang w:val="en-US" w:eastAsia="zh-CN"/>
        </w:rPr>
        <w:t>减排量计算</w:t>
      </w:r>
      <w:bookmarkEnd w:id="39"/>
      <w:bookmarkEnd w:id="40"/>
      <w:bookmarkEnd w:id="41"/>
      <w:bookmarkEnd w:id="42"/>
      <w:bookmarkEnd w:id="43"/>
    </w:p>
    <w:p w14:paraId="1592B8B5">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en-US"/>
        </w:rPr>
      </w:pPr>
      <w:r>
        <w:rPr>
          <w:rFonts w:hint="eastAsia" w:cs="宋体"/>
          <w:b w:val="0"/>
          <w:bCs/>
          <w:spacing w:val="-5"/>
          <w:sz w:val="28"/>
          <w:szCs w:val="28"/>
          <w:lang w:val="en-US" w:eastAsia="zh-CN"/>
        </w:rPr>
        <w:t>7.1 基准线</w:t>
      </w:r>
      <w:bookmarkEnd w:id="44"/>
      <w:r>
        <w:rPr>
          <w:rFonts w:hint="eastAsia" w:cs="宋体"/>
          <w:b w:val="0"/>
          <w:bCs/>
          <w:spacing w:val="-5"/>
          <w:sz w:val="28"/>
          <w:szCs w:val="28"/>
          <w:lang w:val="en-US" w:eastAsia="zh-CN"/>
        </w:rPr>
        <w:t>情景识别</w:t>
      </w:r>
    </w:p>
    <w:p w14:paraId="38C4B7E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本文件规定的</w:t>
      </w:r>
      <w:r>
        <w:rPr>
          <w:rFonts w:hint="eastAsia" w:ascii="宋体" w:hAnsi="宋体" w:eastAsia="宋体" w:cs="宋体"/>
          <w:kern w:val="0"/>
          <w:sz w:val="28"/>
          <w:szCs w:val="28"/>
          <w:lang w:eastAsia="zh-CN"/>
        </w:rPr>
        <w:t>区街道（镇）</w:t>
      </w:r>
      <w:r>
        <w:rPr>
          <w:rFonts w:hint="eastAsia" w:ascii="宋体" w:hAnsi="宋体" w:eastAsia="宋体" w:cs="宋体"/>
          <w:kern w:val="0"/>
          <w:sz w:val="28"/>
          <w:szCs w:val="28"/>
        </w:rPr>
        <w:t>地区电动汽车充电设施</w:t>
      </w:r>
      <w:r>
        <w:rPr>
          <w:rFonts w:hint="eastAsia" w:ascii="宋体" w:hAnsi="宋体" w:eastAsia="宋体" w:cs="宋体"/>
          <w:kern w:val="0"/>
          <w:sz w:val="28"/>
          <w:szCs w:val="28"/>
          <w:lang w:eastAsia="zh-CN"/>
        </w:rPr>
        <w:t>场景</w:t>
      </w:r>
      <w:r>
        <w:rPr>
          <w:rFonts w:hint="eastAsia" w:ascii="宋体" w:hAnsi="宋体" w:eastAsia="宋体" w:cs="宋体"/>
          <w:kern w:val="0"/>
          <w:sz w:val="28"/>
          <w:szCs w:val="28"/>
        </w:rPr>
        <w:t>的基准线情景为：因</w:t>
      </w:r>
      <w:r>
        <w:rPr>
          <w:rFonts w:hint="eastAsia" w:ascii="宋体" w:hAnsi="宋体" w:eastAsia="宋体" w:cs="宋体"/>
          <w:kern w:val="0"/>
          <w:sz w:val="28"/>
          <w:szCs w:val="28"/>
          <w:lang w:eastAsia="zh-CN"/>
        </w:rPr>
        <w:t>区街道（镇）</w:t>
      </w:r>
      <w:r>
        <w:rPr>
          <w:rFonts w:hint="eastAsia" w:ascii="宋体" w:hAnsi="宋体" w:eastAsia="宋体" w:cs="宋体"/>
          <w:kern w:val="0"/>
          <w:sz w:val="28"/>
          <w:szCs w:val="28"/>
        </w:rPr>
        <w:t>充电设施匮乏，</w:t>
      </w:r>
      <w:r>
        <w:rPr>
          <w:rFonts w:hint="eastAsia" w:ascii="宋体" w:hAnsi="宋体" w:eastAsia="宋体" w:cs="宋体"/>
          <w:kern w:val="0"/>
          <w:sz w:val="28"/>
          <w:szCs w:val="28"/>
          <w:lang w:eastAsia="zh-CN"/>
        </w:rPr>
        <w:t>区域内电动车辆车主需要往返远距离外部点位完成补能，产生往返行驶碳排放</w:t>
      </w:r>
      <w:r>
        <w:rPr>
          <w:rFonts w:hint="eastAsia" w:ascii="宋体" w:hAnsi="宋体" w:eastAsia="宋体" w:cs="宋体"/>
          <w:kern w:val="0"/>
          <w:sz w:val="28"/>
          <w:szCs w:val="28"/>
        </w:rPr>
        <w:t>。</w:t>
      </w:r>
    </w:p>
    <w:p w14:paraId="6DCF923F">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bookmarkStart w:id="45" w:name="_Toc170134108"/>
      <w:r>
        <w:rPr>
          <w:rFonts w:hint="eastAsia" w:cs="宋体"/>
          <w:b w:val="0"/>
          <w:bCs/>
          <w:spacing w:val="-5"/>
          <w:sz w:val="28"/>
          <w:szCs w:val="28"/>
          <w:lang w:val="en-US" w:eastAsia="zh-CN"/>
        </w:rPr>
        <w:t>7.2 额外性</w:t>
      </w:r>
      <w:bookmarkEnd w:id="45"/>
      <w:r>
        <w:rPr>
          <w:rFonts w:hint="eastAsia" w:cs="宋体"/>
          <w:b w:val="0"/>
          <w:bCs/>
          <w:spacing w:val="-5"/>
          <w:sz w:val="28"/>
          <w:szCs w:val="28"/>
          <w:lang w:val="en-US" w:eastAsia="zh-CN"/>
        </w:rPr>
        <w:t>论证</w:t>
      </w:r>
    </w:p>
    <w:p w14:paraId="4F2A74B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lang w:eastAsia="zh-CN"/>
        </w:rPr>
        <w:t>区街道（镇）</w:t>
      </w:r>
      <w:r>
        <w:rPr>
          <w:rFonts w:hint="eastAsia" w:ascii="宋体" w:hAnsi="宋体" w:eastAsia="宋体" w:cs="宋体"/>
          <w:kern w:val="0"/>
          <w:sz w:val="28"/>
          <w:szCs w:val="28"/>
        </w:rPr>
        <w:t>地区人口分散，充电</w:t>
      </w:r>
      <w:r>
        <w:rPr>
          <w:rFonts w:hint="eastAsia" w:ascii="宋体" w:hAnsi="宋体" w:eastAsia="宋体" w:cs="宋体"/>
          <w:kern w:val="0"/>
          <w:sz w:val="28"/>
          <w:szCs w:val="28"/>
          <w:lang w:val="en-US" w:eastAsia="zh-CN"/>
        </w:rPr>
        <w:t>设施建设</w:t>
      </w:r>
      <w:r>
        <w:rPr>
          <w:rFonts w:hint="eastAsia" w:ascii="宋体" w:hAnsi="宋体" w:eastAsia="宋体" w:cs="宋体"/>
          <w:kern w:val="0"/>
          <w:sz w:val="28"/>
          <w:szCs w:val="28"/>
        </w:rPr>
        <w:t>投资成本高，充电运营商盈利困难，制约了</w:t>
      </w:r>
      <w:r>
        <w:rPr>
          <w:rFonts w:hint="eastAsia" w:ascii="宋体" w:hAnsi="宋体" w:eastAsia="宋体" w:cs="宋体"/>
          <w:kern w:val="0"/>
          <w:sz w:val="28"/>
          <w:szCs w:val="28"/>
          <w:lang w:eastAsia="zh-CN"/>
        </w:rPr>
        <w:t>区街道（镇）</w:t>
      </w:r>
      <w:r>
        <w:rPr>
          <w:rFonts w:hint="eastAsia" w:ascii="宋体" w:hAnsi="宋体" w:eastAsia="宋体" w:cs="宋体"/>
          <w:kern w:val="0"/>
          <w:sz w:val="28"/>
          <w:szCs w:val="28"/>
        </w:rPr>
        <w:t>地区新能源汽车消费潜力的释放。符合本文件适用条件的</w:t>
      </w:r>
      <w:r>
        <w:rPr>
          <w:rFonts w:hint="eastAsia" w:ascii="宋体" w:hAnsi="宋体" w:eastAsia="宋体" w:cs="宋体"/>
          <w:kern w:val="0"/>
          <w:sz w:val="28"/>
          <w:szCs w:val="28"/>
          <w:lang w:eastAsia="zh-CN"/>
        </w:rPr>
        <w:t>场景</w:t>
      </w:r>
      <w:r>
        <w:rPr>
          <w:rFonts w:hint="eastAsia" w:ascii="宋体" w:hAnsi="宋体" w:eastAsia="宋体" w:cs="宋体"/>
          <w:kern w:val="0"/>
          <w:sz w:val="28"/>
          <w:szCs w:val="28"/>
        </w:rPr>
        <w:t>，其额外性免予论证。</w:t>
      </w:r>
    </w:p>
    <w:p w14:paraId="2ACC9E2C">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bookmarkStart w:id="46" w:name="_Toc170134109"/>
      <w:bookmarkStart w:id="47" w:name="_Hlk170131968"/>
      <w:r>
        <w:rPr>
          <w:rFonts w:hint="eastAsia" w:cs="宋体"/>
          <w:b w:val="0"/>
          <w:bCs/>
          <w:spacing w:val="-5"/>
          <w:sz w:val="28"/>
          <w:szCs w:val="28"/>
          <w:lang w:val="en-US" w:eastAsia="zh-CN"/>
        </w:rPr>
        <w:t>7.3 基准线排放计算</w:t>
      </w:r>
      <w:bookmarkEnd w:id="46"/>
    </w:p>
    <w:bookmarkEnd w:id="47"/>
    <w:p w14:paraId="06DCC3F9">
      <w:pPr>
        <w:tabs>
          <w:tab w:val="left" w:pos="1269"/>
          <w:tab w:val="left" w:pos="1270"/>
        </w:tabs>
        <w:autoSpaceDE w:val="0"/>
        <w:autoSpaceDN w:val="0"/>
        <w:snapToGrid w:val="0"/>
        <w:spacing w:line="360" w:lineRule="auto"/>
        <w:ind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rPr>
        <w:t>基准线排放</w:t>
      </w:r>
      <w:r>
        <w:rPr>
          <w:rFonts w:hint="eastAsia" w:ascii="宋体" w:hAnsi="宋体" w:eastAsia="宋体" w:cs="宋体"/>
          <w:kern w:val="0"/>
          <w:sz w:val="28"/>
          <w:szCs w:val="28"/>
          <w:lang w:val="en-US" w:eastAsia="zh-CN"/>
        </w:rPr>
        <w:t>为在缺乏本地充电设施的情况下，用户为完成充电而往返行驶（单程超1.6公里）所产生的额外电力消耗对应的电力生产排放</w:t>
      </w:r>
      <w:r>
        <w:rPr>
          <w:rFonts w:hint="eastAsia" w:ascii="宋体" w:hAnsi="宋体" w:eastAsia="宋体" w:cs="宋体"/>
          <w:kern w:val="0"/>
          <w:sz w:val="28"/>
          <w:szCs w:val="28"/>
        </w:rPr>
        <w:t>。详细计算过程如下：</w:t>
      </w:r>
    </w:p>
    <w:p w14:paraId="5E56CD98">
      <w:pPr>
        <w:tabs>
          <w:tab w:val="left" w:pos="1269"/>
          <w:tab w:val="left" w:pos="1270"/>
        </w:tabs>
        <w:autoSpaceDE w:val="0"/>
        <w:autoSpaceDN w:val="0"/>
        <w:snapToGrid w:val="0"/>
        <w:spacing w:line="360" w:lineRule="auto"/>
        <w:jc w:val="right"/>
        <w:rPr>
          <w:rFonts w:hint="eastAsia" w:ascii="宋体" w:hAnsi="宋体" w:eastAsia="宋体" w:cs="宋体"/>
          <w:kern w:val="0"/>
          <w:sz w:val="28"/>
          <w:szCs w:val="28"/>
        </w:rPr>
      </w:pPr>
      <m:oMath>
        <m:r>
          <m:rPr/>
          <w:rPr>
            <w:rFonts w:hint="default" w:ascii="Cambria Math" w:hAnsi="Cambria Math" w:eastAsia="宋体" w:cs="宋体"/>
            <w:kern w:val="0"/>
            <w:sz w:val="28"/>
            <w:szCs w:val="28"/>
          </w:rPr>
          <m:t>B</m:t>
        </m:r>
        <m:sSub>
          <m:sSubPr>
            <m:ctrlPr>
              <w:rPr>
                <w:rFonts w:ascii="Cambria Math" w:hAnsi="Cambria Math" w:eastAsia="宋体" w:cs="宋体"/>
                <w:i/>
                <w:iCs w:val="0"/>
                <w:kern w:val="0"/>
                <w:sz w:val="28"/>
                <w:szCs w:val="28"/>
              </w:rPr>
            </m:ctrlPr>
          </m:sSubPr>
          <m:e>
            <m:r>
              <m:rPr/>
              <w:rPr>
                <w:rFonts w:hint="default" w:ascii="Cambria Math" w:hAnsi="Cambria Math" w:eastAsia="宋体" w:cs="宋体"/>
                <w:kern w:val="0"/>
                <w:sz w:val="28"/>
                <w:szCs w:val="28"/>
              </w:rPr>
              <m:t>E</m:t>
            </m:r>
            <m:ctrlPr>
              <w:rPr>
                <w:rFonts w:ascii="Cambria Math" w:hAnsi="Cambria Math" w:eastAsia="宋体" w:cs="宋体"/>
                <w:i/>
                <w:iCs w:val="0"/>
                <w:kern w:val="0"/>
                <w:sz w:val="28"/>
                <w:szCs w:val="28"/>
              </w:rPr>
            </m:ctrlPr>
          </m:e>
          <m:sub>
            <m:r>
              <m:rPr/>
              <w:rPr>
                <w:rFonts w:hint="default" w:ascii="Cambria Math" w:hAnsi="Cambria Math" w:eastAsia="宋体" w:cs="宋体"/>
                <w:kern w:val="0"/>
                <w:sz w:val="28"/>
                <w:szCs w:val="28"/>
                <w:lang w:val="en-US" w:eastAsia="zh-CN"/>
              </w:rPr>
              <m:t>y</m:t>
            </m:r>
            <m:ctrlPr>
              <w:rPr>
                <w:rFonts w:ascii="Cambria Math" w:hAnsi="Cambria Math" w:eastAsia="宋体" w:cs="宋体"/>
                <w:i/>
                <w:iCs w:val="0"/>
                <w:kern w:val="0"/>
                <w:sz w:val="28"/>
                <w:szCs w:val="28"/>
              </w:rPr>
            </m:ctrlPr>
          </m:sub>
        </m:sSub>
        <m:r>
          <m:rPr/>
          <w:rPr>
            <w:rFonts w:ascii="Cambria Math" w:hAnsi="Cambria Math" w:eastAsia="宋体" w:cs="宋体"/>
            <w:kern w:val="0"/>
            <w:sz w:val="28"/>
            <w:szCs w:val="28"/>
          </w:rPr>
          <m:t>=</m:t>
        </m:r>
        <m:nary>
          <m:naryPr>
            <m:chr m:val="∑"/>
            <m:limLoc m:val="undOvr"/>
            <m:supHide m:val="1"/>
            <m:ctrlPr>
              <w:rPr>
                <w:rFonts w:ascii="Cambria Math" w:hAnsi="Cambria Math" w:eastAsia="宋体" w:cs="宋体"/>
                <w:i/>
                <w:iCs w:val="0"/>
                <w:kern w:val="0"/>
                <w:sz w:val="28"/>
                <w:szCs w:val="28"/>
              </w:rPr>
            </m:ctrlPr>
          </m:naryPr>
          <m:sub>
            <m:r>
              <m:rPr/>
              <w:rPr>
                <w:rFonts w:hint="default" w:ascii="Cambria Math" w:hAnsi="Cambria Math" w:eastAsia="宋体" w:cs="宋体"/>
                <w:kern w:val="0"/>
                <w:sz w:val="28"/>
                <w:szCs w:val="28"/>
                <w:lang w:val="en-US" w:eastAsia="zh-CN"/>
              </w:rPr>
              <m:t>i</m:t>
            </m:r>
            <m:ctrlPr>
              <w:rPr>
                <w:rFonts w:ascii="Cambria Math" w:hAnsi="Cambria Math" w:eastAsia="宋体" w:cs="宋体"/>
                <w:i/>
                <w:iCs w:val="0"/>
                <w:kern w:val="0"/>
                <w:sz w:val="28"/>
                <w:szCs w:val="28"/>
              </w:rPr>
            </m:ctrlPr>
          </m:sub>
          <m:sup>
            <m:ctrlPr>
              <w:rPr>
                <w:rFonts w:ascii="Cambria Math" w:hAnsi="Cambria Math" w:eastAsia="宋体" w:cs="宋体"/>
                <w:i/>
                <w:iCs w:val="0"/>
                <w:kern w:val="0"/>
                <w:sz w:val="28"/>
                <w:szCs w:val="28"/>
              </w:rPr>
            </m:ctrlPr>
          </m:sup>
          <m:e>
            <m:sSub>
              <m:sSubPr>
                <m:ctrlPr>
                  <w:rPr>
                    <w:rFonts w:hint="default" w:ascii="Cambria Math" w:hAnsi="Cambria Math" w:eastAsia="宋体" w:cs="宋体"/>
                    <w:i/>
                    <w:iCs w:val="0"/>
                    <w:kern w:val="0"/>
                    <w:sz w:val="28"/>
                    <w:szCs w:val="28"/>
                    <w:lang w:val="en-US" w:eastAsia="zh-CN"/>
                  </w:rPr>
                </m:ctrlPr>
              </m:sSubPr>
              <m:e>
                <m:r>
                  <m:rPr/>
                  <w:rPr>
                    <w:rFonts w:hint="default" w:ascii="Cambria Math" w:hAnsi="Cambria Math" w:eastAsia="宋体" w:cs="宋体"/>
                    <w:kern w:val="0"/>
                    <w:sz w:val="28"/>
                    <w:szCs w:val="28"/>
                    <w:lang w:val="en-US" w:eastAsia="zh-CN"/>
                  </w:rPr>
                  <m:t>(N</m:t>
                </m:r>
                <m:ctrlPr>
                  <w:rPr>
                    <w:rFonts w:hint="default" w:ascii="Cambria Math" w:hAnsi="Cambria Math" w:eastAsia="宋体" w:cs="宋体"/>
                    <w:i/>
                    <w:iCs w:val="0"/>
                    <w:kern w:val="0"/>
                    <w:sz w:val="28"/>
                    <w:szCs w:val="28"/>
                    <w:lang w:val="en-US" w:eastAsia="zh-CN"/>
                  </w:rPr>
                </m:ctrlPr>
              </m:e>
              <m:sub>
                <m:r>
                  <m:rPr/>
                  <w:rPr>
                    <w:rFonts w:hint="default" w:ascii="Cambria Math" w:hAnsi="Cambria Math" w:eastAsia="宋体" w:cs="宋体"/>
                    <w:kern w:val="0"/>
                    <w:sz w:val="28"/>
                    <w:szCs w:val="28"/>
                    <w:lang w:val="en-US" w:eastAsia="zh-CN"/>
                  </w:rPr>
                  <m:t>y</m:t>
                </m:r>
                <m:ctrlPr>
                  <w:rPr>
                    <w:rFonts w:hint="default" w:ascii="Cambria Math" w:hAnsi="Cambria Math" w:eastAsia="宋体" w:cs="宋体"/>
                    <w:i/>
                    <w:iCs w:val="0"/>
                    <w:kern w:val="0"/>
                    <w:sz w:val="28"/>
                    <w:szCs w:val="28"/>
                    <w:lang w:val="en-US" w:eastAsia="zh-CN"/>
                  </w:rPr>
                </m:ctrlPr>
              </m:sub>
            </m:sSub>
            <m:r>
              <m:rPr/>
              <w:rPr>
                <w:rFonts w:hint="eastAsia" w:ascii="Cambria Math" w:hAnsi="Cambria Math" w:eastAsia="宋体" w:cs="宋体"/>
                <w:kern w:val="0"/>
                <w:sz w:val="28"/>
                <w:szCs w:val="28"/>
                <w:lang w:val="en-US" w:eastAsia="zh-CN"/>
              </w:rPr>
              <m:t>×</m:t>
            </m:r>
            <m:sSub>
              <m:sSubPr>
                <m:ctrlPr>
                  <w:rPr>
                    <w:rFonts w:hint="eastAsia" w:ascii="Cambria Math" w:hAnsi="Cambria Math" w:eastAsia="宋体" w:cs="宋体"/>
                    <w:i/>
                    <w:iCs w:val="0"/>
                    <w:kern w:val="0"/>
                    <w:sz w:val="28"/>
                    <w:szCs w:val="28"/>
                    <w:lang w:val="en-US" w:eastAsia="zh-CN"/>
                  </w:rPr>
                </m:ctrlPr>
              </m:sSubPr>
              <m:e>
                <m:r>
                  <m:rPr/>
                  <w:rPr>
                    <w:rFonts w:hint="default" w:ascii="Cambria Math" w:hAnsi="Cambria Math" w:eastAsia="宋体" w:cs="宋体"/>
                    <w:kern w:val="0"/>
                    <w:sz w:val="28"/>
                    <w:szCs w:val="28"/>
                    <w:lang w:val="en-US" w:eastAsia="zh-CN"/>
                  </w:rPr>
                  <m:t>D</m:t>
                </m:r>
                <m:ctrlPr>
                  <w:rPr>
                    <w:rFonts w:hint="eastAsia" w:ascii="Cambria Math" w:hAnsi="Cambria Math" w:eastAsia="宋体" w:cs="宋体"/>
                    <w:i/>
                    <w:iCs w:val="0"/>
                    <w:kern w:val="0"/>
                    <w:sz w:val="28"/>
                    <w:szCs w:val="28"/>
                    <w:lang w:val="en-US" w:eastAsia="zh-CN"/>
                  </w:rPr>
                </m:ctrlPr>
              </m:e>
              <m:sub>
                <m:r>
                  <m:rPr/>
                  <w:rPr>
                    <w:rFonts w:hint="default" w:ascii="Cambria Math" w:hAnsi="Cambria Math" w:eastAsia="宋体" w:cs="宋体"/>
                    <w:kern w:val="0"/>
                    <w:sz w:val="28"/>
                    <w:szCs w:val="28"/>
                    <w:lang w:val="en-US" w:eastAsia="zh-CN"/>
                  </w:rPr>
                  <m:t>BL</m:t>
                </m:r>
                <m:ctrlPr>
                  <w:rPr>
                    <w:rFonts w:hint="eastAsia" w:ascii="Cambria Math" w:hAnsi="Cambria Math" w:eastAsia="宋体" w:cs="宋体"/>
                    <w:i/>
                    <w:iCs w:val="0"/>
                    <w:kern w:val="0"/>
                    <w:sz w:val="28"/>
                    <w:szCs w:val="28"/>
                    <w:lang w:val="en-US" w:eastAsia="zh-CN"/>
                  </w:rPr>
                </m:ctrlPr>
              </m:sub>
            </m:sSub>
            <m:r>
              <m:rPr/>
              <w:rPr>
                <w:rFonts w:hint="eastAsia" w:ascii="Cambria Math" w:hAnsi="Cambria Math" w:eastAsia="宋体" w:cs="宋体"/>
                <w:kern w:val="0"/>
                <w:sz w:val="28"/>
                <w:szCs w:val="28"/>
                <w:lang w:val="en-US" w:eastAsia="zh-CN"/>
              </w:rPr>
              <m:t>×</m:t>
            </m:r>
            <m:sSub>
              <m:sSubPr>
                <m:ctrlPr>
                  <w:rPr>
                    <w:rFonts w:hint="eastAsia" w:ascii="Cambria Math" w:hAnsi="Cambria Math" w:eastAsia="宋体" w:cs="宋体"/>
                    <w:i/>
                    <w:iCs w:val="0"/>
                    <w:kern w:val="0"/>
                    <w:sz w:val="28"/>
                    <w:szCs w:val="28"/>
                    <w:lang w:val="en-US" w:eastAsia="zh-CN"/>
                  </w:rPr>
                </m:ctrlPr>
              </m:sSubPr>
              <m:e>
                <m:r>
                  <m:rPr/>
                  <w:rPr>
                    <w:rFonts w:hint="default" w:ascii="Cambria Math" w:hAnsi="Cambria Math" w:eastAsia="宋体" w:cs="宋体"/>
                    <w:kern w:val="0"/>
                    <w:sz w:val="28"/>
                    <w:szCs w:val="28"/>
                    <w:lang w:val="en-US" w:eastAsia="zh-CN"/>
                  </w:rPr>
                  <m:t>SFC</m:t>
                </m:r>
                <m:ctrlPr>
                  <w:rPr>
                    <w:rFonts w:hint="eastAsia" w:ascii="Cambria Math" w:hAnsi="Cambria Math" w:eastAsia="宋体" w:cs="宋体"/>
                    <w:i/>
                    <w:iCs w:val="0"/>
                    <w:kern w:val="0"/>
                    <w:sz w:val="28"/>
                    <w:szCs w:val="28"/>
                    <w:lang w:val="en-US" w:eastAsia="zh-CN"/>
                  </w:rPr>
                </m:ctrlPr>
              </m:e>
              <m:sub>
                <m:r>
                  <m:rPr/>
                  <w:rPr>
                    <w:rFonts w:hint="default" w:ascii="Cambria Math" w:hAnsi="Cambria Math" w:eastAsia="宋体" w:cs="宋体"/>
                    <w:kern w:val="0"/>
                    <w:sz w:val="28"/>
                    <w:szCs w:val="28"/>
                    <w:lang w:val="en-US" w:eastAsia="zh-CN"/>
                  </w:rPr>
                  <m:t>elec</m:t>
                </m:r>
                <m:ctrlPr>
                  <w:rPr>
                    <w:rFonts w:hint="eastAsia" w:ascii="Cambria Math" w:hAnsi="Cambria Math" w:eastAsia="宋体" w:cs="宋体"/>
                    <w:i/>
                    <w:iCs w:val="0"/>
                    <w:kern w:val="0"/>
                    <w:sz w:val="28"/>
                    <w:szCs w:val="28"/>
                    <w:lang w:val="en-US" w:eastAsia="zh-CN"/>
                  </w:rPr>
                </m:ctrlPr>
              </m:sub>
            </m:sSub>
            <m:ctrlPr>
              <w:rPr>
                <w:rFonts w:ascii="Cambria Math" w:hAnsi="Cambria Math" w:eastAsia="宋体" w:cs="宋体"/>
                <w:i/>
                <w:iCs w:val="0"/>
                <w:kern w:val="0"/>
                <w:sz w:val="28"/>
                <w:szCs w:val="28"/>
              </w:rPr>
            </m:ctrlPr>
          </m:e>
        </m:nary>
        <m:r>
          <m:rPr/>
          <w:rPr>
            <w:rFonts w:hint="eastAsia" w:ascii="Cambria Math" w:hAnsi="Cambria Math" w:eastAsia="宋体" w:cs="宋体"/>
            <w:kern w:val="0"/>
            <w:sz w:val="28"/>
            <w:szCs w:val="28"/>
            <w:lang w:val="en-US" w:eastAsia="zh-CN"/>
          </w:rPr>
          <m:t>×</m:t>
        </m:r>
        <m:sSub>
          <m:sSubPr>
            <m:ctrlPr>
              <w:rPr>
                <w:rFonts w:hint="eastAsia" w:ascii="Cambria Math" w:hAnsi="Cambria Math" w:eastAsia="宋体" w:cs="宋体"/>
                <w:i/>
                <w:iCs w:val="0"/>
                <w:kern w:val="0"/>
                <w:sz w:val="28"/>
                <w:szCs w:val="28"/>
                <w:lang w:val="en-US" w:eastAsia="zh-CN"/>
              </w:rPr>
            </m:ctrlPr>
          </m:sSubPr>
          <m:e>
            <m:r>
              <m:rPr/>
              <w:rPr>
                <w:rFonts w:hint="default" w:ascii="Cambria Math" w:hAnsi="Cambria Math" w:eastAsia="宋体" w:cs="宋体"/>
                <w:kern w:val="0"/>
                <w:sz w:val="28"/>
                <w:szCs w:val="28"/>
                <w:lang w:val="en-US" w:eastAsia="zh-CN"/>
              </w:rPr>
              <m:t>EF</m:t>
            </m:r>
            <m:ctrlPr>
              <w:rPr>
                <w:rFonts w:hint="eastAsia" w:ascii="Cambria Math" w:hAnsi="Cambria Math" w:eastAsia="宋体" w:cs="宋体"/>
                <w:i/>
                <w:iCs w:val="0"/>
                <w:kern w:val="0"/>
                <w:sz w:val="28"/>
                <w:szCs w:val="28"/>
                <w:lang w:val="en-US" w:eastAsia="zh-CN"/>
              </w:rPr>
            </m:ctrlPr>
          </m:e>
          <m:sub>
            <m:r>
              <m:rPr/>
              <w:rPr>
                <w:rFonts w:hint="default" w:ascii="Cambria Math" w:hAnsi="Cambria Math" w:eastAsia="宋体" w:cs="宋体"/>
                <w:kern w:val="0"/>
                <w:sz w:val="28"/>
                <w:szCs w:val="28"/>
                <w:lang w:val="en-US" w:eastAsia="zh-CN"/>
              </w:rPr>
              <m:t>grid,y</m:t>
            </m:r>
            <m:ctrlPr>
              <w:rPr>
                <w:rFonts w:hint="eastAsia" w:ascii="Cambria Math" w:hAnsi="Cambria Math" w:eastAsia="宋体" w:cs="宋体"/>
                <w:i/>
                <w:iCs w:val="0"/>
                <w:kern w:val="0"/>
                <w:sz w:val="28"/>
                <w:szCs w:val="28"/>
                <w:lang w:val="en-US" w:eastAsia="zh-CN"/>
              </w:rPr>
            </m:ctrlPr>
          </m:sub>
        </m:sSub>
        <m:r>
          <m:rPr/>
          <w:rPr>
            <w:rFonts w:hint="default" w:ascii="Cambria Math" w:hAnsi="Cambria Math" w:eastAsia="宋体" w:cs="宋体"/>
            <w:kern w:val="0"/>
            <w:sz w:val="28"/>
            <w:szCs w:val="28"/>
            <w:lang w:val="en-US" w:eastAsia="zh-CN"/>
          </w:rPr>
          <m:t>)</m:t>
        </m:r>
      </m:oMath>
      <w:r>
        <w:rPr>
          <w:rFonts w:ascii="宋体" w:hAnsi="宋体" w:eastAsia="宋体" w:cs="宋体"/>
          <w:kern w:val="0"/>
          <w:sz w:val="28"/>
          <w:szCs w:val="28"/>
        </w:rPr>
        <w:tab/>
      </w:r>
      <w:r>
        <w:rPr>
          <w:rFonts w:hint="eastAsia" w:ascii="宋体" w:hAnsi="宋体" w:eastAsia="宋体" w:cs="宋体"/>
          <w:kern w:val="0"/>
          <w:sz w:val="28"/>
          <w:szCs w:val="28"/>
          <w:lang w:val="en-US" w:eastAsia="zh-CN"/>
        </w:rPr>
        <w:t xml:space="preserve">    </w:t>
      </w:r>
      <w:r>
        <w:rPr>
          <w:rFonts w:ascii="宋体" w:hAnsi="宋体" w:eastAsia="宋体" w:cs="宋体"/>
          <w:kern w:val="0"/>
          <w:sz w:val="28"/>
          <w:szCs w:val="28"/>
        </w:rPr>
        <w:tab/>
      </w:r>
      <w:r>
        <w:rPr>
          <w:rFonts w:hint="eastAsia" w:ascii="宋体" w:hAnsi="宋体" w:eastAsia="宋体" w:cs="宋体"/>
          <w:kern w:val="0"/>
          <w:sz w:val="28"/>
          <w:szCs w:val="28"/>
          <w:lang w:eastAsia="zh-CN"/>
        </w:rPr>
        <w:t>(1)</w:t>
      </w:r>
    </w:p>
    <w:p w14:paraId="431A2B84">
      <w:pPr>
        <w:tabs>
          <w:tab w:val="left" w:pos="1269"/>
          <w:tab w:val="left" w:pos="1270"/>
        </w:tabs>
        <w:autoSpaceDE w:val="0"/>
        <w:autoSpaceDN w:val="0"/>
        <w:snapToGrid w:val="0"/>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其中：</w:t>
      </w:r>
    </w:p>
    <w:p w14:paraId="64D7762C">
      <w:pPr>
        <w:tabs>
          <w:tab w:val="left" w:pos="1269"/>
          <w:tab w:val="left" w:pos="1270"/>
        </w:tabs>
        <w:autoSpaceDE w:val="0"/>
        <w:autoSpaceDN w:val="0"/>
        <w:snapToGrid w:val="0"/>
        <w:spacing w:line="360" w:lineRule="auto"/>
        <w:rPr>
          <w:rFonts w:hint="eastAsia" w:ascii="宋体" w:hAnsi="宋体" w:eastAsia="宋体" w:cs="宋体"/>
          <w:kern w:val="0"/>
          <w:sz w:val="28"/>
          <w:szCs w:val="28"/>
          <w:lang w:val="en-US" w:eastAsia="zh-CN"/>
        </w:rPr>
      </w:pPr>
      <m:oMath>
        <m:r>
          <m:rPr/>
          <w:rPr>
            <w:rFonts w:hint="default" w:ascii="Cambria Math" w:hAnsi="Cambria Math"/>
            <w:sz w:val="28"/>
          </w:rPr>
          <m:t>B</m:t>
        </m:r>
        <m:sSub>
          <m:sSubPr>
            <m:ctrlPr>
              <w:rPr>
                <w:rFonts w:hint="default" w:ascii="Cambria Math" w:hAnsi="Cambria Math"/>
                <w:sz w:val="28"/>
              </w:rPr>
            </m:ctrlPr>
          </m:sSubPr>
          <m:e>
            <m:r>
              <m:rPr/>
              <w:rPr>
                <w:rFonts w:hint="default" w:ascii="Cambria Math" w:hAnsi="Cambria Math"/>
                <w:sz w:val="28"/>
              </w:rPr>
              <m:t>E</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oMath>
      <w:r>
        <w:rPr>
          <w:rFonts w:ascii="宋体" w:hAnsi="宋体" w:eastAsia="宋体" w:cs="宋体"/>
          <w:kern w:val="0"/>
          <w:sz w:val="28"/>
          <w:szCs w:val="28"/>
        </w:rPr>
        <w:tab/>
      </w:r>
      <w:r>
        <w:rPr>
          <w:rFonts w:hint="default" w:ascii="Times New Roman" w:hAnsi="Times New Roman" w:eastAsia="宋体" w:cs="Times New Roman"/>
          <w:kern w:val="0"/>
          <w:sz w:val="28"/>
          <w:szCs w:val="28"/>
          <w:lang w:val="en-US" w:eastAsia="zh-CN"/>
        </w:rPr>
        <w:t>第</w:t>
      </w:r>
      <w:r>
        <w:rPr>
          <w:rFonts w:hint="eastAsia" w:ascii="Times New Roman" w:hAnsi="Times New Roman" w:eastAsia="宋体" w:cs="Times New Roman"/>
          <w:kern w:val="0"/>
          <w:sz w:val="28"/>
          <w:szCs w:val="28"/>
          <w:lang w:val="en-US" w:eastAsia="zh-CN"/>
        </w:rPr>
        <w:t xml:space="preserve"> </w:t>
      </w:r>
      <w:r>
        <w:rPr>
          <w:rFonts w:hint="eastAsia" w:ascii="Times New Roman" w:hAnsi="Times New Roman" w:eastAsia="宋体" w:cstheme="minorBidi"/>
          <w:i/>
          <w:iCs/>
          <w:kern w:val="2"/>
          <w:sz w:val="28"/>
          <w:szCs w:val="28"/>
          <w:lang w:val="en-US" w:eastAsia="zh-CN"/>
        </w:rPr>
        <w:t>y</w:t>
      </w:r>
      <w:r>
        <w:rPr>
          <w:rFonts w:hint="eastAsia" w:ascii="Times New Roman" w:hAnsi="Times New Roman" w:eastAsia="宋体" w:cs="Times New Roman"/>
          <w:kern w:val="0"/>
          <w:sz w:val="28"/>
          <w:szCs w:val="28"/>
          <w:lang w:val="en-US" w:eastAsia="zh-CN"/>
        </w:rPr>
        <w:t xml:space="preserve"> </w:t>
      </w:r>
      <w:r>
        <w:rPr>
          <w:rFonts w:hint="default" w:ascii="Times New Roman" w:hAnsi="Times New Roman" w:eastAsia="宋体" w:cs="Times New Roman"/>
          <w:kern w:val="0"/>
          <w:sz w:val="28"/>
          <w:szCs w:val="28"/>
          <w:lang w:val="en-US" w:eastAsia="zh-CN"/>
        </w:rPr>
        <w:t>年基线排放量，kg</w:t>
      </w:r>
      <w:r>
        <w:rPr>
          <w:rFonts w:hint="default" w:ascii="Times New Roman" w:hAnsi="Times New Roman" w:eastAsia="宋体" w:cs="Times New Roman"/>
          <w:kern w:val="0"/>
          <w:sz w:val="28"/>
          <w:szCs w:val="28"/>
        </w:rPr>
        <w:t>C</w:t>
      </w:r>
      <w:r>
        <w:rPr>
          <w:rFonts w:hint="eastAsia" w:ascii="Times New Roman" w:hAnsi="Times New Roman" w:eastAsia="宋体" w:cs="宋体"/>
          <w:kern w:val="0"/>
          <w:sz w:val="28"/>
          <w:szCs w:val="28"/>
        </w:rPr>
        <w:t>O</w:t>
      </w:r>
      <w:r>
        <w:rPr>
          <w:rFonts w:hint="eastAsia" w:ascii="Times New Roman" w:hAnsi="Times New Roman" w:eastAsia="宋体" w:cs="宋体"/>
          <w:kern w:val="0"/>
          <w:sz w:val="28"/>
          <w:szCs w:val="28"/>
          <w:vertAlign w:val="subscript"/>
        </w:rPr>
        <w:t>2</w:t>
      </w:r>
      <w:r>
        <w:rPr>
          <w:rFonts w:hint="eastAsia" w:ascii="宋体" w:hAnsi="宋体" w:eastAsia="宋体" w:cs="宋体"/>
          <w:kern w:val="0"/>
          <w:sz w:val="28"/>
          <w:szCs w:val="28"/>
          <w:lang w:eastAsia="zh-CN"/>
        </w:rPr>
        <w:t>；</w:t>
      </w:r>
    </w:p>
    <w:p w14:paraId="38DD7523">
      <w:pPr>
        <w:tabs>
          <w:tab w:val="left" w:pos="1269"/>
          <w:tab w:val="left" w:pos="1270"/>
        </w:tabs>
        <w:autoSpaceDE w:val="0"/>
        <w:autoSpaceDN w:val="0"/>
        <w:snapToGrid w:val="0"/>
        <w:spacing w:line="360" w:lineRule="auto"/>
        <w:rPr>
          <w:rFonts w:hint="eastAsia" w:ascii="宋体" w:hAnsi="宋体" w:eastAsia="宋体"/>
          <w:i w:val="0"/>
          <w:iCs w:val="0"/>
          <w:sz w:val="28"/>
          <w:szCs w:val="28"/>
        </w:rPr>
      </w:pPr>
      <m:oMath>
        <m:sSub>
          <m:sSubPr>
            <m:ctrlPr>
              <w:rPr>
                <w:rFonts w:hint="default" w:ascii="Cambria Math" w:hAnsi="Cambria Math"/>
                <w:i/>
                <w:sz w:val="28"/>
                <w:lang w:val="en-US"/>
              </w:rPr>
            </m:ctrlPr>
          </m:sSubPr>
          <m:e>
            <m:r>
              <m:rPr/>
              <w:rPr>
                <w:rFonts w:hint="default" w:ascii="Cambria Math" w:hAnsi="Cambria Math"/>
                <w:sz w:val="28"/>
                <w:lang w:val="en-US" w:eastAsia="zh-CN"/>
              </w:rPr>
              <m:t>N</m:t>
            </m:r>
            <m:ctrlPr>
              <w:rPr>
                <w:rFonts w:hint="default" w:ascii="Cambria Math" w:hAnsi="Cambria Math"/>
                <w:i/>
                <w:sz w:val="28"/>
                <w:lang w:val="en-US"/>
              </w:rPr>
            </m:ctrlPr>
          </m:e>
          <m:sub>
            <m:r>
              <m:rPr/>
              <w:rPr>
                <w:rFonts w:hint="default" w:ascii="Cambria Math" w:hAnsi="Cambria Math"/>
                <w:sz w:val="28"/>
                <w:lang w:val="en-US" w:eastAsia="zh-CN"/>
              </w:rPr>
              <m:t>y</m:t>
            </m:r>
            <m:ctrlPr>
              <w:rPr>
                <w:rFonts w:hint="default" w:ascii="Cambria Math" w:hAnsi="Cambria Math"/>
                <w:i/>
                <w:sz w:val="28"/>
                <w:lang w:val="en-US"/>
              </w:rPr>
            </m:ctrlPr>
          </m:sub>
        </m:sSub>
      </m:oMath>
      <w:r>
        <w:rPr>
          <w:rFonts w:ascii="宋体" w:hAnsi="宋体" w:eastAsia="宋体"/>
          <w:sz w:val="28"/>
          <w:szCs w:val="28"/>
        </w:rPr>
        <w:tab/>
      </w:r>
      <w:r>
        <w:rPr>
          <w:rFonts w:hint="eastAsia" w:ascii="Times New Roman" w:hAnsi="Times New Roman" w:eastAsia="宋体"/>
          <w:i w:val="0"/>
          <w:iCs w:val="0"/>
          <w:sz w:val="28"/>
          <w:szCs w:val="28"/>
        </w:rPr>
        <w:t>第</w:t>
      </w:r>
      <w:r>
        <w:rPr>
          <w:rFonts w:hint="eastAsia" w:ascii="Times New Roman" w:hAnsi="Times New Roman" w:eastAsia="宋体"/>
          <w:i w:val="0"/>
          <w:iCs w:val="0"/>
          <w:sz w:val="28"/>
          <w:szCs w:val="28"/>
          <w:lang w:val="en-US" w:eastAsia="zh-CN"/>
        </w:rPr>
        <w:t xml:space="preserve"> </w:t>
      </w:r>
      <w:r>
        <w:rPr>
          <w:rFonts w:hint="eastAsia" w:ascii="Times New Roman" w:hAnsi="Times New Roman" w:eastAsia="宋体"/>
          <w:i/>
          <w:iCs/>
          <w:sz w:val="28"/>
          <w:szCs w:val="28"/>
        </w:rPr>
        <w:t>y</w:t>
      </w:r>
      <w:r>
        <w:rPr>
          <w:rFonts w:hint="eastAsia" w:ascii="Times New Roman" w:hAnsi="Times New Roman" w:eastAsia="宋体"/>
          <w:i w:val="0"/>
          <w:iCs w:val="0"/>
          <w:sz w:val="28"/>
          <w:szCs w:val="28"/>
          <w:lang w:val="en-US" w:eastAsia="zh-CN"/>
        </w:rPr>
        <w:t xml:space="preserve"> </w:t>
      </w:r>
      <w:r>
        <w:rPr>
          <w:rFonts w:hint="eastAsia" w:ascii="Times New Roman" w:hAnsi="Times New Roman" w:eastAsia="宋体"/>
          <w:i w:val="0"/>
          <w:iCs w:val="0"/>
          <w:sz w:val="28"/>
          <w:szCs w:val="28"/>
        </w:rPr>
        <w:t>年</w:t>
      </w:r>
      <w:r>
        <w:rPr>
          <w:rFonts w:hint="eastAsia" w:ascii="Times New Roman" w:hAnsi="Times New Roman" w:eastAsia="宋体"/>
          <w:i w:val="0"/>
          <w:iCs w:val="0"/>
          <w:sz w:val="28"/>
          <w:szCs w:val="28"/>
          <w:lang w:val="en-US" w:eastAsia="zh-CN"/>
        </w:rPr>
        <w:t>使用本地充电设施的类型的车辆充电次数，次</w:t>
      </w:r>
      <w:r>
        <w:rPr>
          <w:rFonts w:hint="eastAsia" w:ascii="Times New Roman" w:hAnsi="Times New Roman" w:eastAsia="宋体"/>
          <w:i w:val="0"/>
          <w:iCs w:val="0"/>
          <w:sz w:val="28"/>
          <w:szCs w:val="28"/>
        </w:rPr>
        <w:t>；</w:t>
      </w:r>
    </w:p>
    <w:p w14:paraId="22E3A2EC">
      <w:pPr>
        <w:tabs>
          <w:tab w:val="left" w:pos="1269"/>
          <w:tab w:val="left" w:pos="1270"/>
        </w:tabs>
        <w:autoSpaceDE w:val="0"/>
        <w:autoSpaceDN w:val="0"/>
        <w:snapToGrid w:val="0"/>
        <w:spacing w:line="360" w:lineRule="auto"/>
        <w:rPr>
          <w:rFonts w:hint="eastAsia" w:ascii="宋体" w:hAnsi="宋体" w:eastAsia="宋体"/>
          <w:sz w:val="28"/>
          <w:szCs w:val="28"/>
        </w:rPr>
      </w:pPr>
      <m:oMath>
        <m:sSub>
          <m:sSubPr>
            <m:ctrlPr>
              <w:rPr>
                <w:rFonts w:hint="default" w:ascii="Cambria Math" w:hAnsi="Cambria Math"/>
                <w:i/>
                <w:iCs/>
                <w:sz w:val="28"/>
                <w:lang w:val="en-US"/>
              </w:rPr>
            </m:ctrlPr>
          </m:sSubPr>
          <m:e>
            <m:r>
              <m:rPr/>
              <w:rPr>
                <w:rFonts w:hint="default" w:ascii="Cambria Math" w:hAnsi="Cambria Math"/>
                <w:sz w:val="28"/>
                <w:lang w:val="en-US" w:eastAsia="zh-CN"/>
              </w:rPr>
              <m:t>D</m:t>
            </m:r>
            <m:ctrlPr>
              <w:rPr>
                <w:rFonts w:hint="default" w:ascii="Cambria Math" w:hAnsi="Cambria Math"/>
                <w:i/>
                <w:iCs/>
                <w:sz w:val="28"/>
                <w:lang w:val="en-US"/>
              </w:rPr>
            </m:ctrlPr>
          </m:e>
          <m:sub>
            <m:r>
              <m:rPr/>
              <w:rPr>
                <w:rFonts w:hint="default" w:ascii="Cambria Math" w:hAnsi="Cambria Math"/>
                <w:sz w:val="28"/>
                <w:lang w:val="en-US" w:eastAsia="zh-CN"/>
              </w:rPr>
              <m:t>BL</m:t>
            </m:r>
            <m:ctrlPr>
              <w:rPr>
                <w:rFonts w:hint="default" w:ascii="Cambria Math" w:hAnsi="Cambria Math"/>
                <w:i/>
                <w:iCs/>
                <w:sz w:val="28"/>
                <w:lang w:val="en-US"/>
              </w:rPr>
            </m:ctrlPr>
          </m:sub>
        </m:sSub>
      </m:oMath>
      <w:r>
        <w:rPr>
          <w:rFonts w:ascii="宋体" w:hAnsi="宋体" w:eastAsia="宋体"/>
          <w:i/>
          <w:iCs/>
          <w:position w:val="-4"/>
          <w:sz w:val="28"/>
          <w:szCs w:val="28"/>
        </w:rPr>
        <w:object>
          <v:shape id="_x0000_i1025" o:spt="75" type="#_x0000_t75" style="height:14.25pt;width:9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hint="default" w:ascii="Times New Roman" w:hAnsi="Times New Roman" w:eastAsia="宋体" w:cs="Times New Roman"/>
          <w:sz w:val="28"/>
          <w:szCs w:val="28"/>
        </w:rPr>
        <w:tab/>
      </w:r>
      <w:r>
        <w:rPr>
          <w:rFonts w:hint="eastAsia" w:ascii="Times New Roman" w:hAnsi="Times New Roman" w:eastAsia="宋体" w:cs="Times New Roman"/>
          <w:sz w:val="28"/>
          <w:szCs w:val="28"/>
          <w:lang w:val="en-US" w:eastAsia="zh-CN"/>
        </w:rPr>
        <w:t>基准车辆往返充电距离，km/次；默认值3.2km/次（单程1.6km）</w:t>
      </w:r>
      <w:r>
        <w:rPr>
          <w:rFonts w:hint="default" w:ascii="Times New Roman" w:hAnsi="Times New Roman" w:eastAsia="宋体" w:cs="Times New Roman"/>
          <w:sz w:val="28"/>
          <w:szCs w:val="28"/>
        </w:rPr>
        <w:t>；</w:t>
      </w:r>
    </w:p>
    <w:p w14:paraId="11EDFE18">
      <w:pPr>
        <w:tabs>
          <w:tab w:val="left" w:pos="1269"/>
          <w:tab w:val="left" w:pos="1270"/>
        </w:tabs>
        <w:autoSpaceDE w:val="0"/>
        <w:autoSpaceDN w:val="0"/>
        <w:snapToGrid w:val="0"/>
        <w:spacing w:line="360" w:lineRule="auto"/>
        <w:rPr>
          <w:rFonts w:hint="eastAsia" w:ascii="Times New Roman" w:hAnsi="Times New Roman" w:eastAsia="宋体" w:cs="Times New Roman"/>
          <w:sz w:val="28"/>
          <w:szCs w:val="28"/>
          <w:lang w:eastAsia="zh-CN"/>
        </w:rPr>
      </w:pPr>
      <m:oMath>
        <m:sSub>
          <m:sSubPr>
            <m:ctrlPr>
              <w:rPr>
                <w:rFonts w:hint="default" w:ascii="Cambria Math" w:hAnsi="Cambria Math"/>
                <w:sz w:val="28"/>
              </w:rPr>
            </m:ctrlPr>
          </m:sSubPr>
          <m:e>
            <m:r>
              <m:rPr/>
              <w:rPr>
                <w:rFonts w:hint="default" w:ascii="Cambria Math" w:hAnsi="Cambria Math"/>
                <w:sz w:val="28"/>
                <w:lang w:val="en-US" w:eastAsia="zh-CN"/>
              </w:rPr>
              <m:t>SFC</m:t>
            </m:r>
            <m:ctrlPr>
              <w:rPr>
                <w:rFonts w:ascii="Cambria Math" w:hAnsi="Cambria Math"/>
                <w:sz w:val="28"/>
              </w:rPr>
            </m:ctrlPr>
          </m:e>
          <m:sub>
            <m:r>
              <m:rPr/>
              <w:rPr>
                <w:rFonts w:hint="default" w:ascii="Cambria Math" w:hAnsi="Cambria Math"/>
                <w:sz w:val="28"/>
                <w:lang w:val="en-US" w:eastAsia="zh-CN"/>
              </w:rPr>
              <m:t>elec</m:t>
            </m:r>
            <m:ctrlPr>
              <w:rPr>
                <w:rFonts w:ascii="Cambria Math" w:hAnsi="Cambria Math"/>
                <w:sz w:val="28"/>
              </w:rPr>
            </m:ctrlPr>
          </m:sub>
        </m:sSub>
      </m:oMath>
      <w:r>
        <w:rPr>
          <w:rFonts w:ascii="宋体" w:hAnsi="宋体" w:eastAsia="宋体"/>
          <w:sz w:val="28"/>
          <w:szCs w:val="28"/>
        </w:rPr>
        <w:tab/>
      </w:r>
      <w:r>
        <w:rPr>
          <w:rFonts w:hint="eastAsia" w:ascii="Times New Roman" w:hAnsi="Times New Roman" w:eastAsia="宋体" w:cs="Times New Roman"/>
          <w:sz w:val="28"/>
          <w:szCs w:val="28"/>
          <w:lang w:val="en-US" w:eastAsia="zh-CN"/>
        </w:rPr>
        <w:t>电动汽车单位里程平均电力消耗</w:t>
      </w:r>
      <w:r>
        <w:rPr>
          <w:rFonts w:hint="eastAsia" w:ascii="Times New Roman" w:hAnsi="Times New Roman" w:eastAsia="宋体" w:cs="Times New Roman"/>
          <w:sz w:val="28"/>
          <w:szCs w:val="28"/>
          <w:lang w:eastAsia="zh-CN"/>
        </w:rPr>
        <w:t>，</w:t>
      </w:r>
      <w:r>
        <w:rPr>
          <w:rFonts w:hint="default" w:ascii="Times New Roman" w:hAnsi="Times New Roman" w:eastAsia="宋体" w:cs="Times New Roman"/>
          <w:sz w:val="28"/>
          <w:szCs w:val="28"/>
        </w:rPr>
        <w:t>kWh/km</w:t>
      </w:r>
      <w:r>
        <w:rPr>
          <w:rFonts w:hint="eastAsia" w:ascii="Times New Roman" w:hAnsi="Times New Roman" w:eastAsia="宋体" w:cs="Times New Roman"/>
          <w:sz w:val="28"/>
          <w:szCs w:val="28"/>
          <w:lang w:eastAsia="zh-CN"/>
        </w:rPr>
        <w:t>；</w:t>
      </w:r>
    </w:p>
    <w:p w14:paraId="712F7B8D">
      <w:pPr>
        <w:tabs>
          <w:tab w:val="left" w:pos="1269"/>
          <w:tab w:val="left" w:pos="1270"/>
        </w:tabs>
        <w:autoSpaceDE w:val="0"/>
        <w:autoSpaceDN w:val="0"/>
        <w:snapToGrid w:val="0"/>
        <w:spacing w:line="360" w:lineRule="auto"/>
        <w:rPr>
          <w:rFonts w:hint="eastAsia" w:ascii="宋体" w:hAnsi="宋体" w:eastAsia="宋体"/>
          <w:sz w:val="28"/>
          <w:szCs w:val="28"/>
        </w:rPr>
      </w:pPr>
      <m:oMath>
        <m:r>
          <m:rPr/>
          <w:rPr>
            <w:rFonts w:hint="default" w:ascii="Cambria Math" w:hAnsi="Cambria Math"/>
            <w:sz w:val="28"/>
          </w:rPr>
          <m:t>E</m:t>
        </m:r>
        <m:sSub>
          <m:sSubPr>
            <m:ctrlPr>
              <w:rPr>
                <w:rFonts w:hint="default" w:ascii="Cambria Math" w:hAnsi="Cambria Math"/>
                <w:sz w:val="28"/>
              </w:rPr>
            </m:ctrlPr>
          </m:sSubPr>
          <m:e>
            <m:r>
              <m:rPr/>
              <w:rPr>
                <w:rFonts w:hint="default" w:ascii="Cambria Math" w:hAnsi="Cambria Math"/>
                <w:sz w:val="28"/>
              </w:rPr>
              <m:t>F</m:t>
            </m:r>
            <m:ctrlPr>
              <w:rPr>
                <w:rFonts w:ascii="Cambria Math" w:hAnsi="Cambria Math"/>
                <w:sz w:val="28"/>
              </w:rPr>
            </m:ctrlPr>
          </m:e>
          <m:sub>
            <m:r>
              <m:rPr/>
              <w:rPr>
                <w:rFonts w:hint="default" w:ascii="Cambria Math" w:hAnsi="Cambria Math"/>
                <w:sz w:val="28"/>
                <w:lang w:val="en-US" w:eastAsia="zh-CN"/>
              </w:rPr>
              <m:t>grid,y</m:t>
            </m:r>
            <m:ctrlPr>
              <w:rPr>
                <w:rFonts w:ascii="Cambria Math" w:hAnsi="Cambria Math"/>
                <w:sz w:val="28"/>
              </w:rPr>
            </m:ctrlPr>
          </m:sub>
        </m:sSub>
      </m:oMath>
      <w:r>
        <w:rPr>
          <w:rFonts w:ascii="Times New Roman" w:hAnsi="Times New Roman" w:eastAsia="宋体" w:cs="Times New Roman"/>
          <w:kern w:val="0"/>
          <w:sz w:val="28"/>
          <w:szCs w:val="28"/>
        </w:rPr>
        <w:tab/>
      </w:r>
      <w:r>
        <w:rPr>
          <w:rFonts w:hint="eastAsia" w:ascii="Times New Roman" w:hAnsi="Times New Roman" w:eastAsia="宋体" w:cs="Times New Roman"/>
          <w:kern w:val="0"/>
          <w:sz w:val="28"/>
          <w:szCs w:val="28"/>
          <w:lang w:val="en-US" w:eastAsia="zh-CN"/>
        </w:rPr>
        <w:t xml:space="preserve">第 </w:t>
      </w:r>
      <w:r>
        <w:rPr>
          <w:rFonts w:hint="eastAsia" w:ascii="Times New Roman" w:hAnsi="Times New Roman" w:eastAsia="宋体" w:cs="Times New Roman"/>
          <w:i/>
          <w:iCs/>
          <w:kern w:val="0"/>
          <w:sz w:val="28"/>
          <w:szCs w:val="28"/>
          <w:lang w:val="en-US" w:eastAsia="zh-CN"/>
        </w:rPr>
        <w:t>y</w:t>
      </w:r>
      <w:r>
        <w:rPr>
          <w:rFonts w:hint="eastAsia" w:ascii="Times New Roman" w:hAnsi="Times New Roman" w:eastAsia="宋体" w:cs="Times New Roman"/>
          <w:kern w:val="0"/>
          <w:sz w:val="28"/>
          <w:szCs w:val="28"/>
          <w:lang w:val="en-US" w:eastAsia="zh-CN"/>
        </w:rPr>
        <w:t xml:space="preserve"> 年的南京市电力二氧化碳排放因子，kgCO</w:t>
      </w:r>
      <w:r>
        <w:rPr>
          <w:rFonts w:hint="eastAsia" w:ascii="Times New Roman" w:hAnsi="Times New Roman" w:eastAsia="宋体" w:cs="Times New Roman"/>
          <w:kern w:val="0"/>
          <w:sz w:val="28"/>
          <w:szCs w:val="28"/>
          <w:vertAlign w:val="subscript"/>
          <w:lang w:val="en-US" w:eastAsia="zh-CN"/>
        </w:rPr>
        <w:t>2</w:t>
      </w:r>
      <w:r>
        <w:rPr>
          <w:rFonts w:hint="eastAsia" w:ascii="Times New Roman" w:hAnsi="Times New Roman" w:eastAsia="宋体" w:cs="Times New Roman"/>
          <w:kern w:val="0"/>
          <w:sz w:val="28"/>
          <w:szCs w:val="28"/>
          <w:lang w:val="en-US" w:eastAsia="zh-CN"/>
        </w:rPr>
        <w:t>/kWh。</w:t>
      </w:r>
    </w:p>
    <w:p w14:paraId="37C0F0DD">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bookmarkStart w:id="48" w:name="_Toc170134110"/>
      <w:r>
        <w:rPr>
          <w:rFonts w:hint="eastAsia" w:cs="宋体"/>
          <w:b w:val="0"/>
          <w:bCs/>
          <w:spacing w:val="-5"/>
          <w:sz w:val="28"/>
          <w:szCs w:val="28"/>
          <w:lang w:val="en-US" w:eastAsia="zh-CN"/>
        </w:rPr>
        <w:t>7.4 减排场景排放</w:t>
      </w:r>
      <w:bookmarkEnd w:id="48"/>
      <w:r>
        <w:rPr>
          <w:rFonts w:hint="eastAsia" w:cs="宋体"/>
          <w:b w:val="0"/>
          <w:bCs/>
          <w:spacing w:val="-5"/>
          <w:sz w:val="28"/>
          <w:szCs w:val="28"/>
          <w:lang w:val="en-US" w:eastAsia="zh-CN"/>
        </w:rPr>
        <w:t>计算</w:t>
      </w:r>
    </w:p>
    <w:p w14:paraId="7FE514A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rPr>
      </w:pPr>
      <w:r>
        <w:rPr>
          <w:rFonts w:hint="eastAsia" w:ascii="宋体" w:hAnsi="宋体" w:eastAsia="宋体"/>
          <w:sz w:val="28"/>
          <w:szCs w:val="28"/>
          <w:lang w:val="en-US" w:eastAsia="zh-CN"/>
        </w:rPr>
        <w:t>方法学场景活动下，运行过程中仅涉及充电桩、计量装置等电气设备运维产生的少量排放，该部分排放量级较小，为降低场景实施、监测与核查管理成本，本方法学对场景排放量做简化处理，场景排放为0，即</w:t>
      </w:r>
      <w:r>
        <w:rPr>
          <w:rFonts w:hint="default" w:ascii="Times New Roman" w:hAnsi="Times New Roman" w:eastAsia="宋体" w:cs="Times New Roman"/>
          <w:i/>
          <w:iCs/>
          <w:sz w:val="28"/>
          <w:szCs w:val="28"/>
          <w:lang w:val="en-US" w:eastAsia="zh-CN"/>
        </w:rPr>
        <w:t>PE</w:t>
      </w:r>
      <w:r>
        <w:rPr>
          <w:rFonts w:hint="default" w:ascii="Times New Roman" w:hAnsi="Times New Roman" w:eastAsia="宋体" w:cs="Times New Roman"/>
          <w:i/>
          <w:iCs/>
          <w:sz w:val="28"/>
          <w:szCs w:val="28"/>
          <w:vertAlign w:val="subscript"/>
          <w:lang w:val="en-US" w:eastAsia="zh-CN"/>
        </w:rPr>
        <w:t>y</w:t>
      </w:r>
      <w:r>
        <w:rPr>
          <w:rFonts w:hint="default" w:ascii="Times New Roman" w:hAnsi="Times New Roman" w:eastAsia="宋体" w:cs="Times New Roman"/>
          <w:sz w:val="28"/>
          <w:szCs w:val="28"/>
          <w:lang w:val="en-US" w:eastAsia="zh-CN"/>
        </w:rPr>
        <w:t>=0。</w:t>
      </w:r>
    </w:p>
    <w:p w14:paraId="75757E3B">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bookmarkStart w:id="49" w:name="_Toc170134111"/>
      <w:r>
        <w:rPr>
          <w:rFonts w:hint="eastAsia" w:cs="宋体"/>
          <w:b w:val="0"/>
          <w:bCs/>
          <w:spacing w:val="-5"/>
          <w:sz w:val="28"/>
          <w:szCs w:val="28"/>
          <w:lang w:val="en-US" w:eastAsia="zh-CN"/>
        </w:rPr>
        <w:t>7.5 泄漏计算</w:t>
      </w:r>
    </w:p>
    <w:p w14:paraId="5239202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rPr>
        <w:t>本方法学不考虑泄漏。</w:t>
      </w:r>
    </w:p>
    <w:p w14:paraId="3991C040">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7.6 减排量核算</w:t>
      </w:r>
    </w:p>
    <w:p w14:paraId="278939A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rPr>
      </w:pPr>
      <w:r>
        <w:rPr>
          <w:rFonts w:hint="eastAsia" w:ascii="宋体" w:hAnsi="宋体" w:eastAsia="宋体"/>
          <w:sz w:val="28"/>
          <w:szCs w:val="28"/>
        </w:rPr>
        <w:t>根据基准线情景和</w:t>
      </w:r>
      <w:r>
        <w:rPr>
          <w:rFonts w:hint="eastAsia" w:ascii="宋体" w:hAnsi="宋体" w:eastAsia="宋体"/>
          <w:sz w:val="28"/>
          <w:szCs w:val="28"/>
          <w:lang w:eastAsia="zh-CN"/>
        </w:rPr>
        <w:t>场景</w:t>
      </w:r>
      <w:r>
        <w:rPr>
          <w:rFonts w:hint="eastAsia" w:ascii="宋体" w:hAnsi="宋体" w:eastAsia="宋体"/>
          <w:sz w:val="28"/>
          <w:szCs w:val="28"/>
        </w:rPr>
        <w:t>排放计算充电行为碳排放，则减排量为：</w:t>
      </w:r>
    </w:p>
    <w:p w14:paraId="5674C248">
      <w:pPr>
        <w:jc w:val="right"/>
        <w:rPr>
          <w:rFonts w:hint="eastAsia" w:ascii="宋体" w:hAnsi="宋体" w:eastAsia="宋体"/>
          <w:sz w:val="28"/>
          <w:szCs w:val="28"/>
        </w:rPr>
      </w:pPr>
      <m:oMath>
        <m:r>
          <m:rPr/>
          <w:rPr>
            <w:rFonts w:hint="default" w:ascii="Cambria Math" w:hAnsi="Cambria Math"/>
            <w:sz w:val="28"/>
          </w:rPr>
          <m:t>E</m:t>
        </m:r>
        <m:sSub>
          <m:sSubPr>
            <m:ctrlPr>
              <w:rPr>
                <w:rFonts w:hint="default" w:ascii="Cambria Math" w:hAnsi="Cambria Math"/>
                <w:sz w:val="28"/>
              </w:rPr>
            </m:ctrlPr>
          </m:sSubPr>
          <m:e>
            <m:r>
              <m:rPr/>
              <w:rPr>
                <w:rFonts w:hint="default" w:ascii="Cambria Math" w:hAnsi="Cambria Math"/>
                <w:sz w:val="28"/>
              </w:rPr>
              <m:t>R</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r>
          <m:rPr/>
          <w:rPr>
            <w:rFonts w:hint="default" w:ascii="Cambria Math" w:hAnsi="Cambria Math"/>
            <w:sz w:val="28"/>
          </w:rPr>
          <m:t>=B</m:t>
        </m:r>
        <m:sSub>
          <m:sSubPr>
            <m:ctrlPr>
              <w:rPr>
                <w:rFonts w:hint="default" w:ascii="Cambria Math" w:hAnsi="Cambria Math"/>
                <w:sz w:val="28"/>
              </w:rPr>
            </m:ctrlPr>
          </m:sSubPr>
          <m:e>
            <m:r>
              <m:rPr/>
              <w:rPr>
                <w:rFonts w:hint="default" w:ascii="Cambria Math" w:hAnsi="Cambria Math"/>
                <w:sz w:val="28"/>
              </w:rPr>
              <m:t>E</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r>
          <m:rPr/>
          <w:rPr>
            <w:rFonts w:hint="default" w:ascii="Cambria Math" w:hAnsi="Cambria Math"/>
            <w:sz w:val="28"/>
          </w:rPr>
          <m:t>−P</m:t>
        </m:r>
        <m:sSub>
          <m:sSubPr>
            <m:ctrlPr>
              <w:rPr>
                <w:rFonts w:hint="default" w:ascii="Cambria Math" w:hAnsi="Cambria Math"/>
                <w:sz w:val="28"/>
              </w:rPr>
            </m:ctrlPr>
          </m:sSubPr>
          <m:e>
            <m:r>
              <m:rPr/>
              <w:rPr>
                <w:rFonts w:hint="default" w:ascii="Cambria Math" w:hAnsi="Cambria Math"/>
                <w:sz w:val="28"/>
              </w:rPr>
              <m:t>E</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oMath>
      <w:r>
        <w:rPr>
          <w:rFonts w:ascii="宋体" w:hAnsi="宋体" w:eastAsia="宋体"/>
          <w:sz w:val="28"/>
          <w:szCs w:val="28"/>
        </w:rPr>
        <w:tab/>
      </w:r>
      <w:r>
        <w:rPr>
          <w:rFonts w:ascii="宋体" w:hAnsi="宋体" w:eastAsia="宋体"/>
          <w:sz w:val="28"/>
          <w:szCs w:val="28"/>
        </w:rPr>
        <w:tab/>
      </w:r>
      <w:r>
        <w:rPr>
          <w:rFonts w:hint="eastAsia" w:ascii="宋体" w:hAnsi="宋体" w:eastAsia="宋体"/>
          <w:sz w:val="28"/>
          <w:szCs w:val="28"/>
          <w:lang w:val="en-US" w:eastAsia="zh-CN"/>
        </w:rPr>
        <w:t xml:space="preserve">       </w:t>
      </w:r>
      <w:r>
        <w:rPr>
          <w:rFonts w:ascii="宋体" w:hAnsi="宋体" w:eastAsia="宋体"/>
          <w:sz w:val="28"/>
          <w:szCs w:val="28"/>
        </w:rPr>
        <w:tab/>
      </w:r>
      <w:r>
        <w:rPr>
          <w:rFonts w:ascii="宋体" w:hAnsi="宋体" w:eastAsia="宋体"/>
          <w:sz w:val="28"/>
          <w:szCs w:val="28"/>
        </w:rPr>
        <w:tab/>
      </w:r>
      <w:r>
        <w:rPr>
          <w:rFonts w:ascii="宋体" w:hAnsi="宋体" w:eastAsia="宋体"/>
          <w:sz w:val="28"/>
          <w:szCs w:val="28"/>
        </w:rPr>
        <w:tab/>
      </w:r>
      <w:r>
        <w:rPr>
          <w:rFonts w:hint="eastAsia" w:ascii="宋体" w:hAnsi="宋体" w:eastAsia="宋体"/>
          <w:sz w:val="28"/>
          <w:szCs w:val="28"/>
          <w:lang w:eastAsia="zh-CN"/>
        </w:rPr>
        <w:t>(</w:t>
      </w:r>
      <w:r>
        <w:rPr>
          <w:rFonts w:hint="eastAsia" w:ascii="Times New Roman" w:hAnsi="Times New Roman" w:eastAsia="宋体"/>
          <w:sz w:val="28"/>
          <w:szCs w:val="28"/>
          <w:lang w:val="en-US" w:eastAsia="zh-CN"/>
        </w:rPr>
        <w:t>3)</w:t>
      </w:r>
    </w:p>
    <w:p w14:paraId="23239365">
      <w:pPr>
        <w:tabs>
          <w:tab w:val="left" w:pos="1269"/>
          <w:tab w:val="left" w:pos="1270"/>
        </w:tabs>
        <w:autoSpaceDE w:val="0"/>
        <w:autoSpaceDN w:val="0"/>
        <w:snapToGrid w:val="0"/>
        <w:spacing w:line="360" w:lineRule="auto"/>
        <w:ind w:firstLine="560" w:firstLineChars="200"/>
        <w:jc w:val="left"/>
        <w:rPr>
          <w:rFonts w:hint="eastAsia" w:hAnsi="Cambria Math" w:eastAsia="宋体"/>
          <w:i w:val="0"/>
          <w:sz w:val="28"/>
          <w:lang w:eastAsia="zh-CN"/>
        </w:rPr>
      </w:pPr>
      <w:r>
        <w:rPr>
          <w:rFonts w:hint="eastAsia" w:ascii="Times New Roman" w:hAnsi="Times New Roman" w:eastAsia="宋体" w:cs="Times New Roman"/>
          <w:kern w:val="0"/>
          <w:sz w:val="28"/>
          <w:szCs w:val="28"/>
        </w:rPr>
        <w:t>其中</w:t>
      </w:r>
      <w:r>
        <w:rPr>
          <w:rFonts w:hint="eastAsia" w:ascii="Times New Roman" w:hAnsi="Times New Roman" w:eastAsia="宋体" w:cs="Times New Roman"/>
          <w:kern w:val="0"/>
          <w:sz w:val="28"/>
          <w:szCs w:val="28"/>
          <w:lang w:eastAsia="zh-CN"/>
        </w:rPr>
        <w:t>：</w:t>
      </w:r>
    </w:p>
    <w:p w14:paraId="63B756C2">
      <w:pPr>
        <w:tabs>
          <w:tab w:val="left" w:pos="1269"/>
          <w:tab w:val="left" w:pos="1270"/>
        </w:tabs>
        <w:autoSpaceDE w:val="0"/>
        <w:autoSpaceDN w:val="0"/>
        <w:snapToGrid w:val="0"/>
        <w:spacing w:line="360" w:lineRule="auto"/>
        <w:jc w:val="both"/>
        <w:rPr>
          <w:rFonts w:hint="eastAsia" w:ascii="Times New Roman" w:hAnsi="Times New Roman" w:eastAsia="宋体" w:cs="Times New Roman"/>
          <w:i w:val="0"/>
          <w:iCs w:val="0"/>
          <w:kern w:val="0"/>
          <w:sz w:val="28"/>
          <w:szCs w:val="28"/>
          <w:lang w:eastAsia="zh-CN"/>
        </w:rPr>
      </w:pPr>
      <m:oMath>
        <m:sSub>
          <m:sSubPr>
            <m:ctrlPr>
              <w:rPr>
                <w:rFonts w:hint="default" w:ascii="Cambria Math" w:hAnsi="Cambria Math"/>
                <w:sz w:val="28"/>
              </w:rPr>
            </m:ctrlPr>
          </m:sSubPr>
          <m:e>
            <m:r>
              <m:rPr/>
              <w:rPr>
                <w:rFonts w:hint="default" w:ascii="Cambria Math" w:hAnsi="Cambria Math"/>
                <w:sz w:val="28"/>
              </w:rPr>
              <m:t>E</m:t>
            </m:r>
            <m:r>
              <m:rPr/>
              <w:rPr>
                <w:rFonts w:hint="default" w:ascii="Cambria Math" w:hAnsi="Cambria Math"/>
                <w:sz w:val="28"/>
                <w:lang w:val="en-US" w:eastAsia="zh-CN"/>
              </w:rPr>
              <m:t>R</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oMath>
      <w:r>
        <w:rPr>
          <w:rFonts w:ascii="Times New Roman" w:hAnsi="Times New Roman" w:eastAsia="宋体" w:cs="Times New Roman"/>
          <w:kern w:val="0"/>
          <w:sz w:val="28"/>
          <w:szCs w:val="28"/>
        </w:rPr>
        <w:t xml:space="preserve"> </w:t>
      </w:r>
      <w:r>
        <w:rPr>
          <w:rFonts w:ascii="Times New Roman" w:hAnsi="Times New Roman" w:eastAsia="宋体" w:cs="Times New Roman"/>
          <w:kern w:val="0"/>
          <w:sz w:val="28"/>
          <w:szCs w:val="28"/>
        </w:rPr>
        <w:tab/>
      </w:r>
      <w:r>
        <w:rPr>
          <w:rFonts w:hint="eastAsia" w:ascii="Times New Roman" w:hAnsi="Times New Roman" w:eastAsia="宋体" w:cs="Times New Roman"/>
          <w:kern w:val="0"/>
          <w:sz w:val="28"/>
          <w:szCs w:val="28"/>
          <w:lang w:val="en-US" w:eastAsia="zh-CN"/>
        </w:rPr>
        <w:t xml:space="preserve"> </w:t>
      </w:r>
      <w:r>
        <w:rPr>
          <w:rFonts w:hint="eastAsia" w:ascii="Times New Roman" w:hAnsi="Times New Roman" w:eastAsia="宋体" w:cs="Times New Roman"/>
          <w:i w:val="0"/>
          <w:iCs w:val="0"/>
          <w:kern w:val="0"/>
          <w:sz w:val="28"/>
          <w:szCs w:val="28"/>
        </w:rPr>
        <w:t>第</w:t>
      </w:r>
      <w:r>
        <w:rPr>
          <w:rFonts w:hint="eastAsia" w:ascii="Times New Roman" w:hAnsi="Times New Roman" w:eastAsia="宋体" w:cs="Times New Roman"/>
          <w:i w:val="0"/>
          <w:iCs w:val="0"/>
          <w:kern w:val="0"/>
          <w:sz w:val="28"/>
          <w:szCs w:val="28"/>
          <w:lang w:val="en-US" w:eastAsia="zh-CN"/>
        </w:rPr>
        <w:t xml:space="preserve"> </w:t>
      </w:r>
      <w:r>
        <w:rPr>
          <w:rFonts w:hint="eastAsia" w:ascii="Times New Roman" w:hAnsi="Times New Roman" w:eastAsia="宋体" w:cs="Times New Roman"/>
          <w:i/>
          <w:iCs/>
          <w:kern w:val="0"/>
          <w:sz w:val="28"/>
          <w:szCs w:val="28"/>
        </w:rPr>
        <w:t>y</w:t>
      </w:r>
      <w:r>
        <w:rPr>
          <w:rFonts w:hint="eastAsia" w:ascii="Times New Roman" w:hAnsi="Times New Roman" w:eastAsia="宋体" w:cs="Times New Roman"/>
          <w:i w:val="0"/>
          <w:iCs w:val="0"/>
          <w:kern w:val="0"/>
          <w:sz w:val="28"/>
          <w:szCs w:val="28"/>
          <w:lang w:val="en-US" w:eastAsia="zh-CN"/>
        </w:rPr>
        <w:t xml:space="preserve"> </w:t>
      </w:r>
      <w:r>
        <w:rPr>
          <w:rFonts w:hint="eastAsia" w:ascii="Times New Roman" w:hAnsi="Times New Roman" w:eastAsia="宋体" w:cs="Times New Roman"/>
          <w:i w:val="0"/>
          <w:iCs w:val="0"/>
          <w:kern w:val="0"/>
          <w:sz w:val="28"/>
          <w:szCs w:val="28"/>
        </w:rPr>
        <w:t>年的</w:t>
      </w:r>
      <w:r>
        <w:rPr>
          <w:rFonts w:hint="eastAsia" w:ascii="Times New Roman" w:hAnsi="Times New Roman" w:eastAsia="宋体" w:cs="Times New Roman"/>
          <w:i w:val="0"/>
          <w:iCs w:val="0"/>
          <w:kern w:val="0"/>
          <w:sz w:val="28"/>
          <w:szCs w:val="28"/>
          <w:lang w:eastAsia="zh-CN"/>
        </w:rPr>
        <w:t>场景</w:t>
      </w:r>
      <w:r>
        <w:rPr>
          <w:rFonts w:hint="eastAsia" w:ascii="Times New Roman" w:hAnsi="Times New Roman" w:eastAsia="宋体" w:cs="Times New Roman"/>
          <w:i w:val="0"/>
          <w:iCs w:val="0"/>
          <w:kern w:val="0"/>
          <w:sz w:val="28"/>
          <w:szCs w:val="28"/>
        </w:rPr>
        <w:t>减排量，</w:t>
      </w:r>
      <w:r>
        <w:rPr>
          <w:rFonts w:hint="eastAsia" w:ascii="Times New Roman" w:hAnsi="Times New Roman" w:eastAsia="宋体" w:cs="Times New Roman"/>
          <w:i w:val="0"/>
          <w:iCs w:val="0"/>
          <w:kern w:val="0"/>
          <w:sz w:val="28"/>
          <w:szCs w:val="28"/>
          <w:lang w:val="en-US" w:eastAsia="zh-CN"/>
        </w:rPr>
        <w:t>kg</w:t>
      </w:r>
      <w:r>
        <w:rPr>
          <w:rFonts w:hint="eastAsia" w:ascii="Times New Roman" w:hAnsi="Times New Roman" w:eastAsia="宋体" w:cs="Times New Roman"/>
          <w:i w:val="0"/>
          <w:iCs w:val="0"/>
          <w:kern w:val="0"/>
          <w:sz w:val="28"/>
          <w:szCs w:val="28"/>
        </w:rPr>
        <w:t>CO</w:t>
      </w:r>
      <w:r>
        <w:rPr>
          <w:rFonts w:hint="eastAsia" w:ascii="Times New Roman" w:hAnsi="Times New Roman" w:eastAsia="宋体" w:cs="Times New Roman"/>
          <w:i w:val="0"/>
          <w:iCs w:val="0"/>
          <w:kern w:val="0"/>
          <w:sz w:val="28"/>
          <w:szCs w:val="28"/>
          <w:vertAlign w:val="subscript"/>
        </w:rPr>
        <w:t>2</w:t>
      </w:r>
      <w:r>
        <w:rPr>
          <w:rFonts w:hint="eastAsia" w:ascii="Times New Roman" w:hAnsi="Times New Roman" w:eastAsia="宋体" w:cs="Times New Roman"/>
          <w:i w:val="0"/>
          <w:iCs w:val="0"/>
          <w:kern w:val="0"/>
          <w:sz w:val="28"/>
          <w:szCs w:val="28"/>
          <w:vertAlign w:val="subscript"/>
          <w:lang w:eastAsia="zh-CN"/>
        </w:rPr>
        <w:t>。</w:t>
      </w:r>
    </w:p>
    <w:bookmarkEnd w:id="49"/>
    <w:p w14:paraId="788AE6EA">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50" w:name="_Toc170134112"/>
      <w:bookmarkStart w:id="51" w:name="_Toc7696"/>
      <w:bookmarkStart w:id="52" w:name="_Toc14801"/>
      <w:bookmarkStart w:id="53" w:name="_Toc5632"/>
      <w:bookmarkStart w:id="54" w:name="_Toc28306"/>
      <w:bookmarkStart w:id="55" w:name="_Toc6319"/>
      <w:r>
        <w:rPr>
          <w:rFonts w:hint="eastAsia" w:ascii="黑体" w:hAnsi="黑体" w:eastAsia="黑体" w:cs="黑体"/>
          <w:b w:val="0"/>
          <w:bCs w:val="0"/>
          <w:spacing w:val="-2"/>
          <w:w w:val="95"/>
          <w:kern w:val="0"/>
          <w:sz w:val="28"/>
          <w:szCs w:val="28"/>
          <w:lang w:val="en-US" w:eastAsia="zh-CN"/>
        </w:rPr>
        <w:t>数据来源及监测</w:t>
      </w:r>
      <w:bookmarkEnd w:id="50"/>
      <w:bookmarkEnd w:id="51"/>
      <w:bookmarkEnd w:id="52"/>
      <w:bookmarkEnd w:id="53"/>
      <w:bookmarkEnd w:id="54"/>
      <w:bookmarkEnd w:id="55"/>
    </w:p>
    <w:p w14:paraId="03C9A3A3">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8.1 减排场景设计阶段确定的参数和数据</w:t>
      </w:r>
    </w:p>
    <w:p w14:paraId="5B068F8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场景设计阶段需确定的参数和数据的技术内容和确定方法见</w:t>
      </w:r>
      <w:r>
        <w:rPr>
          <w:rFonts w:hint="default" w:ascii="宋体" w:hAnsi="宋体" w:eastAsia="宋体"/>
          <w:sz w:val="28"/>
          <w:szCs w:val="28"/>
          <w:lang w:val="en-US" w:eastAsia="zh-CN"/>
        </w:rPr>
        <w:t>表2</w:t>
      </w:r>
      <w:r>
        <w:rPr>
          <w:rFonts w:hint="eastAsia" w:ascii="宋体" w:hAnsi="宋体" w:eastAsia="宋体"/>
          <w:sz w:val="28"/>
          <w:szCs w:val="28"/>
          <w:lang w:val="en-US" w:eastAsia="zh-CN"/>
        </w:rPr>
        <w:t>至</w:t>
      </w:r>
      <w:r>
        <w:rPr>
          <w:rFonts w:hint="default" w:ascii="宋体" w:hAnsi="宋体" w:eastAsia="宋体"/>
          <w:sz w:val="28"/>
          <w:szCs w:val="28"/>
          <w:lang w:val="en-US" w:eastAsia="zh-CN"/>
        </w:rPr>
        <w:t>表</w:t>
      </w:r>
      <w:r>
        <w:rPr>
          <w:rFonts w:hint="eastAsia" w:ascii="宋体" w:hAnsi="宋体" w:eastAsia="宋体"/>
          <w:sz w:val="28"/>
          <w:szCs w:val="28"/>
          <w:lang w:val="en-US" w:eastAsia="zh-CN"/>
        </w:rPr>
        <w:t>4。</w:t>
      </w:r>
    </w:p>
    <w:p w14:paraId="61A0939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jc w:val="center"/>
        <w:textAlignment w:val="auto"/>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 xml:space="preserve">表2  </w:t>
      </w:r>
      <w:r>
        <w:rPr>
          <w:rFonts w:hint="eastAsia" w:ascii="黑体" w:hAnsi="黑体" w:eastAsia="黑体" w:cs="黑体"/>
          <w:i/>
          <w:iCs/>
          <w:sz w:val="24"/>
          <w:szCs w:val="24"/>
          <w:lang w:val="en-US" w:eastAsia="zh-CN" w:bidi="ar-SA"/>
        </w:rPr>
        <w:t>D</w:t>
      </w:r>
      <w:r>
        <w:rPr>
          <w:rFonts w:hint="eastAsia" w:ascii="黑体" w:hAnsi="黑体" w:eastAsia="黑体" w:cs="黑体"/>
          <w:i/>
          <w:iCs/>
          <w:sz w:val="24"/>
          <w:szCs w:val="24"/>
          <w:vertAlign w:val="subscript"/>
          <w:lang w:val="en-US" w:eastAsia="zh-CN" w:bidi="ar-SA"/>
        </w:rPr>
        <w:t>BL</w:t>
      </w:r>
      <w:r>
        <w:rPr>
          <w:rFonts w:hint="eastAsia" w:ascii="黑体" w:hAnsi="黑体" w:eastAsia="黑体" w:cs="黑体"/>
          <w:kern w:val="0"/>
          <w:sz w:val="24"/>
          <w:szCs w:val="24"/>
        </w:rPr>
        <w:t>的技术内容和确定方法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6357"/>
      </w:tblGrid>
      <w:tr w14:paraId="4E24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Align w:val="center"/>
          </w:tcPr>
          <w:p w14:paraId="699744CE">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57" w:type="dxa"/>
            <w:vAlign w:val="center"/>
          </w:tcPr>
          <w:p w14:paraId="6B37938F">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eastAsia" w:ascii="Times New Roman" w:hAnsi="Times New Roman" w:eastAsia="黑体" w:cs="Times New Roman"/>
                <w:i/>
                <w:iCs/>
                <w:sz w:val="24"/>
                <w:szCs w:val="24"/>
                <w:lang w:val="en-US" w:eastAsia="zh-CN" w:bidi="ar-SA"/>
              </w:rPr>
              <w:t>D</w:t>
            </w:r>
            <w:r>
              <w:rPr>
                <w:rFonts w:hint="eastAsia" w:ascii="Times New Roman" w:hAnsi="Times New Roman" w:eastAsia="黑体" w:cs="Times New Roman"/>
                <w:i/>
                <w:iCs/>
                <w:sz w:val="24"/>
                <w:szCs w:val="24"/>
                <w:vertAlign w:val="subscript"/>
                <w:lang w:val="en-US" w:eastAsia="zh-CN" w:bidi="ar-SA"/>
              </w:rPr>
              <w:t>BL</w:t>
            </w:r>
          </w:p>
        </w:tc>
      </w:tr>
      <w:tr w14:paraId="35A5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Align w:val="center"/>
          </w:tcPr>
          <w:p w14:paraId="16BBA618">
            <w:pPr>
              <w:tabs>
                <w:tab w:val="left" w:pos="1269"/>
                <w:tab w:val="left" w:pos="1270"/>
              </w:tabs>
              <w:autoSpaceDE w:val="0"/>
              <w:autoSpaceDN w:val="0"/>
              <w:snapToGrid w:val="0"/>
              <w:spacing w:line="276" w:lineRule="auto"/>
              <w:jc w:val="left"/>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应用的公式编号</w:t>
            </w:r>
          </w:p>
        </w:tc>
        <w:tc>
          <w:tcPr>
            <w:tcW w:w="6357" w:type="dxa"/>
            <w:vAlign w:val="center"/>
          </w:tcPr>
          <w:p w14:paraId="4E523D8A">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p>
        </w:tc>
      </w:tr>
      <w:tr w14:paraId="40B9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Align w:val="center"/>
          </w:tcPr>
          <w:p w14:paraId="68AE91CF">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57" w:type="dxa"/>
            <w:vAlign w:val="center"/>
          </w:tcPr>
          <w:p w14:paraId="0C1C9CD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远距离</w:t>
            </w:r>
            <w:r>
              <w:rPr>
                <w:rFonts w:hint="eastAsia" w:ascii="Times New Roman" w:hAnsi="Times New Roman" w:eastAsia="宋体" w:cs="Times New Roman"/>
                <w:kern w:val="0"/>
                <w:sz w:val="24"/>
                <w:szCs w:val="24"/>
                <w:lang w:val="en-US" w:eastAsia="zh-CN"/>
              </w:rPr>
              <w:t>充电</w:t>
            </w:r>
            <w:r>
              <w:rPr>
                <w:rFonts w:hint="eastAsia" w:ascii="Times New Roman" w:hAnsi="Times New Roman" w:eastAsia="宋体" w:cs="Times New Roman"/>
                <w:kern w:val="0"/>
                <w:sz w:val="24"/>
                <w:szCs w:val="24"/>
              </w:rPr>
              <w:t>往返行驶里程</w:t>
            </w:r>
          </w:p>
        </w:tc>
      </w:tr>
      <w:tr w14:paraId="3AE1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1A3FC31B">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57" w:type="dxa"/>
            <w:shd w:val="clear" w:color="auto" w:fill="auto"/>
            <w:vAlign w:val="center"/>
          </w:tcPr>
          <w:p w14:paraId="7F1B90AD">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sz w:val="28"/>
                <w:szCs w:val="28"/>
                <w:lang w:val="en-US" w:eastAsia="zh-CN"/>
              </w:rPr>
              <w:t>km/次</w:t>
            </w:r>
          </w:p>
        </w:tc>
      </w:tr>
      <w:tr w14:paraId="42F7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39" w:type="dxa"/>
            <w:vAlign w:val="center"/>
          </w:tcPr>
          <w:p w14:paraId="16B48A3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57" w:type="dxa"/>
            <w:vAlign w:val="center"/>
          </w:tcPr>
          <w:p w14:paraId="2727F538">
            <w:pPr>
              <w:pStyle w:val="25"/>
              <w:numPr>
                <w:ilvl w:val="0"/>
                <w:numId w:val="0"/>
              </w:numPr>
              <w:tabs>
                <w:tab w:val="left" w:pos="463"/>
              </w:tabs>
              <w:autoSpaceDE w:val="0"/>
              <w:autoSpaceDN w:val="0"/>
              <w:snapToGrid w:val="0"/>
              <w:spacing w:line="276" w:lineRule="auto"/>
              <w:ind w:left="38" w:leftChars="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方法学统一固定缺省参数，取值3.2 km</w:t>
            </w:r>
            <w:r>
              <w:rPr>
                <w:rFonts w:hint="eastAsia" w:ascii="Times New Roman" w:hAnsi="Times New Roman" w:eastAsia="宋体" w:cs="Times New Roman"/>
                <w:kern w:val="0"/>
                <w:sz w:val="24"/>
                <w:szCs w:val="24"/>
              </w:rPr>
              <w:t>。</w:t>
            </w:r>
          </w:p>
        </w:tc>
      </w:tr>
    </w:tbl>
    <w:p w14:paraId="4CDF3308">
      <w:pPr>
        <w:tabs>
          <w:tab w:val="left" w:pos="1269"/>
          <w:tab w:val="left" w:pos="1270"/>
        </w:tabs>
        <w:autoSpaceDE w:val="0"/>
        <w:autoSpaceDN w:val="0"/>
        <w:snapToGrid w:val="0"/>
        <w:spacing w:line="360" w:lineRule="auto"/>
        <w:jc w:val="center"/>
        <w:rPr>
          <w:rFonts w:hint="eastAsia" w:ascii="黑体" w:hAnsi="黑体" w:eastAsia="黑体" w:cs="黑体"/>
          <w:kern w:val="0"/>
          <w:sz w:val="24"/>
          <w:szCs w:val="24"/>
          <w:lang w:val="en-US" w:eastAsia="zh-CN"/>
        </w:rPr>
      </w:pPr>
    </w:p>
    <w:p w14:paraId="0E64A64E">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表3 </w:t>
      </w:r>
      <m:oMath>
        <m:r>
          <m:rPr/>
          <w:rPr>
            <w:rFonts w:hint="default" w:ascii="Cambria Math" w:hAnsi="Cambria Math"/>
            <w:sz w:val="24"/>
          </w:rPr>
          <m:t>SF</m:t>
        </m:r>
        <m:sSub>
          <m:sSubPr>
            <m:ctrlPr>
              <w:rPr>
                <w:rFonts w:hint="default" w:ascii="Cambria Math" w:hAnsi="Cambria Math"/>
                <w:sz w:val="24"/>
              </w:rPr>
            </m:ctrlPr>
          </m:sSubPr>
          <m:e>
            <m:r>
              <m:rPr/>
              <w:rPr>
                <w:rFonts w:hint="default" w:ascii="Cambria Math" w:hAnsi="Cambria Math"/>
                <w:sz w:val="24"/>
              </w:rPr>
              <m:t>C</m:t>
            </m:r>
            <m:ctrlPr>
              <w:rPr>
                <w:rFonts w:ascii="Cambria Math" w:hAnsi="Cambria Math"/>
                <w:sz w:val="24"/>
              </w:rPr>
            </m:ctrlPr>
          </m:e>
          <m:sub>
            <m:r>
              <m:rPr/>
              <w:rPr>
                <w:rFonts w:hint="default" w:ascii="Cambria Math" w:hAnsi="Cambria Math"/>
                <w:sz w:val="24"/>
              </w:rPr>
              <m:t>elec</m:t>
            </m:r>
            <m:ctrlPr>
              <w:rPr>
                <w:rFonts w:ascii="Cambria Math" w:hAnsi="Cambria Math"/>
                <w:sz w:val="24"/>
              </w:rPr>
            </m:ctrlPr>
          </m:sub>
        </m:sSub>
      </m:oMath>
      <w:r>
        <w:rPr>
          <w:rFonts w:hint="eastAsia" w:ascii="黑体" w:hAnsi="黑体" w:eastAsia="黑体" w:cs="黑体"/>
          <w:kern w:val="0"/>
          <w:sz w:val="24"/>
          <w:szCs w:val="24"/>
        </w:rPr>
        <w:t>的技术内容和确定方法</w:t>
      </w:r>
    </w:p>
    <w:tbl>
      <w:tblPr>
        <w:tblStyle w:val="11"/>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6357"/>
      </w:tblGrid>
      <w:tr w14:paraId="5AE9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0038D70A">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57" w:type="dxa"/>
            <w:vAlign w:val="center"/>
          </w:tcPr>
          <w:p w14:paraId="358FD947">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m:oMathPara>
              <m:oMathParaPr>
                <m:jc m:val="left"/>
              </m:oMathParaPr>
              <m:oMath>
                <m:r>
                  <m:rPr/>
                  <w:rPr>
                    <w:rFonts w:hint="default" w:ascii="Cambria Math" w:hAnsi="Cambria Math"/>
                    <w:sz w:val="24"/>
                  </w:rPr>
                  <m:t>SF</m:t>
                </m:r>
                <m:sSub>
                  <m:sSubPr>
                    <m:ctrlPr>
                      <w:rPr>
                        <w:rFonts w:hint="default" w:ascii="Cambria Math" w:hAnsi="Cambria Math"/>
                        <w:sz w:val="24"/>
                      </w:rPr>
                    </m:ctrlPr>
                  </m:sSubPr>
                  <m:e>
                    <m:r>
                      <m:rPr/>
                      <w:rPr>
                        <w:rFonts w:hint="default" w:ascii="Cambria Math" w:hAnsi="Cambria Math"/>
                        <w:sz w:val="24"/>
                      </w:rPr>
                      <m:t>C</m:t>
                    </m:r>
                    <m:ctrlPr>
                      <w:rPr>
                        <w:rFonts w:ascii="Cambria Math" w:hAnsi="Cambria Math"/>
                        <w:sz w:val="24"/>
                      </w:rPr>
                    </m:ctrlPr>
                  </m:e>
                  <m:sub>
                    <m:r>
                      <m:rPr/>
                      <w:rPr>
                        <w:rFonts w:hint="default" w:ascii="Cambria Math" w:hAnsi="Cambria Math"/>
                        <w:sz w:val="24"/>
                      </w:rPr>
                      <m:t>elec</m:t>
                    </m:r>
                    <m:ctrlPr>
                      <w:rPr>
                        <w:rFonts w:ascii="Cambria Math" w:hAnsi="Cambria Math"/>
                        <w:sz w:val="24"/>
                      </w:rPr>
                    </m:ctrlPr>
                  </m:sub>
                </m:sSub>
              </m:oMath>
            </m:oMathPara>
          </w:p>
        </w:tc>
      </w:tr>
      <w:tr w14:paraId="39B16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7A533B0E">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57" w:type="dxa"/>
            <w:vAlign w:val="center"/>
          </w:tcPr>
          <w:p w14:paraId="22141E5F">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p>
        </w:tc>
      </w:tr>
      <w:tr w14:paraId="00F3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Align w:val="center"/>
          </w:tcPr>
          <w:p w14:paraId="6E75A644">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57" w:type="dxa"/>
            <w:vAlign w:val="center"/>
          </w:tcPr>
          <w:p w14:paraId="30D9E4C8">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场景</w:t>
            </w:r>
            <w:r>
              <w:rPr>
                <w:rFonts w:hint="eastAsia" w:ascii="Times New Roman" w:hAnsi="Times New Roman" w:eastAsia="宋体" w:cs="Times New Roman"/>
                <w:kern w:val="0"/>
                <w:sz w:val="24"/>
                <w:szCs w:val="24"/>
              </w:rPr>
              <w:t>车辆车型</w:t>
            </w:r>
            <w:r>
              <w:rPr>
                <w:rFonts w:hint="eastAsia" w:ascii="Times New Roman" w:hAnsi="Times New Roman" w:eastAsia="宋体" w:cs="Times New Roman"/>
                <w:kern w:val="0"/>
                <w:sz w:val="24"/>
                <w:szCs w:val="24"/>
                <w:lang w:val="en-US" w:eastAsia="zh-CN"/>
              </w:rPr>
              <w:t>单位里</w:t>
            </w:r>
            <w:r>
              <w:rPr>
                <w:rFonts w:hint="eastAsia" w:ascii="Times New Roman" w:hAnsi="Times New Roman" w:eastAsia="宋体" w:cs="Times New Roman"/>
                <w:kern w:val="0"/>
                <w:sz w:val="24"/>
                <w:szCs w:val="24"/>
              </w:rPr>
              <w:t>程</w:t>
            </w:r>
            <w:r>
              <w:rPr>
                <w:rFonts w:hint="eastAsia" w:ascii="Times New Roman" w:hAnsi="Times New Roman" w:eastAsia="宋体" w:cs="Times New Roman"/>
                <w:kern w:val="0"/>
                <w:sz w:val="24"/>
                <w:szCs w:val="24"/>
                <w:lang w:val="en-US" w:eastAsia="zh-CN"/>
              </w:rPr>
              <w:t>平均</w:t>
            </w:r>
            <w:r>
              <w:rPr>
                <w:rFonts w:hint="eastAsia" w:ascii="Times New Roman" w:hAnsi="Times New Roman" w:eastAsia="宋体" w:cs="Times New Roman"/>
                <w:kern w:val="0"/>
                <w:sz w:val="24"/>
                <w:szCs w:val="24"/>
              </w:rPr>
              <w:t>电力消耗</w:t>
            </w:r>
          </w:p>
        </w:tc>
      </w:tr>
      <w:tr w14:paraId="60F3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7EBD98DD">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57" w:type="dxa"/>
            <w:shd w:val="clear" w:color="auto" w:fill="auto"/>
            <w:vAlign w:val="center"/>
          </w:tcPr>
          <w:p w14:paraId="074D0AFC">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kWh/km</w:t>
            </w:r>
          </w:p>
        </w:tc>
      </w:tr>
      <w:tr w14:paraId="28C8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39" w:type="dxa"/>
            <w:vAlign w:val="center"/>
          </w:tcPr>
          <w:p w14:paraId="1CFA3D40">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57" w:type="dxa"/>
            <w:vAlign w:val="center"/>
          </w:tcPr>
          <w:p w14:paraId="65CD3152">
            <w:pPr>
              <w:autoSpaceDE/>
              <w:autoSpaceDN/>
              <w:snapToGrid/>
              <w:spacing w:line="240" w:lineRule="auto"/>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通过以下顺序进行选择：</w:t>
            </w:r>
          </w:p>
          <w:p w14:paraId="4D3F50C2">
            <w:pPr>
              <w:autoSpaceDE/>
              <w:autoSpaceDN/>
              <w:snapToGrid/>
              <w:spacing w:line="240" w:lineRule="auto"/>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（1）优先采用国家发布的车型权威统计、实测数值或IPCC缺省值；</w:t>
            </w:r>
          </w:p>
          <w:p w14:paraId="4B93D7A4">
            <w:pPr>
              <w:autoSpaceDE/>
              <w:autoSpaceDN/>
              <w:snapToGrid/>
              <w:ind w:firstLineChars="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2</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若无官方发布数据，</w:t>
            </w:r>
            <w:r>
              <w:rPr>
                <w:rFonts w:hint="eastAsia" w:ascii="Times New Roman" w:hAnsi="Times New Roman" w:eastAsia="宋体" w:cs="Times New Roman"/>
                <w:kern w:val="0"/>
                <w:sz w:val="24"/>
                <w:szCs w:val="24"/>
                <w:lang w:val="en-US" w:eastAsia="zh-CN"/>
              </w:rPr>
              <w:t>可</w:t>
            </w:r>
            <w:r>
              <w:rPr>
                <w:rFonts w:hint="eastAsia" w:ascii="Times New Roman" w:hAnsi="Times New Roman" w:eastAsia="宋体" w:cs="Times New Roman"/>
                <w:kern w:val="0"/>
                <w:sz w:val="24"/>
                <w:szCs w:val="24"/>
              </w:rPr>
              <w:t>采用本方法学给定值0.1504 kWh/km</w:t>
            </w:r>
            <w:r>
              <w:rPr>
                <w:rFonts w:hint="eastAsia" w:ascii="Times New Roman" w:hAnsi="Times New Roman" w:eastAsia="宋体" w:cs="Times New Roman"/>
                <w:kern w:val="0"/>
                <w:sz w:val="24"/>
                <w:szCs w:val="24"/>
                <w:lang w:eastAsia="zh-CN"/>
              </w:rPr>
              <w:t>。</w:t>
            </w:r>
          </w:p>
        </w:tc>
      </w:tr>
    </w:tbl>
    <w:p w14:paraId="0AA8A018">
      <w:pPr>
        <w:tabs>
          <w:tab w:val="left" w:pos="1269"/>
          <w:tab w:val="left" w:pos="1270"/>
        </w:tabs>
        <w:autoSpaceDE w:val="0"/>
        <w:autoSpaceDN w:val="0"/>
        <w:snapToGrid w:val="0"/>
        <w:spacing w:line="360" w:lineRule="auto"/>
        <w:jc w:val="center"/>
        <w:rPr>
          <w:rFonts w:hint="eastAsia" w:ascii="黑体" w:hAnsi="黑体" w:eastAsia="黑体" w:cs="黑体"/>
          <w:kern w:val="0"/>
          <w:sz w:val="24"/>
          <w:szCs w:val="24"/>
          <w:lang w:val="en-US" w:eastAsia="zh-CN"/>
        </w:rPr>
      </w:pPr>
    </w:p>
    <w:p w14:paraId="747025C0">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表4 </w:t>
      </w:r>
      <m:oMath>
        <m:r>
          <m:rPr/>
          <w:rPr>
            <w:rFonts w:hint="default" w:ascii="Cambria Math" w:hAnsi="Cambria Math"/>
            <w:sz w:val="24"/>
          </w:rPr>
          <m:t>E</m:t>
        </m:r>
        <m:sSub>
          <m:sSubPr>
            <m:ctrlPr>
              <w:rPr>
                <w:rFonts w:hint="default" w:ascii="Cambria Math" w:hAnsi="Cambria Math"/>
                <w:sz w:val="24"/>
              </w:rPr>
            </m:ctrlPr>
          </m:sSubPr>
          <m:e>
            <m:r>
              <m:rPr/>
              <w:rPr>
                <w:rFonts w:hint="default" w:ascii="Cambria Math" w:hAnsi="Cambria Math"/>
                <w:sz w:val="24"/>
              </w:rPr>
              <m:t>F</m:t>
            </m:r>
            <m:ctrlPr>
              <w:rPr>
                <w:rFonts w:ascii="Cambria Math" w:hAnsi="Cambria Math"/>
                <w:sz w:val="24"/>
              </w:rPr>
            </m:ctrlPr>
          </m:e>
          <m:sub>
            <m:r>
              <m:rPr/>
              <w:rPr>
                <w:rFonts w:hint="default" w:ascii="Cambria Math" w:hAnsi="Cambria Math"/>
                <w:sz w:val="24"/>
                <w:lang w:val="en-US" w:eastAsia="zh-CN"/>
              </w:rPr>
              <m:t>grid,y</m:t>
            </m:r>
            <m:ctrlPr>
              <w:rPr>
                <w:rFonts w:ascii="Cambria Math" w:hAnsi="Cambria Math"/>
                <w:sz w:val="24"/>
              </w:rPr>
            </m:ctrlPr>
          </m:sub>
        </m:sSub>
      </m:oMath>
      <w:r>
        <w:rPr>
          <w:rFonts w:hint="eastAsia" w:ascii="黑体" w:hAnsi="黑体" w:eastAsia="黑体" w:cs="黑体"/>
          <w:kern w:val="0"/>
          <w:sz w:val="24"/>
          <w:szCs w:val="24"/>
        </w:rPr>
        <w:t>的技术内容和确定方法</w:t>
      </w:r>
    </w:p>
    <w:tbl>
      <w:tblPr>
        <w:tblStyle w:val="11"/>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7AE9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79FD55A8">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43C76D0D">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m:oMath>
              <m:r>
                <m:rPr/>
                <w:rPr>
                  <w:rFonts w:hint="default" w:ascii="Cambria Math" w:hAnsi="Cambria Math"/>
                  <w:sz w:val="24"/>
                </w:rPr>
                <m:t>E</m:t>
              </m:r>
              <m:sSub>
                <m:sSubPr>
                  <m:ctrlPr>
                    <w:rPr>
                      <w:rFonts w:hint="default" w:ascii="Cambria Math" w:hAnsi="Cambria Math"/>
                      <w:sz w:val="24"/>
                    </w:rPr>
                  </m:ctrlPr>
                </m:sSubPr>
                <m:e>
                  <m:r>
                    <m:rPr/>
                    <w:rPr>
                      <w:rFonts w:hint="default" w:ascii="Cambria Math" w:hAnsi="Cambria Math"/>
                      <w:sz w:val="24"/>
                    </w:rPr>
                    <m:t>F</m:t>
                  </m:r>
                  <m:ctrlPr>
                    <w:rPr>
                      <w:rFonts w:ascii="Cambria Math" w:hAnsi="Cambria Math"/>
                      <w:sz w:val="24"/>
                    </w:rPr>
                  </m:ctrlPr>
                </m:e>
                <m:sub>
                  <m:r>
                    <m:rPr/>
                    <w:rPr>
                      <w:rFonts w:hint="default" w:ascii="Cambria Math" w:hAnsi="Cambria Math"/>
                      <w:sz w:val="24"/>
                      <w:lang w:val="en-US" w:eastAsia="zh-CN"/>
                    </w:rPr>
                    <m:t>grid,y</m:t>
                  </m:r>
                  <m:ctrlPr>
                    <w:rPr>
                      <w:rFonts w:ascii="Cambria Math" w:hAnsi="Cambria Math"/>
                      <w:sz w:val="24"/>
                    </w:rPr>
                  </m:ctrlPr>
                </m:sub>
              </m:sSub>
            </m:oMath>
            <w:r>
              <w:rPr>
                <w:rFonts w:ascii="Times New Roman" w:hAnsi="Times New Roman" w:eastAsia="宋体" w:cs="Times New Roman"/>
                <w:i/>
                <w:iCs/>
                <w:kern w:val="0"/>
                <w:sz w:val="24"/>
                <w:szCs w:val="24"/>
              </w:rPr>
              <w:t xml:space="preserve"> </w:t>
            </w:r>
          </w:p>
        </w:tc>
      </w:tr>
      <w:tr w14:paraId="3515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115448B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3C46494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p>
        </w:tc>
      </w:tr>
      <w:tr w14:paraId="4C9C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2B49EEB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75E6C934">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第y年南京市电力二氧化碳排放因子</w:t>
            </w:r>
          </w:p>
        </w:tc>
      </w:tr>
      <w:tr w14:paraId="6F74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A6ACEAE">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4F94010D">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kgCO</w:t>
            </w:r>
            <w:r>
              <w:rPr>
                <w:rFonts w:hint="eastAsia" w:ascii="Times New Roman" w:hAnsi="Times New Roman" w:eastAsia="宋体" w:cs="Times New Roman"/>
                <w:kern w:val="0"/>
                <w:sz w:val="24"/>
                <w:szCs w:val="24"/>
                <w:vertAlign w:val="subscript"/>
              </w:rPr>
              <w:t>2</w:t>
            </w:r>
            <w:r>
              <w:rPr>
                <w:rFonts w:hint="eastAsia" w:ascii="Times New Roman" w:hAnsi="Times New Roman" w:eastAsia="宋体" w:cs="Times New Roman"/>
                <w:kern w:val="0"/>
                <w:sz w:val="24"/>
                <w:szCs w:val="24"/>
              </w:rPr>
              <w:t>/kWh</w:t>
            </w:r>
          </w:p>
        </w:tc>
      </w:tr>
      <w:tr w14:paraId="0776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62F3C45C">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3C635483">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江苏分时分区电碳因子</w:t>
            </w:r>
            <w:r>
              <w:rPr>
                <w:rFonts w:hint="eastAsia" w:ascii="Times New Roman" w:hAnsi="Times New Roman" w:eastAsia="宋体" w:cs="Times New Roman"/>
                <w:kern w:val="0"/>
                <w:sz w:val="24"/>
                <w:szCs w:val="24"/>
                <w:lang w:val="en-US" w:eastAsia="zh-CN"/>
              </w:rPr>
              <w:t>数据库</w:t>
            </w:r>
            <w:r>
              <w:rPr>
                <w:rFonts w:hint="eastAsia" w:ascii="Times New Roman" w:hAnsi="Times New Roman" w:eastAsia="宋体" w:cs="Times New Roman"/>
                <w:kern w:val="0"/>
                <w:sz w:val="24"/>
                <w:szCs w:val="24"/>
              </w:rPr>
              <w:t>中对应南京区域的</w:t>
            </w:r>
            <w:r>
              <w:rPr>
                <w:rFonts w:hint="eastAsia" w:ascii="Times New Roman" w:hAnsi="Times New Roman" w:eastAsia="宋体" w:cs="Times New Roman"/>
                <w:kern w:val="0"/>
                <w:sz w:val="24"/>
                <w:szCs w:val="24"/>
                <w:lang w:val="en-US" w:eastAsia="zh-CN"/>
              </w:rPr>
              <w:t>电力二氧化碳排放因子；</w:t>
            </w:r>
          </w:p>
          <w:p w14:paraId="6E88F469">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（2）国家生态环境部发布的最新电力二氧化碳排放因子值。</w:t>
            </w:r>
          </w:p>
        </w:tc>
      </w:tr>
    </w:tbl>
    <w:p w14:paraId="49AAA0C3">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8.2 减排场景实施阶段需要监测的参数和数据</w:t>
      </w:r>
    </w:p>
    <w:p w14:paraId="6D7EBDD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减排场景实施阶段需监测的参数的技术内容和确定方法见表5。</w:t>
      </w:r>
    </w:p>
    <w:p w14:paraId="74E47CA4">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表5  </w:t>
      </w:r>
      <w:r>
        <w:rPr>
          <w:rFonts w:hint="eastAsia" w:ascii="黑体" w:hAnsi="黑体" w:eastAsia="黑体" w:cs="黑体"/>
          <w:i/>
          <w:iCs/>
          <w:kern w:val="0"/>
          <w:sz w:val="24"/>
          <w:szCs w:val="24"/>
          <w:lang w:val="en-US" w:eastAsia="zh-CN"/>
        </w:rPr>
        <w:t>N</w:t>
      </w:r>
      <w:r>
        <w:rPr>
          <w:rFonts w:hint="eastAsia" w:ascii="黑体" w:hAnsi="黑体" w:eastAsia="黑体" w:cs="黑体"/>
          <w:i/>
          <w:iCs/>
          <w:sz w:val="24"/>
          <w:szCs w:val="24"/>
          <w:vertAlign w:val="subscript"/>
          <w:lang w:val="en-US" w:eastAsia="zh-CN" w:bidi="ar-SA"/>
        </w:rPr>
        <w:t>y</w:t>
      </w:r>
      <w:r>
        <w:rPr>
          <w:rFonts w:hint="eastAsia" w:ascii="黑体" w:hAnsi="黑体" w:eastAsia="黑体" w:cs="黑体"/>
          <w:kern w:val="0"/>
          <w:sz w:val="24"/>
          <w:szCs w:val="24"/>
        </w:rPr>
        <w:t>的技术内容和确定方法</w:t>
      </w:r>
    </w:p>
    <w:tbl>
      <w:tblPr>
        <w:tblStyle w:val="11"/>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58E1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4E7E4AF2">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14CFB80F">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eastAsia" w:ascii="Times New Roman" w:hAnsi="Times New Roman" w:eastAsia="宋体" w:cs="Times New Roman"/>
                <w:i/>
                <w:iCs/>
                <w:kern w:val="0"/>
                <w:sz w:val="24"/>
                <w:szCs w:val="24"/>
                <w:lang w:val="en-US" w:eastAsia="zh-CN"/>
              </w:rPr>
              <w:t>N</w:t>
            </w:r>
            <w:r>
              <w:rPr>
                <w:rFonts w:hint="eastAsia" w:ascii="Times New Roman" w:hAnsi="Times New Roman" w:eastAsia="宋体" w:cs="Times New Roman"/>
                <w:i/>
                <w:iCs/>
                <w:kern w:val="0"/>
                <w:sz w:val="24"/>
                <w:szCs w:val="24"/>
                <w:vertAlign w:val="subscript"/>
              </w:rPr>
              <w:t>y</w:t>
            </w:r>
          </w:p>
        </w:tc>
      </w:tr>
      <w:tr w14:paraId="151C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0BD605EE">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4DDEA0B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(1)</w:t>
            </w:r>
          </w:p>
        </w:tc>
      </w:tr>
      <w:tr w14:paraId="67AE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4EA3F8BA">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4BDF35F2">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使用本地充电设施的车辆充电次数</w:t>
            </w:r>
          </w:p>
        </w:tc>
      </w:tr>
      <w:tr w14:paraId="1429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3BEF5185">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2D360B40">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sz w:val="21"/>
                <w:szCs w:val="21"/>
                <w:lang w:val="en-US" w:eastAsia="zh-CN" w:bidi="ar-SA"/>
              </w:rPr>
              <w:t>次</w:t>
            </w:r>
          </w:p>
        </w:tc>
      </w:tr>
      <w:tr w14:paraId="444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3C408726">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2FE3B3A2">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充电设施记录</w:t>
            </w:r>
          </w:p>
        </w:tc>
      </w:tr>
      <w:tr w14:paraId="7721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6C788DF5">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监测点要求</w:t>
            </w:r>
          </w:p>
        </w:tc>
        <w:tc>
          <w:tcPr>
            <w:tcW w:w="6369" w:type="dxa"/>
            <w:vAlign w:val="center"/>
          </w:tcPr>
          <w:p w14:paraId="6C329DAA">
            <w:pPr>
              <w:tabs>
                <w:tab w:val="left" w:pos="463"/>
              </w:tabs>
              <w:autoSpaceDE w:val="0"/>
              <w:autoSpaceDN w:val="0"/>
              <w:snapToGrid w:val="0"/>
              <w:spacing w:line="276" w:lineRule="auto"/>
              <w:ind w:left="38"/>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充电设施监测系统</w:t>
            </w:r>
          </w:p>
        </w:tc>
      </w:tr>
      <w:tr w14:paraId="5E13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0E9D2235">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rPr>
              <w:t>监测程序</w:t>
            </w:r>
          </w:p>
        </w:tc>
        <w:tc>
          <w:tcPr>
            <w:tcW w:w="6369" w:type="dxa"/>
            <w:vAlign w:val="center"/>
          </w:tcPr>
          <w:p w14:paraId="599ECC50">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ascii="宋体" w:hAnsi="宋体" w:eastAsia="宋体" w:cs="宋体"/>
                <w:sz w:val="24"/>
                <w:szCs w:val="24"/>
              </w:rPr>
              <w:t>充电设施监测系统记录每一条原始充电记录，将单次充电电量与最低充电电量阈值比对，达到阈值记为一次有效充电，统计每日有效充电总次数；同时留存每次充电的充电电量原始记录用于交叉核验</w:t>
            </w:r>
            <w:r>
              <w:rPr>
                <w:rFonts w:hint="eastAsia" w:ascii="Times New Roman" w:hAnsi="Times New Roman" w:eastAsia="宋体" w:cs="Times New Roman"/>
                <w:kern w:val="0"/>
                <w:sz w:val="24"/>
                <w:szCs w:val="24"/>
                <w:highlight w:val="none"/>
              </w:rPr>
              <w:t>。</w:t>
            </w:r>
          </w:p>
        </w:tc>
      </w:tr>
      <w:tr w14:paraId="053D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468F029F">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rPr>
              <w:t>监测频率</w:t>
            </w:r>
          </w:p>
        </w:tc>
        <w:tc>
          <w:tcPr>
            <w:tcW w:w="6369" w:type="dxa"/>
            <w:vAlign w:val="center"/>
          </w:tcPr>
          <w:p w14:paraId="40F34650">
            <w:pPr>
              <w:tabs>
                <w:tab w:val="left" w:pos="463"/>
              </w:tabs>
              <w:autoSpaceDE w:val="0"/>
              <w:autoSpaceDN w:val="0"/>
              <w:snapToGrid w:val="0"/>
              <w:spacing w:line="276" w:lineRule="auto"/>
              <w:ind w:left="38"/>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连续</w:t>
            </w:r>
          </w:p>
        </w:tc>
      </w:tr>
      <w:tr w14:paraId="48B4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927" w:type="dxa"/>
            <w:vAlign w:val="center"/>
          </w:tcPr>
          <w:p w14:paraId="7418CBD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质量控制程序</w:t>
            </w:r>
          </w:p>
        </w:tc>
        <w:tc>
          <w:tcPr>
            <w:tcW w:w="6369" w:type="dxa"/>
            <w:vAlign w:val="center"/>
          </w:tcPr>
          <w:p w14:paraId="7D03C6CB">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ascii="宋体" w:hAnsi="宋体" w:eastAsia="宋体" w:cs="宋体"/>
                <w:sz w:val="24"/>
                <w:szCs w:val="24"/>
              </w:rPr>
              <w:t>有效充电次数需要和原始充电明细记录一一对应，可与充电结算单据交叉检查，严禁人为篡改、虚增充电次数</w:t>
            </w:r>
            <w:r>
              <w:rPr>
                <w:rFonts w:hint="eastAsia" w:ascii="Times New Roman" w:hAnsi="Times New Roman" w:eastAsia="宋体" w:cs="Times New Roman"/>
                <w:kern w:val="0"/>
                <w:sz w:val="24"/>
                <w:szCs w:val="24"/>
              </w:rPr>
              <w:t>。</w:t>
            </w:r>
          </w:p>
        </w:tc>
      </w:tr>
    </w:tbl>
    <w:p w14:paraId="28EE26F1">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highlight w:val="none"/>
          <w:lang w:val="en-US" w:eastAsia="zh-CN"/>
        </w:rPr>
      </w:pPr>
      <w:bookmarkStart w:id="56" w:name="_Toc19749"/>
      <w:r>
        <w:rPr>
          <w:rFonts w:hint="eastAsia" w:cs="宋体"/>
          <w:b w:val="0"/>
          <w:bCs/>
          <w:spacing w:val="-5"/>
          <w:sz w:val="28"/>
          <w:szCs w:val="28"/>
          <w:highlight w:val="none"/>
          <w:lang w:val="en-US" w:eastAsia="zh-CN"/>
        </w:rPr>
        <w:t>8.3 减排场景实施及监测的数据管理要求</w:t>
      </w:r>
    </w:p>
    <w:p w14:paraId="0ED659C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（1）建立常态化、全流程的数据质量管控体系，运营单位需对充电原始明细数据、场站辅机电量记录、设备检定材料、阈值判定记录、减排核算台账分类备份，保障核查调取全程可追溯。</w:t>
      </w:r>
    </w:p>
    <w:p w14:paraId="298B0B2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2）搭建多维度数据交叉验证机制，联动充电桩实时计量数据、充电结算单据、辅机电表读数开展比对校验；核对有效充电行为判定逻辑，剔除未达到最低电量阈值的无效记录；若出现数据偏差需及时现场复核取证，缺少有效佐证的记录不得计入减排核算。</w:t>
      </w:r>
    </w:p>
    <w:p w14:paraId="62B94B4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（3）实行分级数据权限管控，对用户敏感充电信息脱敏存储，数据传输全程加密。</w:t>
      </w:r>
    </w:p>
    <w:p w14:paraId="0126CBA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（4）规范碳普惠全链条资料归档管理，区分设备检定报告、故障处置记录、月度校验报告、场景备案材料单独建档，所有纸质、电子归档材料标注场站、年度标签，满足审定与现场核查调阅需求。</w:t>
      </w:r>
    </w:p>
    <w:p w14:paraId="6B909B28">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57" w:name="_Toc8144"/>
      <w:bookmarkStart w:id="58" w:name="_Toc6272"/>
      <w:bookmarkStart w:id="59" w:name="_Toc17579"/>
      <w:bookmarkStart w:id="60" w:name="_Toc14533"/>
      <w:r>
        <w:rPr>
          <w:rFonts w:hint="eastAsia" w:ascii="黑体" w:hAnsi="黑体" w:eastAsia="黑体" w:cs="黑体"/>
          <w:b w:val="0"/>
          <w:bCs w:val="0"/>
          <w:spacing w:val="-2"/>
          <w:w w:val="95"/>
          <w:kern w:val="0"/>
          <w:sz w:val="28"/>
          <w:szCs w:val="28"/>
          <w:lang w:val="en-US" w:eastAsia="zh-CN"/>
        </w:rPr>
        <w:t>场景审定与核查要点</w:t>
      </w:r>
      <w:bookmarkEnd w:id="56"/>
      <w:bookmarkEnd w:id="57"/>
      <w:bookmarkEnd w:id="58"/>
      <w:bookmarkEnd w:id="59"/>
      <w:bookmarkEnd w:id="60"/>
    </w:p>
    <w:p w14:paraId="7EC04408">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9.1 场景适用条件的审定与核查要点</w:t>
      </w:r>
    </w:p>
    <w:p w14:paraId="21F9519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（1）</w:t>
      </w:r>
      <w:r>
        <w:rPr>
          <w:rFonts w:hint="default" w:ascii="宋体" w:hAnsi="宋体" w:eastAsia="宋体"/>
          <w:sz w:val="28"/>
          <w:szCs w:val="28"/>
          <w:lang w:val="en-US" w:eastAsia="zh-CN"/>
        </w:rPr>
        <w:t>查阅</w:t>
      </w:r>
      <w:r>
        <w:rPr>
          <w:rFonts w:hint="eastAsia" w:ascii="宋体" w:hAnsi="宋体" w:eastAsia="宋体"/>
          <w:sz w:val="28"/>
          <w:szCs w:val="28"/>
          <w:lang w:val="en-US" w:eastAsia="zh-CN"/>
        </w:rPr>
        <w:t>区街道（镇）电动汽车充电设施运营单位</w:t>
      </w:r>
      <w:r>
        <w:rPr>
          <w:rFonts w:hint="default" w:ascii="宋体" w:hAnsi="宋体" w:eastAsia="宋体"/>
          <w:sz w:val="28"/>
          <w:szCs w:val="28"/>
          <w:lang w:val="en-US" w:eastAsia="zh-CN"/>
        </w:rPr>
        <w:t>资质证照、碳普惠平台注册备案信息、充电桩电网报装资料及电价执行凭证</w:t>
      </w:r>
      <w:r>
        <w:rPr>
          <w:rFonts w:hint="eastAsia" w:ascii="宋体" w:hAnsi="宋体" w:eastAsia="宋体"/>
          <w:sz w:val="28"/>
          <w:szCs w:val="28"/>
          <w:lang w:val="en-US" w:eastAsia="zh-CN"/>
        </w:rPr>
        <w:t>。核实充电设施布局在南京市三类地区（积极发展区，市域范围内的新城镇及周边乡村地区），点位到就近已有公共充电设施的直线距离大于等于1.6 km，投运前本地存在公共充电供给缺口，参与碳普惠属于运营方自愿行为。</w:t>
      </w:r>
    </w:p>
    <w:p w14:paraId="30CFBCB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（2）</w:t>
      </w:r>
      <w:r>
        <w:rPr>
          <w:rFonts w:hint="default" w:ascii="宋体" w:hAnsi="宋体" w:eastAsia="宋体"/>
          <w:sz w:val="28"/>
          <w:szCs w:val="28"/>
          <w:lang w:val="en-US" w:eastAsia="zh-CN"/>
        </w:rPr>
        <w:t>查阅充电设施监测系统，核实充电量、运行状态等数据需实时接入。</w:t>
      </w:r>
    </w:p>
    <w:p w14:paraId="33E5983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（3</w:t>
      </w:r>
      <w:r>
        <w:rPr>
          <w:rFonts w:hint="default" w:ascii="宋体" w:hAnsi="宋体" w:eastAsia="宋体"/>
          <w:sz w:val="28"/>
          <w:szCs w:val="28"/>
          <w:lang w:val="en-US" w:eastAsia="zh-CN"/>
        </w:rPr>
        <w:t>）审核</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是否符合本方法学规定的适用范围，确认</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活动未违反国家及地方相关法律法规、行业标准及南京市碳普惠管理相关要求。</w:t>
      </w:r>
    </w:p>
    <w:p w14:paraId="165E6B0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（4</w:t>
      </w:r>
      <w:r>
        <w:rPr>
          <w:rFonts w:hint="default" w:ascii="宋体" w:hAnsi="宋体" w:eastAsia="宋体"/>
          <w:sz w:val="28"/>
          <w:szCs w:val="28"/>
          <w:lang w:val="en-US" w:eastAsia="zh-CN"/>
        </w:rPr>
        <w:t>）核查</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是否存在重复申报情况，确认同一充电行为未在其他碳市场、碳普惠机制中重复核算减排量。</w:t>
      </w:r>
    </w:p>
    <w:p w14:paraId="33BC03B5">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default" w:cs="宋体"/>
          <w:b w:val="0"/>
          <w:bCs/>
          <w:spacing w:val="-5"/>
          <w:sz w:val="28"/>
          <w:szCs w:val="28"/>
          <w:lang w:val="en-US" w:eastAsia="zh-CN"/>
        </w:rPr>
        <w:t xml:space="preserve">9.2 </w:t>
      </w:r>
      <w:r>
        <w:rPr>
          <w:rFonts w:hint="eastAsia" w:cs="宋体"/>
          <w:b w:val="0"/>
          <w:bCs/>
          <w:spacing w:val="-5"/>
          <w:sz w:val="28"/>
          <w:szCs w:val="28"/>
          <w:lang w:val="en-US" w:eastAsia="zh-CN"/>
        </w:rPr>
        <w:t>场景</w:t>
      </w:r>
      <w:r>
        <w:rPr>
          <w:rFonts w:hint="default" w:cs="宋体"/>
          <w:b w:val="0"/>
          <w:bCs/>
          <w:spacing w:val="-5"/>
          <w:sz w:val="28"/>
          <w:szCs w:val="28"/>
          <w:lang w:val="en-US" w:eastAsia="zh-CN"/>
        </w:rPr>
        <w:t>边界的审定与核查要点</w:t>
      </w:r>
    </w:p>
    <w:p w14:paraId="77BC039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（1）</w:t>
      </w:r>
      <w:r>
        <w:rPr>
          <w:rFonts w:hint="default" w:ascii="宋体" w:hAnsi="宋体" w:eastAsia="宋体"/>
          <w:sz w:val="28"/>
          <w:szCs w:val="28"/>
          <w:lang w:val="en-US" w:eastAsia="zh-CN"/>
        </w:rPr>
        <w:t>查阅</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申报材料、充电桩权属证明、充电运行记录等材料，核查</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地理边界是否限定于南京市</w:t>
      </w:r>
      <w:r>
        <w:rPr>
          <w:rFonts w:hint="eastAsia" w:ascii="宋体" w:hAnsi="宋体" w:eastAsia="宋体"/>
          <w:sz w:val="28"/>
          <w:szCs w:val="28"/>
          <w:lang w:val="en-US" w:eastAsia="zh-CN"/>
        </w:rPr>
        <w:t>行政区域街道（镇）</w:t>
      </w:r>
      <w:r>
        <w:rPr>
          <w:rFonts w:hint="default" w:ascii="宋体" w:hAnsi="宋体" w:eastAsia="宋体"/>
          <w:sz w:val="28"/>
          <w:szCs w:val="28"/>
          <w:lang w:val="en-US" w:eastAsia="zh-CN"/>
        </w:rPr>
        <w:t>地区范围内的电动汽车充电设施及对应充电车辆活动范围。</w:t>
      </w:r>
    </w:p>
    <w:p w14:paraId="291FDCE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w:t>
      </w:r>
      <w:r>
        <w:rPr>
          <w:rFonts w:hint="default" w:ascii="宋体" w:hAnsi="宋体" w:eastAsia="宋体"/>
          <w:sz w:val="28"/>
          <w:szCs w:val="28"/>
          <w:lang w:val="en-US" w:eastAsia="zh-CN"/>
        </w:rPr>
        <w:t>2）确认</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设施边界是否仅包含</w:t>
      </w:r>
      <w:r>
        <w:rPr>
          <w:rFonts w:hint="eastAsia" w:ascii="宋体" w:hAnsi="宋体" w:eastAsia="宋体"/>
          <w:sz w:val="28"/>
          <w:szCs w:val="28"/>
          <w:lang w:val="en-US" w:eastAsia="zh-CN"/>
        </w:rPr>
        <w:t>区街道（镇）电动汽车充电设施</w:t>
      </w:r>
      <w:r>
        <w:rPr>
          <w:rFonts w:hint="default" w:ascii="宋体" w:hAnsi="宋体" w:eastAsia="宋体"/>
          <w:sz w:val="28"/>
          <w:szCs w:val="28"/>
          <w:lang w:val="en-US" w:eastAsia="zh-CN"/>
        </w:rPr>
        <w:t>、充电车辆、电网供电环节，未纳入无关附属设施、非</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相关设施。</w:t>
      </w:r>
    </w:p>
    <w:p w14:paraId="407D70B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（3）</w:t>
      </w:r>
      <w:r>
        <w:rPr>
          <w:rFonts w:hint="default" w:ascii="宋体" w:hAnsi="宋体" w:eastAsia="宋体"/>
          <w:sz w:val="28"/>
          <w:szCs w:val="28"/>
          <w:lang w:val="en-US" w:eastAsia="zh-CN"/>
        </w:rPr>
        <w:t>核查</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边界内是否存在重复核算情形，确认无同一充电量跨平台、跨机制重复申领碳普惠权益的情况。</w:t>
      </w:r>
    </w:p>
    <w:p w14:paraId="158AC9B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（4）</w:t>
      </w:r>
      <w:r>
        <w:rPr>
          <w:rFonts w:hint="default" w:ascii="宋体" w:hAnsi="宋体" w:eastAsia="宋体"/>
          <w:sz w:val="28"/>
          <w:szCs w:val="28"/>
          <w:lang w:val="en-US" w:eastAsia="zh-CN"/>
        </w:rPr>
        <w:t>确认</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边界未擅自扩大或缩小，所有纳入核算的设施、排放源均符合本方法学规定的范围要求。</w:t>
      </w:r>
    </w:p>
    <w:p w14:paraId="191C1C09">
      <w:pPr>
        <w:pStyle w:val="24"/>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default" w:cs="宋体"/>
          <w:b w:val="0"/>
          <w:bCs/>
          <w:spacing w:val="-5"/>
          <w:sz w:val="28"/>
          <w:szCs w:val="28"/>
          <w:lang w:val="en-US" w:eastAsia="zh-CN"/>
        </w:rPr>
        <w:t xml:space="preserve">9.3 </w:t>
      </w:r>
      <w:r>
        <w:rPr>
          <w:rFonts w:hint="eastAsia" w:cs="宋体"/>
          <w:b w:val="0"/>
          <w:bCs/>
          <w:spacing w:val="-5"/>
          <w:sz w:val="28"/>
          <w:szCs w:val="28"/>
          <w:lang w:val="en-US" w:eastAsia="zh-CN"/>
        </w:rPr>
        <w:t>场景</w:t>
      </w:r>
      <w:r>
        <w:rPr>
          <w:rFonts w:hint="default" w:cs="宋体"/>
          <w:b w:val="0"/>
          <w:bCs/>
          <w:spacing w:val="-5"/>
          <w:sz w:val="28"/>
          <w:szCs w:val="28"/>
          <w:lang w:val="en-US" w:eastAsia="zh-CN"/>
        </w:rPr>
        <w:t>监测计划的审定与核查要点</w:t>
      </w:r>
    </w:p>
    <w:p w14:paraId="0339C86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（1）</w:t>
      </w:r>
      <w:r>
        <w:rPr>
          <w:rFonts w:hint="default" w:ascii="宋体" w:hAnsi="宋体" w:eastAsia="宋体"/>
          <w:sz w:val="28"/>
          <w:szCs w:val="28"/>
          <w:lang w:val="en-US" w:eastAsia="zh-CN"/>
        </w:rPr>
        <w:t>对于需要监测的数据和参数，查阅监测设备说明书、校准记录、数据采集日志等材料，审核监测频率、测量程序、质量控制程序是否符合规定，数据来源是否可靠。</w:t>
      </w:r>
    </w:p>
    <w:p w14:paraId="4DF92B7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（2</w:t>
      </w:r>
      <w:r>
        <w:rPr>
          <w:rFonts w:hint="default" w:ascii="宋体" w:hAnsi="宋体" w:eastAsia="宋体"/>
          <w:sz w:val="28"/>
          <w:szCs w:val="28"/>
          <w:lang w:val="en-US" w:eastAsia="zh-CN"/>
        </w:rPr>
        <w:t>）对于采用在线监测并对接碳普惠智能服务平台进行减排量核算的模式，需确保平台对接数据、计算方法符合本方法学要求，并支持监测数据上链和全流程追溯。</w:t>
      </w:r>
    </w:p>
    <w:p w14:paraId="7B7DAE0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（3）</w:t>
      </w:r>
      <w:r>
        <w:rPr>
          <w:rFonts w:hint="default" w:ascii="宋体" w:hAnsi="宋体" w:eastAsia="宋体"/>
          <w:sz w:val="28"/>
          <w:szCs w:val="28"/>
          <w:lang w:val="en-US" w:eastAsia="zh-CN"/>
        </w:rPr>
        <w:t>核查监测数据的完整性、连续性，确认数据以自然日为最小单位记录，无断档、补录、篡改等影响数据真实性的情形。</w:t>
      </w:r>
    </w:p>
    <w:p w14:paraId="4DEC25F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textAlignment w:val="auto"/>
        <w:rPr>
          <w:rFonts w:hint="default" w:ascii="宋体" w:hAnsi="宋体" w:eastAsia="宋体"/>
          <w:sz w:val="28"/>
          <w:szCs w:val="28"/>
          <w:lang w:val="en-US" w:eastAsia="zh-CN"/>
        </w:rPr>
      </w:pPr>
      <w:r>
        <w:rPr>
          <w:rFonts w:hint="eastAsia" w:ascii="宋体" w:hAnsi="宋体" w:eastAsia="宋体"/>
          <w:sz w:val="28"/>
          <w:szCs w:val="28"/>
          <w:lang w:val="en-US" w:eastAsia="zh-CN"/>
        </w:rPr>
        <w:t>（4）</w:t>
      </w:r>
      <w:r>
        <w:rPr>
          <w:rFonts w:hint="default" w:ascii="宋体" w:hAnsi="宋体" w:eastAsia="宋体"/>
          <w:sz w:val="28"/>
          <w:szCs w:val="28"/>
          <w:lang w:val="en-US" w:eastAsia="zh-CN"/>
        </w:rPr>
        <w:t>审核数据安全与隐私保护措施，确认用户信息采集、存储符合相关规定，监测数据及</w:t>
      </w:r>
      <w:r>
        <w:rPr>
          <w:rFonts w:hint="eastAsia" w:ascii="宋体" w:hAnsi="宋体" w:eastAsia="宋体"/>
          <w:sz w:val="28"/>
          <w:szCs w:val="28"/>
          <w:lang w:val="en-US" w:eastAsia="zh-CN"/>
        </w:rPr>
        <w:t>场景</w:t>
      </w:r>
      <w:r>
        <w:rPr>
          <w:rFonts w:hint="default" w:ascii="宋体" w:hAnsi="宋体" w:eastAsia="宋体"/>
          <w:sz w:val="28"/>
          <w:szCs w:val="28"/>
          <w:lang w:val="en-US" w:eastAsia="zh-CN"/>
        </w:rPr>
        <w:t>档案留存期限满足监管要求。</w:t>
      </w: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5A1B3">
    <w:pPr>
      <w:pStyle w:val="5"/>
      <w:jc w:val="center"/>
      <w:rPr>
        <w:rFonts w:hint="eastAsia"/>
      </w:rPr>
    </w:pPr>
  </w:p>
  <w:p w14:paraId="2058FF4F">
    <w:pPr>
      <w:pStyle w:val="5"/>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66047">
    <w:pPr>
      <w:pStyle w:val="5"/>
      <w:jc w:val="center"/>
      <w:rPr>
        <w:rFonts w:hint="eastAsia"/>
      </w:rPr>
    </w:pPr>
  </w:p>
  <w:p w14:paraId="394889C4">
    <w:pPr>
      <w:pStyle w:val="5"/>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6528284"/>
    </w:sdtPr>
    <w:sdtContent>
      <w:p w14:paraId="7AA64CAB">
        <w:pPr>
          <w:pStyle w:val="5"/>
          <w:jc w:val="center"/>
          <w:rPr>
            <w:rFonts w:hint="eastAsia"/>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8D82731">
    <w:pPr>
      <w:pStyle w:val="5"/>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D35FEC"/>
    <w:multiLevelType w:val="multilevel"/>
    <w:tmpl w:val="21D35FEC"/>
    <w:lvl w:ilvl="0" w:tentative="0">
      <w:start w:val="1"/>
      <w:numFmt w:val="decimal"/>
      <w:lvlText w:val="%1"/>
      <w:lvlJc w:val="left"/>
      <w:pPr>
        <w:ind w:left="564" w:hanging="442"/>
      </w:pPr>
      <w:rPr>
        <w:rFonts w:hint="default" w:ascii="宋体" w:hAnsi="宋体" w:eastAsia="宋体" w:cs="宋体"/>
        <w:b w:val="0"/>
        <w:bCs w:val="0"/>
        <w:i w:val="0"/>
        <w:iCs w:val="0"/>
        <w:w w:val="99"/>
        <w:sz w:val="21"/>
        <w:szCs w:val="21"/>
      </w:rPr>
    </w:lvl>
    <w:lvl w:ilvl="1" w:tentative="0">
      <w:start w:val="1"/>
      <w:numFmt w:val="decimal"/>
      <w:lvlText w:val="%2"/>
      <w:lvlJc w:val="left"/>
      <w:pPr>
        <w:ind w:left="284" w:hanging="284"/>
      </w:pPr>
      <w:rPr>
        <w:rFonts w:hint="default" w:ascii="黑体" w:hAnsi="黑体" w:eastAsia="黑体" w:cs="黑体"/>
        <w:b w:val="0"/>
        <w:bCs w:val="0"/>
        <w:i w:val="0"/>
        <w:iCs w:val="0"/>
        <w:w w:val="98"/>
        <w:sz w:val="28"/>
        <w:szCs w:val="28"/>
      </w:rPr>
    </w:lvl>
    <w:lvl w:ilvl="2" w:tentative="0">
      <w:start w:val="1"/>
      <w:numFmt w:val="lowerLetter"/>
      <w:lvlText w:val="%3)"/>
      <w:lvlJc w:val="left"/>
      <w:pPr>
        <w:ind w:left="1269" w:hanging="442"/>
      </w:pPr>
      <w:rPr>
        <w:rFonts w:hint="default" w:ascii="Times New Roman" w:hAnsi="Times New Roman" w:eastAsia="Times New Roman" w:cs="Times New Roman"/>
        <w:b w:val="0"/>
        <w:bCs w:val="0"/>
        <w:i w:val="0"/>
        <w:iCs w:val="0"/>
        <w:w w:val="99"/>
        <w:sz w:val="28"/>
        <w:szCs w:val="28"/>
      </w:rPr>
    </w:lvl>
    <w:lvl w:ilvl="3" w:tentative="0">
      <w:start w:val="0"/>
      <w:numFmt w:val="bullet"/>
      <w:lvlText w:val="•"/>
      <w:lvlJc w:val="left"/>
      <w:pPr>
        <w:ind w:left="2308" w:hanging="442"/>
      </w:pPr>
      <w:rPr>
        <w:rFonts w:hint="default"/>
      </w:rPr>
    </w:lvl>
    <w:lvl w:ilvl="4" w:tentative="0">
      <w:start w:val="0"/>
      <w:numFmt w:val="bullet"/>
      <w:lvlText w:val="•"/>
      <w:lvlJc w:val="left"/>
      <w:pPr>
        <w:ind w:left="3356" w:hanging="442"/>
      </w:pPr>
      <w:rPr>
        <w:rFonts w:hint="default"/>
      </w:rPr>
    </w:lvl>
    <w:lvl w:ilvl="5" w:tentative="0">
      <w:start w:val="0"/>
      <w:numFmt w:val="bullet"/>
      <w:lvlText w:val="•"/>
      <w:lvlJc w:val="left"/>
      <w:pPr>
        <w:ind w:left="4404" w:hanging="442"/>
      </w:pPr>
      <w:rPr>
        <w:rFonts w:hint="default"/>
      </w:rPr>
    </w:lvl>
    <w:lvl w:ilvl="6" w:tentative="0">
      <w:start w:val="0"/>
      <w:numFmt w:val="bullet"/>
      <w:lvlText w:val="•"/>
      <w:lvlJc w:val="left"/>
      <w:pPr>
        <w:ind w:left="5453" w:hanging="442"/>
      </w:pPr>
      <w:rPr>
        <w:rFonts w:hint="default"/>
      </w:rPr>
    </w:lvl>
    <w:lvl w:ilvl="7" w:tentative="0">
      <w:start w:val="0"/>
      <w:numFmt w:val="bullet"/>
      <w:lvlText w:val="•"/>
      <w:lvlJc w:val="left"/>
      <w:pPr>
        <w:ind w:left="6501" w:hanging="442"/>
      </w:pPr>
      <w:rPr>
        <w:rFonts w:hint="default"/>
      </w:rPr>
    </w:lvl>
    <w:lvl w:ilvl="8" w:tentative="0">
      <w:start w:val="0"/>
      <w:numFmt w:val="bullet"/>
      <w:lvlText w:val="•"/>
      <w:lvlJc w:val="left"/>
      <w:pPr>
        <w:ind w:left="7549" w:hanging="442"/>
      </w:pPr>
      <w:rPr>
        <w:rFonts w:hint="default"/>
      </w:rPr>
    </w:lvl>
  </w:abstractNum>
  <w:abstractNum w:abstractNumId="1">
    <w:nsid w:val="4BFB2C8D"/>
    <w:multiLevelType w:val="multilevel"/>
    <w:tmpl w:val="4BFB2C8D"/>
    <w:lvl w:ilvl="0" w:tentative="0">
      <w:start w:val="1"/>
      <w:numFmt w:val="japaneseCounting"/>
      <w:lvlText w:val="%1、"/>
      <w:lvlJc w:val="left"/>
      <w:pPr>
        <w:ind w:left="1997" w:hanging="720"/>
      </w:pPr>
    </w:lvl>
    <w:lvl w:ilvl="1" w:tentative="0">
      <w:start w:val="1"/>
      <w:numFmt w:val="lowerLetter"/>
      <w:pStyle w:val="24"/>
      <w:lvlText w:val="%2)"/>
      <w:lvlJc w:val="left"/>
      <w:pPr>
        <w:ind w:left="2157" w:hanging="440"/>
      </w:pPr>
    </w:lvl>
    <w:lvl w:ilvl="2" w:tentative="0">
      <w:start w:val="1"/>
      <w:numFmt w:val="lowerRoman"/>
      <w:lvlText w:val="%3."/>
      <w:lvlJc w:val="right"/>
      <w:pPr>
        <w:ind w:left="2597" w:hanging="440"/>
      </w:pPr>
    </w:lvl>
    <w:lvl w:ilvl="3" w:tentative="0">
      <w:start w:val="1"/>
      <w:numFmt w:val="decimal"/>
      <w:lvlText w:val="%4."/>
      <w:lvlJc w:val="left"/>
      <w:pPr>
        <w:ind w:left="3037" w:hanging="440"/>
      </w:pPr>
    </w:lvl>
    <w:lvl w:ilvl="4" w:tentative="0">
      <w:start w:val="1"/>
      <w:numFmt w:val="lowerLetter"/>
      <w:lvlText w:val="%5)"/>
      <w:lvlJc w:val="left"/>
      <w:pPr>
        <w:ind w:left="3477" w:hanging="440"/>
      </w:pPr>
    </w:lvl>
    <w:lvl w:ilvl="5" w:tentative="0">
      <w:start w:val="1"/>
      <w:numFmt w:val="lowerRoman"/>
      <w:lvlText w:val="%6."/>
      <w:lvlJc w:val="right"/>
      <w:pPr>
        <w:ind w:left="3917" w:hanging="440"/>
      </w:pPr>
    </w:lvl>
    <w:lvl w:ilvl="6" w:tentative="0">
      <w:start w:val="1"/>
      <w:numFmt w:val="decimal"/>
      <w:lvlText w:val="%7."/>
      <w:lvlJc w:val="left"/>
      <w:pPr>
        <w:ind w:left="4357" w:hanging="440"/>
      </w:pPr>
    </w:lvl>
    <w:lvl w:ilvl="7" w:tentative="0">
      <w:start w:val="1"/>
      <w:numFmt w:val="lowerLetter"/>
      <w:lvlText w:val="%8)"/>
      <w:lvlJc w:val="left"/>
      <w:pPr>
        <w:ind w:left="4797" w:hanging="440"/>
      </w:pPr>
    </w:lvl>
    <w:lvl w:ilvl="8" w:tentative="0">
      <w:start w:val="1"/>
      <w:numFmt w:val="lowerRoman"/>
      <w:lvlText w:val="%9."/>
      <w:lvlJc w:val="right"/>
      <w:pPr>
        <w:ind w:left="5237" w:hanging="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4MGFkYTkwNjZjODA3YTU3OGUyNDFjZDZiMjMyMWMifQ=="/>
  </w:docVars>
  <w:rsids>
    <w:rsidRoot w:val="00172A27"/>
    <w:rsid w:val="00033D01"/>
    <w:rsid w:val="00064323"/>
    <w:rsid w:val="00064630"/>
    <w:rsid w:val="00066DD6"/>
    <w:rsid w:val="0008299C"/>
    <w:rsid w:val="000E2DD6"/>
    <w:rsid w:val="000F4A9D"/>
    <w:rsid w:val="00107E28"/>
    <w:rsid w:val="00135E9E"/>
    <w:rsid w:val="0014492B"/>
    <w:rsid w:val="00144C16"/>
    <w:rsid w:val="00163A9B"/>
    <w:rsid w:val="00172A27"/>
    <w:rsid w:val="001E58B7"/>
    <w:rsid w:val="00247549"/>
    <w:rsid w:val="0027585E"/>
    <w:rsid w:val="00290C9D"/>
    <w:rsid w:val="0029106E"/>
    <w:rsid w:val="002A7502"/>
    <w:rsid w:val="002B3157"/>
    <w:rsid w:val="002C28C4"/>
    <w:rsid w:val="002C334A"/>
    <w:rsid w:val="002D39D2"/>
    <w:rsid w:val="002F256B"/>
    <w:rsid w:val="00315C0D"/>
    <w:rsid w:val="0032238C"/>
    <w:rsid w:val="00367C76"/>
    <w:rsid w:val="003B7581"/>
    <w:rsid w:val="003C6052"/>
    <w:rsid w:val="003D5151"/>
    <w:rsid w:val="003E1FB7"/>
    <w:rsid w:val="00405F7C"/>
    <w:rsid w:val="00411682"/>
    <w:rsid w:val="00420603"/>
    <w:rsid w:val="004331CC"/>
    <w:rsid w:val="0044372E"/>
    <w:rsid w:val="004627CA"/>
    <w:rsid w:val="004879EA"/>
    <w:rsid w:val="00487ED1"/>
    <w:rsid w:val="004C1E7B"/>
    <w:rsid w:val="005025A5"/>
    <w:rsid w:val="00514197"/>
    <w:rsid w:val="00526B85"/>
    <w:rsid w:val="00531926"/>
    <w:rsid w:val="0054019F"/>
    <w:rsid w:val="00553254"/>
    <w:rsid w:val="005557E4"/>
    <w:rsid w:val="00576390"/>
    <w:rsid w:val="0058308E"/>
    <w:rsid w:val="005B62B3"/>
    <w:rsid w:val="005F5DEE"/>
    <w:rsid w:val="00603B4D"/>
    <w:rsid w:val="006262FE"/>
    <w:rsid w:val="00663D09"/>
    <w:rsid w:val="00671107"/>
    <w:rsid w:val="006745C1"/>
    <w:rsid w:val="006C5CA6"/>
    <w:rsid w:val="00715AFC"/>
    <w:rsid w:val="00731022"/>
    <w:rsid w:val="00742278"/>
    <w:rsid w:val="00760281"/>
    <w:rsid w:val="007929FB"/>
    <w:rsid w:val="007B2FE0"/>
    <w:rsid w:val="007F1909"/>
    <w:rsid w:val="007F7C6C"/>
    <w:rsid w:val="008340AF"/>
    <w:rsid w:val="0083483E"/>
    <w:rsid w:val="00857266"/>
    <w:rsid w:val="00865293"/>
    <w:rsid w:val="008900DA"/>
    <w:rsid w:val="008A0076"/>
    <w:rsid w:val="008A1DE1"/>
    <w:rsid w:val="008A67A4"/>
    <w:rsid w:val="008E409E"/>
    <w:rsid w:val="008E657F"/>
    <w:rsid w:val="00972162"/>
    <w:rsid w:val="009836B7"/>
    <w:rsid w:val="00995495"/>
    <w:rsid w:val="009B23DF"/>
    <w:rsid w:val="009C021B"/>
    <w:rsid w:val="009C2FBF"/>
    <w:rsid w:val="00A00B65"/>
    <w:rsid w:val="00A02B66"/>
    <w:rsid w:val="00A064F3"/>
    <w:rsid w:val="00A14114"/>
    <w:rsid w:val="00A3478F"/>
    <w:rsid w:val="00A40BCE"/>
    <w:rsid w:val="00A472BD"/>
    <w:rsid w:val="00A47DA1"/>
    <w:rsid w:val="00A65C60"/>
    <w:rsid w:val="00A71C94"/>
    <w:rsid w:val="00AC63FB"/>
    <w:rsid w:val="00AD1A38"/>
    <w:rsid w:val="00B00489"/>
    <w:rsid w:val="00B06992"/>
    <w:rsid w:val="00B21CC0"/>
    <w:rsid w:val="00B97A70"/>
    <w:rsid w:val="00BD5ADF"/>
    <w:rsid w:val="00BF3B9F"/>
    <w:rsid w:val="00C2718A"/>
    <w:rsid w:val="00C3028D"/>
    <w:rsid w:val="00C53B88"/>
    <w:rsid w:val="00C84696"/>
    <w:rsid w:val="00CC185A"/>
    <w:rsid w:val="00CC3DF5"/>
    <w:rsid w:val="00CD1056"/>
    <w:rsid w:val="00CD3E20"/>
    <w:rsid w:val="00D0125A"/>
    <w:rsid w:val="00D0381A"/>
    <w:rsid w:val="00D63CCE"/>
    <w:rsid w:val="00D83922"/>
    <w:rsid w:val="00DB7805"/>
    <w:rsid w:val="00DD00F2"/>
    <w:rsid w:val="00E17F09"/>
    <w:rsid w:val="00E32D95"/>
    <w:rsid w:val="00E63848"/>
    <w:rsid w:val="00EB4D72"/>
    <w:rsid w:val="00EC73DC"/>
    <w:rsid w:val="00EF39F9"/>
    <w:rsid w:val="00F05BE5"/>
    <w:rsid w:val="00F11B25"/>
    <w:rsid w:val="00F36EBB"/>
    <w:rsid w:val="00F53BA2"/>
    <w:rsid w:val="00F86769"/>
    <w:rsid w:val="00FB2C67"/>
    <w:rsid w:val="00FB3896"/>
    <w:rsid w:val="00FF16D8"/>
    <w:rsid w:val="00FF51B1"/>
    <w:rsid w:val="0191344F"/>
    <w:rsid w:val="02B32DB9"/>
    <w:rsid w:val="03290B30"/>
    <w:rsid w:val="03372A1A"/>
    <w:rsid w:val="03792426"/>
    <w:rsid w:val="044C263D"/>
    <w:rsid w:val="05004B25"/>
    <w:rsid w:val="090E293E"/>
    <w:rsid w:val="0B521EAF"/>
    <w:rsid w:val="0D8F197B"/>
    <w:rsid w:val="0E3212A3"/>
    <w:rsid w:val="0EA93D76"/>
    <w:rsid w:val="0EDC0C85"/>
    <w:rsid w:val="0F194F8E"/>
    <w:rsid w:val="11BD6C89"/>
    <w:rsid w:val="11C21DA6"/>
    <w:rsid w:val="1219080A"/>
    <w:rsid w:val="122F5D76"/>
    <w:rsid w:val="12F54EB3"/>
    <w:rsid w:val="14863CD0"/>
    <w:rsid w:val="14B45155"/>
    <w:rsid w:val="154806C6"/>
    <w:rsid w:val="16626B95"/>
    <w:rsid w:val="16F71882"/>
    <w:rsid w:val="18047872"/>
    <w:rsid w:val="1A6051AF"/>
    <w:rsid w:val="1AEF6A73"/>
    <w:rsid w:val="1B994259"/>
    <w:rsid w:val="1C2A656D"/>
    <w:rsid w:val="1CBF4223"/>
    <w:rsid w:val="1EB27D37"/>
    <w:rsid w:val="20DF30E6"/>
    <w:rsid w:val="21B05AF2"/>
    <w:rsid w:val="24BC3E0A"/>
    <w:rsid w:val="24F22810"/>
    <w:rsid w:val="26DE3DB2"/>
    <w:rsid w:val="26F17720"/>
    <w:rsid w:val="2C020C08"/>
    <w:rsid w:val="2F155F25"/>
    <w:rsid w:val="2F3E191F"/>
    <w:rsid w:val="30AE4CCA"/>
    <w:rsid w:val="311961A0"/>
    <w:rsid w:val="311D7312"/>
    <w:rsid w:val="327B6BEE"/>
    <w:rsid w:val="330F5B23"/>
    <w:rsid w:val="335622C4"/>
    <w:rsid w:val="33BC372E"/>
    <w:rsid w:val="39644C69"/>
    <w:rsid w:val="3A055492"/>
    <w:rsid w:val="3C710F56"/>
    <w:rsid w:val="3CA8695D"/>
    <w:rsid w:val="3E0C209B"/>
    <w:rsid w:val="40F302FE"/>
    <w:rsid w:val="42A513CC"/>
    <w:rsid w:val="45343635"/>
    <w:rsid w:val="459C4F2F"/>
    <w:rsid w:val="45CC07D2"/>
    <w:rsid w:val="4838131C"/>
    <w:rsid w:val="495F451A"/>
    <w:rsid w:val="499A1A6A"/>
    <w:rsid w:val="4B624C17"/>
    <w:rsid w:val="50261600"/>
    <w:rsid w:val="51A27694"/>
    <w:rsid w:val="51B975FA"/>
    <w:rsid w:val="53E33661"/>
    <w:rsid w:val="571C2F84"/>
    <w:rsid w:val="57FD46B2"/>
    <w:rsid w:val="58CB25FE"/>
    <w:rsid w:val="599D296C"/>
    <w:rsid w:val="5C2C0289"/>
    <w:rsid w:val="5D1162BA"/>
    <w:rsid w:val="5D977701"/>
    <w:rsid w:val="5E211941"/>
    <w:rsid w:val="5E54098B"/>
    <w:rsid w:val="60D235C8"/>
    <w:rsid w:val="6218473B"/>
    <w:rsid w:val="63C142A1"/>
    <w:rsid w:val="647E189B"/>
    <w:rsid w:val="67474620"/>
    <w:rsid w:val="6761234C"/>
    <w:rsid w:val="67A4786A"/>
    <w:rsid w:val="68731A54"/>
    <w:rsid w:val="68A21128"/>
    <w:rsid w:val="68F14D5D"/>
    <w:rsid w:val="69272501"/>
    <w:rsid w:val="699441C6"/>
    <w:rsid w:val="6D4A5E87"/>
    <w:rsid w:val="6E5D0B20"/>
    <w:rsid w:val="6F16070F"/>
    <w:rsid w:val="736B1B84"/>
    <w:rsid w:val="748E1943"/>
    <w:rsid w:val="75567D69"/>
    <w:rsid w:val="777E6238"/>
    <w:rsid w:val="781D52DD"/>
    <w:rsid w:val="795073BE"/>
    <w:rsid w:val="7A505630"/>
    <w:rsid w:val="7A585AA1"/>
    <w:rsid w:val="7ACE4ED2"/>
    <w:rsid w:val="7B3C1066"/>
    <w:rsid w:val="7BE41FBD"/>
    <w:rsid w:val="7C191825"/>
    <w:rsid w:val="7CA74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autoSpaceDE w:val="0"/>
      <w:autoSpaceDN w:val="0"/>
      <w:ind w:left="828" w:hanging="420"/>
      <w:jc w:val="left"/>
      <w:outlineLvl w:val="0"/>
    </w:pPr>
    <w:rPr>
      <w:rFonts w:ascii="黑体" w:hAnsi="黑体" w:eastAsia="黑体" w:cs="黑体"/>
      <w:b/>
      <w:bCs/>
      <w:kern w:val="0"/>
      <w:szCs w:val="21"/>
      <w:lang w:eastAsia="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8"/>
    <w:qFormat/>
    <w:uiPriority w:val="1"/>
    <w:pPr>
      <w:autoSpaceDE w:val="0"/>
      <w:autoSpaceDN w:val="0"/>
      <w:jc w:val="left"/>
    </w:pPr>
    <w:rPr>
      <w:rFonts w:ascii="宋体" w:hAnsi="宋体" w:eastAsia="宋体" w:cs="宋体"/>
      <w:kern w:val="0"/>
      <w:szCs w:val="21"/>
      <w:lang w:eastAsia="en-US"/>
    </w:rPr>
  </w:style>
  <w:style w:type="paragraph" w:styleId="4">
    <w:name w:val="toc 3"/>
    <w:basedOn w:val="1"/>
    <w:next w:val="1"/>
    <w:unhideWhenUsed/>
    <w:qFormat/>
    <w:uiPriority w:val="39"/>
    <w:pPr>
      <w:widowControl/>
      <w:spacing w:after="100" w:line="259" w:lineRule="auto"/>
      <w:ind w:left="440"/>
      <w:jc w:val="left"/>
    </w:pPr>
    <w:rPr>
      <w:rFonts w:cs="Times New Roman"/>
      <w:kern w:val="0"/>
      <w:sz w:val="22"/>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tabs>
        <w:tab w:val="center" w:pos="4153"/>
        <w:tab w:val="right" w:pos="8306"/>
      </w:tabs>
      <w:snapToGrid w:val="0"/>
      <w:jc w:val="center"/>
    </w:pPr>
    <w:rPr>
      <w:sz w:val="18"/>
      <w:szCs w:val="18"/>
    </w:rPr>
  </w:style>
  <w:style w:type="paragraph" w:styleId="7">
    <w:name w:val="toc 1"/>
    <w:basedOn w:val="1"/>
    <w:next w:val="1"/>
    <w:unhideWhenUsed/>
    <w:qFormat/>
    <w:uiPriority w:val="39"/>
    <w:pPr>
      <w:widowControl/>
      <w:snapToGrid w:val="0"/>
      <w:spacing w:line="480" w:lineRule="auto"/>
      <w:ind w:left="150" w:hanging="150" w:hangingChars="150"/>
      <w:jc w:val="left"/>
    </w:pPr>
    <w:rPr>
      <w:rFonts w:ascii="Times New Roman" w:hAnsi="Times New Roman" w:eastAsia="宋体" w:cs="Times New Roman"/>
      <w:kern w:val="0"/>
    </w:rPr>
  </w:style>
  <w:style w:type="paragraph" w:styleId="8">
    <w:name w:val="footnote text"/>
    <w:basedOn w:val="1"/>
    <w:link w:val="19"/>
    <w:semiHidden/>
    <w:unhideWhenUsed/>
    <w:qFormat/>
    <w:uiPriority w:val="99"/>
    <w:pPr>
      <w:autoSpaceDE w:val="0"/>
      <w:autoSpaceDN w:val="0"/>
      <w:snapToGrid w:val="0"/>
      <w:jc w:val="left"/>
    </w:pPr>
    <w:rPr>
      <w:rFonts w:ascii="宋体" w:hAnsi="宋体" w:eastAsia="宋体" w:cs="宋体"/>
      <w:kern w:val="0"/>
      <w:sz w:val="18"/>
      <w:szCs w:val="18"/>
      <w:lang w:eastAsia="en-US"/>
    </w:rPr>
  </w:style>
  <w:style w:type="paragraph" w:styleId="9">
    <w:name w:val="toc 2"/>
    <w:basedOn w:val="1"/>
    <w:next w:val="1"/>
    <w:unhideWhenUsed/>
    <w:qFormat/>
    <w:uiPriority w:val="39"/>
    <w:pPr>
      <w:widowControl/>
      <w:spacing w:after="100" w:line="259" w:lineRule="auto"/>
      <w:ind w:left="220"/>
      <w:jc w:val="left"/>
    </w:pPr>
    <w:rPr>
      <w:rFonts w:eastAsia="宋体" w:cs="Times New Roman"/>
      <w:kern w:val="0"/>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563C1" w:themeColor="hyperlink"/>
      <w:u w:val="single"/>
      <w14:textFill>
        <w14:solidFill>
          <w14:schemeClr w14:val="hlink"/>
        </w14:solidFill>
      </w14:textFill>
    </w:rPr>
  </w:style>
  <w:style w:type="character" w:styleId="14">
    <w:name w:val="footnote reference"/>
    <w:basedOn w:val="12"/>
    <w:semiHidden/>
    <w:unhideWhenUsed/>
    <w:qFormat/>
    <w:uiPriority w:val="99"/>
    <w:rPr>
      <w:vertAlign w:val="superscript"/>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标题 1 字符"/>
    <w:basedOn w:val="12"/>
    <w:link w:val="2"/>
    <w:qFormat/>
    <w:uiPriority w:val="9"/>
    <w:rPr>
      <w:rFonts w:ascii="黑体" w:hAnsi="黑体" w:eastAsia="黑体" w:cs="黑体"/>
      <w:b/>
      <w:bCs/>
      <w:kern w:val="0"/>
      <w:szCs w:val="21"/>
      <w:lang w:eastAsia="en-US"/>
    </w:rPr>
  </w:style>
  <w:style w:type="character" w:customStyle="1" w:styleId="18">
    <w:name w:val="正文文本 字符"/>
    <w:basedOn w:val="12"/>
    <w:link w:val="3"/>
    <w:qFormat/>
    <w:uiPriority w:val="1"/>
    <w:rPr>
      <w:rFonts w:ascii="宋体" w:hAnsi="宋体" w:eastAsia="宋体" w:cs="宋体"/>
      <w:kern w:val="0"/>
      <w:szCs w:val="21"/>
      <w:lang w:eastAsia="en-US"/>
    </w:rPr>
  </w:style>
  <w:style w:type="character" w:customStyle="1" w:styleId="19">
    <w:name w:val="脚注文本 字符"/>
    <w:basedOn w:val="12"/>
    <w:link w:val="8"/>
    <w:semiHidden/>
    <w:qFormat/>
    <w:uiPriority w:val="99"/>
    <w:rPr>
      <w:rFonts w:ascii="宋体" w:hAnsi="宋体" w:eastAsia="宋体" w:cs="宋体"/>
      <w:kern w:val="0"/>
      <w:sz w:val="18"/>
      <w:szCs w:val="18"/>
      <w:lang w:eastAsia="en-US"/>
    </w:rPr>
  </w:style>
  <w:style w:type="character" w:styleId="20">
    <w:name w:val="Placeholder Text"/>
    <w:basedOn w:val="12"/>
    <w:semiHidden/>
    <w:qFormat/>
    <w:uiPriority w:val="99"/>
    <w:rPr>
      <w:color w:val="666666"/>
    </w:rPr>
  </w:style>
  <w:style w:type="paragraph" w:customStyle="1" w:styleId="21">
    <w:name w:val="TOC 标题1"/>
    <w:basedOn w:val="2"/>
    <w:next w:val="1"/>
    <w:unhideWhenUsed/>
    <w:qFormat/>
    <w:uiPriority w:val="39"/>
    <w:pPr>
      <w:keepNext/>
      <w:keepLines/>
      <w:widowControl/>
      <w:autoSpaceDE/>
      <w:autoSpaceDN/>
      <w:spacing w:before="240" w:line="259" w:lineRule="auto"/>
      <w:ind w:left="0" w:firstLine="0"/>
      <w:outlineLvl w:val="9"/>
    </w:pPr>
    <w:rPr>
      <w:rFonts w:asciiTheme="majorHAnsi" w:hAnsiTheme="majorHAnsi" w:eastAsiaTheme="majorEastAsia" w:cstheme="majorBidi"/>
      <w:b w:val="0"/>
      <w:bCs w:val="0"/>
      <w:color w:val="2F5597" w:themeColor="accent1" w:themeShade="BF"/>
      <w:sz w:val="32"/>
      <w:szCs w:val="32"/>
      <w:lang w:eastAsia="zh-CN"/>
    </w:rPr>
  </w:style>
  <w:style w:type="paragraph" w:customStyle="1" w:styleId="22">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
    <w:name w:val="章标题 字符"/>
    <w:link w:val="24"/>
    <w:qFormat/>
    <w:uiPriority w:val="0"/>
    <w:rPr>
      <w:rFonts w:ascii="黑体" w:hAnsi="黑体" w:eastAsia="黑体" w:cs="黑体"/>
      <w:sz w:val="21"/>
      <w:szCs w:val="21"/>
    </w:rPr>
  </w:style>
  <w:style w:type="paragraph" w:customStyle="1" w:styleId="24">
    <w:name w:val="章标题"/>
    <w:basedOn w:val="1"/>
    <w:next w:val="1"/>
    <w:link w:val="23"/>
    <w:qFormat/>
    <w:uiPriority w:val="0"/>
    <w:pPr>
      <w:widowControl/>
      <w:numPr>
        <w:ilvl w:val="1"/>
        <w:numId w:val="1"/>
      </w:numPr>
      <w:spacing w:beforeLines="100" w:afterLines="100"/>
      <w:outlineLvl w:val="0"/>
    </w:pPr>
    <w:rPr>
      <w:rFonts w:ascii="黑体" w:hAnsi="黑体" w:eastAsia="黑体" w:cs="黑体"/>
      <w:kern w:val="0"/>
      <w:szCs w:val="21"/>
    </w:rPr>
  </w:style>
  <w:style w:type="paragraph" w:styleId="2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37ebbae6-8810-4bf1-bce8-51bcd30f2abc</errorID>
      <errorWord>补能</errorWord>
      <group>L1_Word</group>
      <groupName>字词问题</groupName>
      <ability>L2_Typo</ability>
      <abilityName>字词错误</abilityName>
      <candidateList>
        <item>不能</item>
      </candidateList>
      <explain/>
      <paraID>24A617D8</paraID>
      <start>64</start>
      <end>66</end>
      <status>ignored</status>
      <modifiedWord/>
      <trackRevisions>false</trackRevisions>
    </reviewItem>
    <reviewItem>
      <errorID>3c1797d7-96d5-4886-b56e-9c63639b6c72</errorID>
      <errorWord>打捆在</errorWord>
      <group>L1_Word</group>
      <groupName>字词问题</groupName>
      <ability>L2_Typo</ability>
      <abilityName>字词错误</abilityName>
      <candidateList>
        <item>打捆</item>
      </candidateList>
      <explain/>
      <paraID>2E288819</paraID>
      <start>17</start>
      <end>22</end>
      <status>modified</status>
      <modifiedWord>打捆</modifiedWord>
      <trackRevisions>true</trackRevisions>
    </reviewItem>
    <reviewItem>
      <errorID>db24c2e5-27cf-4cf3-9585-f2be4554ad04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5E56CD98</paraID>
      <start>140</start>
      <end>141</end>
      <status>ignored</status>
      <modifiedWord/>
      <trackRevisions>false</trackRevisions>
    </reviewItem>
    <reviewItem>
      <errorID>df0c5b17-b57e-4033-9746-ab20249a6ac9</errorID>
      <errorWord>,</errorWord>
      <group>L1_Punc</group>
      <groupName>标点问题</groupName>
      <ability>L2_Punc_CN</ability>
      <abilityName>标点符号问题</abilityName>
      <candidateList/>
      <explain/>
      <paraID>444AC317</paraID>
      <start>14</start>
      <end>15</end>
      <status>ignored</status>
      <modifiedWord/>
      <trackRevisions>false</trackRevisions>
    </reviewItem>
    <reviewItem>
      <errorID>8c1b5bf2-a93c-4064-b5b7-3b93962adc6a</errorID>
      <errorWord>,</errorWord>
      <group>L1_Punc</group>
      <groupName>标点问题</groupName>
      <ability>L2_Punc_CN</ability>
      <abilityName>标点符号问题</abilityName>
      <candidateList/>
      <explain/>
      <paraID>43C76D0D</paraID>
      <start>14</start>
      <end>15</end>
      <status>ignored</status>
      <modifiedWord/>
      <trackRevisions>false</trackRevisions>
    </reviewItem>
    <reviewItem>
      <errorID>523cffcb-6e6e-42ff-a60e-602cde005d75</errorID>
      <errorWord>。</errorWord>
      <group>L1_Punc</group>
      <groupName>标点问题</groupName>
      <ability>L2_Punc_CN</ability>
      <abilityName>标点符号问题</abilityName>
      <candidateList/>
      <explain/>
      <paraID> 126CBA3</paraID>
      <start>91</start>
      <end>92</end>
      <status>ignored</status>
      <modifiedWord/>
      <trackRevisions>false</trackRevisions>
    </reviewItem>
    <reviewItem>
      <errorID>54e9d63a-d9cd-4e87-a810-84cfbaba6684</errorID>
      <errorWord>行政区域区</errorWord>
      <group>L1_Word</group>
      <groupName>字词问题</groupName>
      <ability>L2_Typo</ability>
      <abilityName>字词错误</abilityName>
      <candidateList>
        <item>行政区域</item>
      </candidateList>
      <explain/>
      <paraID>77BC039C</paraID>
      <start>50</start>
      <end>59</end>
      <status>modified</status>
      <modifiedWord>行政区域</modifiedWord>
      <trackRevisions>true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92ca6-2165-43e3-ad88-2465ca580f7d}">
  <ds:schemaRefs/>
</ds:datastoreItem>
</file>

<file path=customXml/itemProps2.xml><?xml version="1.0" encoding="utf-8"?>
<ds:datastoreItem xmlns:ds="http://schemas.openxmlformats.org/officeDocument/2006/customXml" ds:itemID="{4220073B-BE95-4226-844B-D8F894C17F39}">
  <ds:schemaRefs/>
</ds:datastoreItem>
</file>

<file path=docProps/app.xml><?xml version="1.0" encoding="utf-8"?>
<Properties xmlns="http://schemas.openxmlformats.org/officeDocument/2006/extended-properties" xmlns:vt="http://schemas.openxmlformats.org/officeDocument/2006/docPropsVTypes">
  <Template>Normal</Template>
  <Pages>11</Pages>
  <Words>100</Words>
  <Characters>103</Characters>
  <Lines>42</Lines>
  <Paragraphs>11</Paragraphs>
  <TotalTime>8</TotalTime>
  <ScaleCrop>false</ScaleCrop>
  <LinksUpToDate>false</LinksUpToDate>
  <CharactersWithSpaces>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2024-07-25T08:50:00Z</dcterms:created>
  <dc:creator>Yidan WANG</dc:creator>
  <cp:lastModifiedBy>沙浅岛</cp:lastModifiedBy>
  <dcterms:modified xsi:type="dcterms:W3CDTF">2026-09-21T08:49:35Z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EBB30EBC1A94426FBE3CA591BE242102_13</vt:lpwstr>
  </property>
  <property fmtid="{D5CDD505-2E9C-101B-9397-08002B2CF9AE}" pid="4" name="MTWinEqns">
    <vt:bool>true</vt:bool>
  </property>
  <property fmtid="{D5CDD505-2E9C-101B-9397-08002B2CF9AE}" pid="5" name="KSOTemplateDocerSaveRecord">
    <vt:lpwstr>eyJoZGlkIjoiNjJhNTE5YzkwNGZmYTUyM2RmZmVlNjk1YTg0NjIzM2QiLCJ1c2VySWQiOiIzODAxMzE1ODEifQ==</vt:lpwstr>
  </property>
</Properties>
</file>