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A2D1E2">
      <w:pPr>
        <w:rPr>
          <w:rFonts w:cs="Times New Roman"/>
        </w:rPr>
      </w:pPr>
      <w:bookmarkStart w:id="0" w:name="OLE_LINK59"/>
    </w:p>
    <w:p w14:paraId="465A6E65">
      <w:pPr>
        <w:rPr>
          <w:rFonts w:cs="Times New Roman"/>
        </w:rPr>
      </w:pPr>
    </w:p>
    <w:p w14:paraId="1649E160">
      <w:pPr>
        <w:rPr>
          <w:rFonts w:cs="Times New Roman"/>
        </w:rPr>
      </w:pPr>
    </w:p>
    <w:p w14:paraId="71BB3E28">
      <w:pPr>
        <w:pStyle w:val="2"/>
        <w:spacing w:before="312" w:after="312"/>
        <w:rPr>
          <w:rFonts w:hint="eastAsia" w:cs="Times New Roman"/>
          <w:szCs w:val="52"/>
        </w:rPr>
      </w:pPr>
      <w:bookmarkStart w:id="1" w:name="_Toc2146"/>
      <w:r>
        <w:rPr>
          <w:rFonts w:cs="Times New Roman"/>
          <w:szCs w:val="52"/>
        </w:rPr>
        <w:t>南京市湿地</w:t>
      </w:r>
      <w:r>
        <w:rPr>
          <w:rFonts w:hint="eastAsia" w:cs="Times New Roman"/>
          <w:szCs w:val="52"/>
        </w:rPr>
        <w:t>碳汇生态修复</w:t>
      </w:r>
    </w:p>
    <w:p w14:paraId="3C3E9679">
      <w:pPr>
        <w:pStyle w:val="2"/>
        <w:spacing w:before="312" w:after="312"/>
        <w:rPr>
          <w:rFonts w:cs="Times New Roman"/>
          <w:szCs w:val="52"/>
        </w:rPr>
      </w:pPr>
      <w:r>
        <w:rPr>
          <w:rFonts w:cs="Times New Roman"/>
          <w:szCs w:val="52"/>
        </w:rPr>
        <w:t>碳普惠方法学</w:t>
      </w:r>
      <w:bookmarkEnd w:id="1"/>
    </w:p>
    <w:p w14:paraId="79CDA113">
      <w:pPr>
        <w:ind w:firstLine="0" w:firstLineChars="0"/>
        <w:rPr>
          <w:rFonts w:cs="Times New Roman"/>
        </w:rPr>
      </w:pPr>
    </w:p>
    <w:p w14:paraId="5DED79D2">
      <w:pPr>
        <w:rPr>
          <w:rFonts w:cs="Times New Roman"/>
        </w:rPr>
      </w:pPr>
    </w:p>
    <w:p w14:paraId="7A67603A">
      <w:pPr>
        <w:rPr>
          <w:rFonts w:cs="Times New Roman"/>
        </w:rPr>
      </w:pPr>
    </w:p>
    <w:p w14:paraId="6AE38355">
      <w:pPr>
        <w:rPr>
          <w:rFonts w:cs="Times New Roman"/>
        </w:rPr>
      </w:pPr>
    </w:p>
    <w:p w14:paraId="3532543B">
      <w:pPr>
        <w:rPr>
          <w:rFonts w:cs="Times New Roman"/>
        </w:rPr>
      </w:pPr>
    </w:p>
    <w:p w14:paraId="66D63B1D">
      <w:pPr>
        <w:rPr>
          <w:rFonts w:cs="Times New Roman"/>
        </w:rPr>
      </w:pPr>
    </w:p>
    <w:p w14:paraId="43A6C604">
      <w:pPr>
        <w:rPr>
          <w:rFonts w:cs="Times New Roman"/>
        </w:rPr>
      </w:pPr>
    </w:p>
    <w:p w14:paraId="7007524E">
      <w:pPr>
        <w:rPr>
          <w:rFonts w:cs="Times New Roman"/>
        </w:rPr>
      </w:pPr>
    </w:p>
    <w:p w14:paraId="63ED65C8">
      <w:pPr>
        <w:rPr>
          <w:rFonts w:cs="Times New Roman"/>
        </w:rPr>
      </w:pPr>
    </w:p>
    <w:p w14:paraId="256695C8">
      <w:pPr>
        <w:rPr>
          <w:rFonts w:cs="Times New Roman"/>
        </w:rPr>
      </w:pPr>
    </w:p>
    <w:p w14:paraId="6B8CD140">
      <w:pPr>
        <w:rPr>
          <w:rFonts w:cs="Times New Roman"/>
        </w:rPr>
      </w:pPr>
    </w:p>
    <w:p w14:paraId="14447BEA">
      <w:pPr>
        <w:rPr>
          <w:rFonts w:cs="Times New Roman"/>
        </w:rPr>
      </w:pPr>
    </w:p>
    <w:p w14:paraId="509DE849">
      <w:pPr>
        <w:ind w:firstLine="0" w:firstLineChars="0"/>
        <w:rPr>
          <w:rFonts w:cs="Times New Roman"/>
        </w:rPr>
      </w:pPr>
    </w:p>
    <w:bookmarkEnd w:id="0"/>
    <w:p w14:paraId="0D40319F">
      <w:pPr>
        <w:ind w:firstLine="640"/>
        <w:jc w:val="center"/>
        <w:rPr>
          <w:rFonts w:eastAsia="黑体" w:cs="Times New Roman"/>
          <w:sz w:val="32"/>
          <w:szCs w:val="32"/>
          <w:highlight w:val="none"/>
        </w:rPr>
      </w:pPr>
      <w:r>
        <w:rPr>
          <w:rFonts w:eastAsia="黑体" w:cs="Times New Roman"/>
          <w:sz w:val="32"/>
          <w:szCs w:val="32"/>
          <w:highlight w:val="none"/>
        </w:rPr>
        <w:t>二〇二六年</w:t>
      </w:r>
      <w:r>
        <w:rPr>
          <w:rFonts w:hint="eastAsia" w:eastAsia="黑体" w:cs="Times New Roman"/>
          <w:sz w:val="32"/>
          <w:szCs w:val="32"/>
          <w:highlight w:val="none"/>
          <w:lang w:val="en-US" w:eastAsia="zh-CN"/>
        </w:rPr>
        <w:t>八</w:t>
      </w:r>
      <w:r>
        <w:rPr>
          <w:rFonts w:eastAsia="黑体" w:cs="Times New Roman"/>
          <w:sz w:val="32"/>
          <w:szCs w:val="32"/>
          <w:highlight w:val="none"/>
        </w:rPr>
        <w:t>月</w:t>
      </w:r>
    </w:p>
    <w:p w14:paraId="06526E4E">
      <w:pPr>
        <w:ind w:firstLine="0" w:firstLineChars="0"/>
        <w:jc w:val="left"/>
        <w:rPr>
          <w:rFonts w:eastAsia="黑体" w:cs="Times New Roman"/>
          <w:sz w:val="32"/>
          <w:szCs w:val="32"/>
        </w:rPr>
      </w:pPr>
      <w:r>
        <w:rPr>
          <w:rFonts w:eastAsia="黑体" w:cs="Times New Roman"/>
          <w:sz w:val="32"/>
          <w:szCs w:val="32"/>
        </w:rPr>
        <w:br w:type="page"/>
      </w:r>
    </w:p>
    <w:sdt>
      <w:sdtPr>
        <w:rPr>
          <w:rStyle w:val="18"/>
          <w:rFonts w:hint="eastAsia" w:ascii="黑体" w:hAnsi="黑体" w:eastAsia="黑体" w:cs="黑体"/>
          <w:color w:val="auto"/>
          <w:sz w:val="32"/>
          <w:szCs w:val="32"/>
        </w:rPr>
        <w:id w:val="147467168"/>
        <w15:color w:val="DBDBDB"/>
        <w:docPartObj>
          <w:docPartGallery w:val="Table of Contents"/>
          <w:docPartUnique/>
        </w:docPartObj>
      </w:sdtPr>
      <w:sdtEndPr>
        <w:rPr>
          <w:rStyle w:val="18"/>
          <w:rFonts w:hint="eastAsia" w:ascii="Times New Roman" w:hAnsi="Times New Roman" w:eastAsia="黑体" w:cs="Times New Roman"/>
          <w:color w:val="auto"/>
          <w:sz w:val="28"/>
          <w:szCs w:val="32"/>
        </w:rPr>
      </w:sdtEndPr>
      <w:sdtContent>
        <w:p w14:paraId="31E25D56">
          <w:pPr>
            <w:tabs>
              <w:tab w:val="right" w:leader="dot" w:pos="8306"/>
            </w:tabs>
            <w:spacing w:line="240" w:lineRule="auto"/>
            <w:ind w:firstLine="0" w:firstLineChars="0"/>
            <w:jc w:val="center"/>
          </w:pPr>
          <w:r>
            <w:rPr>
              <w:rStyle w:val="18"/>
              <w:rFonts w:hint="eastAsia" w:ascii="黑体" w:hAnsi="黑体" w:eastAsia="黑体" w:cs="黑体"/>
              <w:color w:val="auto"/>
              <w:sz w:val="32"/>
              <w:szCs w:val="32"/>
            </w:rPr>
            <w:t>目录</w:t>
          </w:r>
          <w:r>
            <w:rPr>
              <w:rFonts w:eastAsia="黑体" w:cs="Times New Roman"/>
              <w:sz w:val="32"/>
              <w:szCs w:val="32"/>
            </w:rPr>
            <w:fldChar w:fldCharType="begin"/>
          </w:r>
          <w:r>
            <w:rPr>
              <w:rFonts w:eastAsia="黑体" w:cs="Times New Roman"/>
              <w:sz w:val="32"/>
              <w:szCs w:val="32"/>
            </w:rPr>
            <w:instrText xml:space="preserve">TOC \o "1-2" \h \u </w:instrText>
          </w:r>
          <w:r>
            <w:rPr>
              <w:rFonts w:eastAsia="黑体" w:cs="Times New Roman"/>
              <w:sz w:val="32"/>
              <w:szCs w:val="32"/>
            </w:rPr>
            <w:fldChar w:fldCharType="separate"/>
          </w:r>
        </w:p>
        <w:p w14:paraId="43EC8A8A">
          <w:pPr>
            <w:pStyle w:val="10"/>
            <w:tabs>
              <w:tab w:val="right" w:leader="dot" w:pos="8306"/>
            </w:tabs>
            <w:spacing w:line="240" w:lineRule="auto"/>
            <w:ind w:left="560" w:firstLine="0" w:firstLineChars="0"/>
            <w:rPr>
              <w:rFonts w:eastAsia="黑体" w:cs="Times New Roman"/>
              <w:bCs/>
              <w:szCs w:val="28"/>
            </w:rPr>
          </w:pPr>
          <w:r>
            <w:fldChar w:fldCharType="begin"/>
          </w:r>
          <w:r>
            <w:instrText xml:space="preserve"> HYPERLINK \l "_Toc6974" </w:instrText>
          </w:r>
          <w:r>
            <w:fldChar w:fldCharType="separate"/>
          </w:r>
          <w:r>
            <w:rPr>
              <w:rFonts w:hint="eastAsia" w:eastAsia="黑体" w:cs="Times New Roman"/>
              <w:bCs/>
              <w:szCs w:val="28"/>
            </w:rPr>
            <w:t>1 引言</w:t>
          </w:r>
          <w:r>
            <w:rPr>
              <w:rFonts w:eastAsia="黑体" w:cs="Times New Roman"/>
              <w:bCs/>
              <w:szCs w:val="28"/>
            </w:rPr>
            <w:tab/>
          </w:r>
          <w:r>
            <w:rPr>
              <w:rFonts w:eastAsia="黑体" w:cs="Times New Roman"/>
              <w:bCs/>
              <w:szCs w:val="28"/>
            </w:rPr>
            <w:fldChar w:fldCharType="begin"/>
          </w:r>
          <w:r>
            <w:rPr>
              <w:rFonts w:eastAsia="黑体" w:cs="Times New Roman"/>
              <w:bCs/>
              <w:szCs w:val="28"/>
            </w:rPr>
            <w:instrText xml:space="preserve"> PAGEREF _Toc6974 \h </w:instrText>
          </w:r>
          <w:r>
            <w:rPr>
              <w:rFonts w:eastAsia="黑体" w:cs="Times New Roman"/>
              <w:bCs/>
              <w:szCs w:val="28"/>
            </w:rPr>
            <w:fldChar w:fldCharType="separate"/>
          </w:r>
          <w:r>
            <w:rPr>
              <w:rFonts w:eastAsia="黑体" w:cs="Times New Roman"/>
              <w:bCs/>
              <w:szCs w:val="28"/>
            </w:rPr>
            <w:t>1</w:t>
          </w:r>
          <w:r>
            <w:rPr>
              <w:rFonts w:eastAsia="黑体" w:cs="Times New Roman"/>
              <w:bCs/>
              <w:szCs w:val="28"/>
            </w:rPr>
            <w:fldChar w:fldCharType="end"/>
          </w:r>
          <w:r>
            <w:rPr>
              <w:rFonts w:eastAsia="黑体" w:cs="Times New Roman"/>
              <w:bCs/>
              <w:szCs w:val="28"/>
            </w:rPr>
            <w:fldChar w:fldCharType="end"/>
          </w:r>
        </w:p>
        <w:p w14:paraId="0B14F867">
          <w:pPr>
            <w:pStyle w:val="10"/>
            <w:tabs>
              <w:tab w:val="right" w:leader="dot" w:pos="8306"/>
            </w:tabs>
            <w:spacing w:line="240" w:lineRule="auto"/>
            <w:ind w:left="560" w:firstLine="0" w:firstLineChars="0"/>
            <w:rPr>
              <w:rFonts w:eastAsia="黑体" w:cs="Times New Roman"/>
              <w:bCs/>
              <w:szCs w:val="28"/>
            </w:rPr>
          </w:pPr>
          <w:r>
            <w:fldChar w:fldCharType="begin"/>
          </w:r>
          <w:r>
            <w:instrText xml:space="preserve"> HYPERLINK \l "_Toc24446" </w:instrText>
          </w:r>
          <w:r>
            <w:fldChar w:fldCharType="separate"/>
          </w:r>
          <w:r>
            <w:rPr>
              <w:rFonts w:hint="eastAsia" w:eastAsia="黑体" w:cs="Times New Roman"/>
              <w:bCs/>
              <w:szCs w:val="28"/>
            </w:rPr>
            <w:t>2 适用范围</w:t>
          </w:r>
          <w:r>
            <w:rPr>
              <w:rFonts w:eastAsia="黑体" w:cs="Times New Roman"/>
              <w:bCs/>
              <w:szCs w:val="28"/>
            </w:rPr>
            <w:tab/>
          </w:r>
          <w:r>
            <w:rPr>
              <w:rFonts w:eastAsia="黑体" w:cs="Times New Roman"/>
              <w:bCs/>
              <w:szCs w:val="28"/>
            </w:rPr>
            <w:fldChar w:fldCharType="begin"/>
          </w:r>
          <w:r>
            <w:rPr>
              <w:rFonts w:eastAsia="黑体" w:cs="Times New Roman"/>
              <w:bCs/>
              <w:szCs w:val="28"/>
            </w:rPr>
            <w:instrText xml:space="preserve"> PAGEREF _Toc24446 \h </w:instrText>
          </w:r>
          <w:r>
            <w:rPr>
              <w:rFonts w:eastAsia="黑体" w:cs="Times New Roman"/>
              <w:bCs/>
              <w:szCs w:val="28"/>
            </w:rPr>
            <w:fldChar w:fldCharType="separate"/>
          </w:r>
          <w:r>
            <w:rPr>
              <w:rFonts w:eastAsia="黑体" w:cs="Times New Roman"/>
              <w:bCs/>
              <w:szCs w:val="28"/>
            </w:rPr>
            <w:t>1</w:t>
          </w:r>
          <w:r>
            <w:rPr>
              <w:rFonts w:eastAsia="黑体" w:cs="Times New Roman"/>
              <w:bCs/>
              <w:szCs w:val="28"/>
            </w:rPr>
            <w:fldChar w:fldCharType="end"/>
          </w:r>
          <w:r>
            <w:rPr>
              <w:rFonts w:eastAsia="黑体" w:cs="Times New Roman"/>
              <w:bCs/>
              <w:szCs w:val="28"/>
            </w:rPr>
            <w:fldChar w:fldCharType="end"/>
          </w:r>
        </w:p>
        <w:p w14:paraId="7ACD87F9">
          <w:pPr>
            <w:pStyle w:val="10"/>
            <w:tabs>
              <w:tab w:val="right" w:leader="dot" w:pos="8306"/>
            </w:tabs>
            <w:spacing w:line="240" w:lineRule="auto"/>
            <w:ind w:left="560" w:firstLine="0" w:firstLineChars="0"/>
            <w:rPr>
              <w:rFonts w:eastAsia="黑体" w:cs="Times New Roman"/>
              <w:bCs/>
              <w:szCs w:val="28"/>
            </w:rPr>
          </w:pPr>
          <w:r>
            <w:fldChar w:fldCharType="begin"/>
          </w:r>
          <w:r>
            <w:instrText xml:space="preserve"> HYPERLINK \l "_Toc2183" </w:instrText>
          </w:r>
          <w:r>
            <w:fldChar w:fldCharType="separate"/>
          </w:r>
          <w:r>
            <w:rPr>
              <w:rFonts w:hint="eastAsia" w:eastAsia="黑体" w:cs="Times New Roman"/>
              <w:bCs/>
              <w:szCs w:val="28"/>
            </w:rPr>
            <w:t>3 引用文件</w:t>
          </w:r>
          <w:r>
            <w:rPr>
              <w:rFonts w:eastAsia="黑体" w:cs="Times New Roman"/>
              <w:bCs/>
              <w:szCs w:val="28"/>
            </w:rPr>
            <w:tab/>
          </w:r>
          <w:r>
            <w:rPr>
              <w:rFonts w:eastAsia="黑体" w:cs="Times New Roman"/>
              <w:bCs/>
              <w:szCs w:val="28"/>
            </w:rPr>
            <w:fldChar w:fldCharType="begin"/>
          </w:r>
          <w:r>
            <w:rPr>
              <w:rFonts w:eastAsia="黑体" w:cs="Times New Roman"/>
              <w:bCs/>
              <w:szCs w:val="28"/>
            </w:rPr>
            <w:instrText xml:space="preserve"> PAGEREF _Toc2183 \h </w:instrText>
          </w:r>
          <w:r>
            <w:rPr>
              <w:rFonts w:eastAsia="黑体" w:cs="Times New Roman"/>
              <w:bCs/>
              <w:szCs w:val="28"/>
            </w:rPr>
            <w:fldChar w:fldCharType="separate"/>
          </w:r>
          <w:r>
            <w:rPr>
              <w:rFonts w:eastAsia="黑体" w:cs="Times New Roman"/>
              <w:bCs/>
              <w:szCs w:val="28"/>
            </w:rPr>
            <w:t>3</w:t>
          </w:r>
          <w:r>
            <w:rPr>
              <w:rFonts w:eastAsia="黑体" w:cs="Times New Roman"/>
              <w:bCs/>
              <w:szCs w:val="28"/>
            </w:rPr>
            <w:fldChar w:fldCharType="end"/>
          </w:r>
          <w:r>
            <w:rPr>
              <w:rFonts w:eastAsia="黑体" w:cs="Times New Roman"/>
              <w:bCs/>
              <w:szCs w:val="28"/>
            </w:rPr>
            <w:fldChar w:fldCharType="end"/>
          </w:r>
        </w:p>
        <w:p w14:paraId="28CC33BA">
          <w:pPr>
            <w:pStyle w:val="10"/>
            <w:tabs>
              <w:tab w:val="right" w:leader="dot" w:pos="8306"/>
            </w:tabs>
            <w:spacing w:line="240" w:lineRule="auto"/>
            <w:ind w:left="560" w:firstLine="0" w:firstLineChars="0"/>
            <w:rPr>
              <w:rFonts w:eastAsia="黑体" w:cs="Times New Roman"/>
              <w:bCs/>
              <w:szCs w:val="28"/>
            </w:rPr>
          </w:pPr>
          <w:r>
            <w:fldChar w:fldCharType="begin"/>
          </w:r>
          <w:r>
            <w:instrText xml:space="preserve"> HYPERLINK \l "_Toc10171" </w:instrText>
          </w:r>
          <w:r>
            <w:fldChar w:fldCharType="separate"/>
          </w:r>
          <w:r>
            <w:rPr>
              <w:rFonts w:hint="eastAsia" w:eastAsia="黑体" w:cs="Times New Roman"/>
              <w:bCs/>
              <w:szCs w:val="28"/>
            </w:rPr>
            <w:t>4 术语与定义</w:t>
          </w:r>
          <w:r>
            <w:rPr>
              <w:rFonts w:eastAsia="黑体" w:cs="Times New Roman"/>
              <w:bCs/>
              <w:szCs w:val="28"/>
            </w:rPr>
            <w:tab/>
          </w:r>
          <w:r>
            <w:rPr>
              <w:rFonts w:eastAsia="黑体" w:cs="Times New Roman"/>
              <w:bCs/>
              <w:szCs w:val="28"/>
            </w:rPr>
            <w:fldChar w:fldCharType="begin"/>
          </w:r>
          <w:r>
            <w:rPr>
              <w:rFonts w:eastAsia="黑体" w:cs="Times New Roman"/>
              <w:bCs/>
              <w:szCs w:val="28"/>
            </w:rPr>
            <w:instrText xml:space="preserve"> PAGEREF _Toc10171 \h </w:instrText>
          </w:r>
          <w:r>
            <w:rPr>
              <w:rFonts w:eastAsia="黑体" w:cs="Times New Roman"/>
              <w:bCs/>
              <w:szCs w:val="28"/>
            </w:rPr>
            <w:fldChar w:fldCharType="separate"/>
          </w:r>
          <w:r>
            <w:rPr>
              <w:rFonts w:eastAsia="黑体" w:cs="Times New Roman"/>
              <w:bCs/>
              <w:szCs w:val="28"/>
            </w:rPr>
            <w:t>4</w:t>
          </w:r>
          <w:r>
            <w:rPr>
              <w:rFonts w:eastAsia="黑体" w:cs="Times New Roman"/>
              <w:bCs/>
              <w:szCs w:val="28"/>
            </w:rPr>
            <w:fldChar w:fldCharType="end"/>
          </w:r>
          <w:r>
            <w:rPr>
              <w:rFonts w:eastAsia="黑体" w:cs="Times New Roman"/>
              <w:bCs/>
              <w:szCs w:val="28"/>
            </w:rPr>
            <w:fldChar w:fldCharType="end"/>
          </w:r>
        </w:p>
        <w:p w14:paraId="4592F56D">
          <w:pPr>
            <w:pStyle w:val="10"/>
            <w:tabs>
              <w:tab w:val="right" w:leader="dot" w:pos="8306"/>
            </w:tabs>
            <w:spacing w:line="240" w:lineRule="auto"/>
            <w:ind w:left="560" w:firstLine="0" w:firstLineChars="0"/>
            <w:rPr>
              <w:rFonts w:eastAsia="黑体" w:cs="Times New Roman"/>
              <w:bCs/>
              <w:szCs w:val="28"/>
            </w:rPr>
          </w:pPr>
          <w:r>
            <w:fldChar w:fldCharType="begin"/>
          </w:r>
          <w:r>
            <w:instrText xml:space="preserve"> HYPERLINK \l "_Toc18468" </w:instrText>
          </w:r>
          <w:r>
            <w:fldChar w:fldCharType="separate"/>
          </w:r>
          <w:r>
            <w:rPr>
              <w:rFonts w:hint="eastAsia" w:eastAsia="黑体" w:cs="Times New Roman"/>
              <w:bCs/>
              <w:szCs w:val="28"/>
            </w:rPr>
            <w:t>5 基本要求</w:t>
          </w:r>
          <w:r>
            <w:rPr>
              <w:rFonts w:eastAsia="黑体" w:cs="Times New Roman"/>
              <w:bCs/>
              <w:szCs w:val="28"/>
            </w:rPr>
            <w:tab/>
          </w:r>
          <w:r>
            <w:rPr>
              <w:rFonts w:eastAsia="黑体" w:cs="Times New Roman"/>
              <w:bCs/>
              <w:szCs w:val="28"/>
            </w:rPr>
            <w:fldChar w:fldCharType="begin"/>
          </w:r>
          <w:r>
            <w:rPr>
              <w:rFonts w:eastAsia="黑体" w:cs="Times New Roman"/>
              <w:bCs/>
              <w:szCs w:val="28"/>
            </w:rPr>
            <w:instrText xml:space="preserve"> PAGEREF _Toc18468 \h </w:instrText>
          </w:r>
          <w:r>
            <w:rPr>
              <w:rFonts w:eastAsia="黑体" w:cs="Times New Roman"/>
              <w:bCs/>
              <w:szCs w:val="28"/>
            </w:rPr>
            <w:fldChar w:fldCharType="separate"/>
          </w:r>
          <w:r>
            <w:rPr>
              <w:rFonts w:eastAsia="黑体" w:cs="Times New Roman"/>
              <w:bCs/>
              <w:szCs w:val="28"/>
            </w:rPr>
            <w:t>6</w:t>
          </w:r>
          <w:r>
            <w:rPr>
              <w:rFonts w:eastAsia="黑体" w:cs="Times New Roman"/>
              <w:bCs/>
              <w:szCs w:val="28"/>
            </w:rPr>
            <w:fldChar w:fldCharType="end"/>
          </w:r>
          <w:r>
            <w:rPr>
              <w:rFonts w:eastAsia="黑体" w:cs="Times New Roman"/>
              <w:bCs/>
              <w:szCs w:val="28"/>
            </w:rPr>
            <w:fldChar w:fldCharType="end"/>
          </w:r>
        </w:p>
        <w:p w14:paraId="7EF5B3D1">
          <w:pPr>
            <w:pStyle w:val="10"/>
            <w:tabs>
              <w:tab w:val="right" w:leader="dot" w:pos="8306"/>
            </w:tabs>
            <w:spacing w:line="240" w:lineRule="auto"/>
            <w:ind w:left="560" w:firstLine="0" w:firstLineChars="0"/>
            <w:rPr>
              <w:rFonts w:eastAsia="黑体" w:cs="Times New Roman"/>
              <w:bCs/>
              <w:szCs w:val="28"/>
            </w:rPr>
          </w:pPr>
          <w:r>
            <w:fldChar w:fldCharType="begin"/>
          </w:r>
          <w:r>
            <w:instrText xml:space="preserve"> HYPERLINK \l "_Toc17931" </w:instrText>
          </w:r>
          <w:r>
            <w:fldChar w:fldCharType="separate"/>
          </w:r>
          <w:r>
            <w:rPr>
              <w:rFonts w:hint="eastAsia" w:eastAsia="黑体" w:cs="Times New Roman"/>
              <w:bCs/>
              <w:szCs w:val="28"/>
            </w:rPr>
            <w:t>6 核算边界及排放源</w:t>
          </w:r>
          <w:r>
            <w:rPr>
              <w:rFonts w:eastAsia="黑体" w:cs="Times New Roman"/>
              <w:bCs/>
              <w:szCs w:val="28"/>
            </w:rPr>
            <w:tab/>
          </w:r>
          <w:r>
            <w:rPr>
              <w:rFonts w:eastAsia="黑体" w:cs="Times New Roman"/>
              <w:bCs/>
              <w:szCs w:val="28"/>
            </w:rPr>
            <w:fldChar w:fldCharType="begin"/>
          </w:r>
          <w:r>
            <w:rPr>
              <w:rFonts w:eastAsia="黑体" w:cs="Times New Roman"/>
              <w:bCs/>
              <w:szCs w:val="28"/>
            </w:rPr>
            <w:instrText xml:space="preserve"> PAGEREF _Toc17931 \h </w:instrText>
          </w:r>
          <w:r>
            <w:rPr>
              <w:rFonts w:eastAsia="黑体" w:cs="Times New Roman"/>
              <w:bCs/>
              <w:szCs w:val="28"/>
            </w:rPr>
            <w:fldChar w:fldCharType="separate"/>
          </w:r>
          <w:r>
            <w:rPr>
              <w:rFonts w:eastAsia="黑体" w:cs="Times New Roman"/>
              <w:bCs/>
              <w:szCs w:val="28"/>
            </w:rPr>
            <w:t>6</w:t>
          </w:r>
          <w:r>
            <w:rPr>
              <w:rFonts w:eastAsia="黑体" w:cs="Times New Roman"/>
              <w:bCs/>
              <w:szCs w:val="28"/>
            </w:rPr>
            <w:fldChar w:fldCharType="end"/>
          </w:r>
          <w:r>
            <w:rPr>
              <w:rFonts w:eastAsia="黑体" w:cs="Times New Roman"/>
              <w:bCs/>
              <w:szCs w:val="28"/>
            </w:rPr>
            <w:fldChar w:fldCharType="end"/>
          </w:r>
        </w:p>
        <w:p w14:paraId="2EC46456">
          <w:pPr>
            <w:pStyle w:val="10"/>
            <w:tabs>
              <w:tab w:val="right" w:leader="dot" w:pos="8306"/>
            </w:tabs>
            <w:spacing w:line="240" w:lineRule="auto"/>
            <w:ind w:left="560" w:firstLine="0" w:firstLineChars="0"/>
            <w:rPr>
              <w:rFonts w:eastAsia="黑体" w:cs="Times New Roman"/>
              <w:bCs/>
              <w:szCs w:val="28"/>
            </w:rPr>
          </w:pPr>
          <w:r>
            <w:fldChar w:fldCharType="begin"/>
          </w:r>
          <w:r>
            <w:instrText xml:space="preserve"> HYPERLINK \l "_Toc25440" </w:instrText>
          </w:r>
          <w:r>
            <w:fldChar w:fldCharType="separate"/>
          </w:r>
          <w:r>
            <w:rPr>
              <w:rFonts w:hint="eastAsia" w:eastAsia="黑体" w:cs="Times New Roman"/>
              <w:bCs/>
              <w:szCs w:val="28"/>
            </w:rPr>
            <w:t>7 减排量核算</w:t>
          </w:r>
          <w:r>
            <w:rPr>
              <w:rFonts w:eastAsia="黑体" w:cs="Times New Roman"/>
              <w:bCs/>
              <w:szCs w:val="28"/>
            </w:rPr>
            <w:tab/>
          </w:r>
          <w:r>
            <w:rPr>
              <w:rFonts w:eastAsia="黑体" w:cs="Times New Roman"/>
              <w:bCs/>
              <w:szCs w:val="28"/>
            </w:rPr>
            <w:fldChar w:fldCharType="begin"/>
          </w:r>
          <w:r>
            <w:rPr>
              <w:rFonts w:eastAsia="黑体" w:cs="Times New Roman"/>
              <w:bCs/>
              <w:szCs w:val="28"/>
            </w:rPr>
            <w:instrText xml:space="preserve"> PAGEREF _Toc25440 \h </w:instrText>
          </w:r>
          <w:r>
            <w:rPr>
              <w:rFonts w:eastAsia="黑体" w:cs="Times New Roman"/>
              <w:bCs/>
              <w:szCs w:val="28"/>
            </w:rPr>
            <w:fldChar w:fldCharType="separate"/>
          </w:r>
          <w:r>
            <w:rPr>
              <w:rFonts w:eastAsia="黑体" w:cs="Times New Roman"/>
              <w:bCs/>
              <w:szCs w:val="28"/>
            </w:rPr>
            <w:t>11</w:t>
          </w:r>
          <w:r>
            <w:rPr>
              <w:rFonts w:eastAsia="黑体" w:cs="Times New Roman"/>
              <w:bCs/>
              <w:szCs w:val="28"/>
            </w:rPr>
            <w:fldChar w:fldCharType="end"/>
          </w:r>
          <w:r>
            <w:rPr>
              <w:rFonts w:eastAsia="黑体" w:cs="Times New Roman"/>
              <w:bCs/>
              <w:szCs w:val="28"/>
            </w:rPr>
            <w:fldChar w:fldCharType="end"/>
          </w:r>
        </w:p>
        <w:p w14:paraId="25826B8B">
          <w:pPr>
            <w:pStyle w:val="10"/>
            <w:tabs>
              <w:tab w:val="right" w:leader="dot" w:pos="8306"/>
            </w:tabs>
            <w:spacing w:line="240" w:lineRule="auto"/>
            <w:ind w:left="560" w:firstLine="0" w:firstLineChars="0"/>
            <w:rPr>
              <w:rFonts w:eastAsia="黑体" w:cs="Times New Roman"/>
              <w:bCs/>
              <w:szCs w:val="28"/>
            </w:rPr>
          </w:pPr>
          <w:r>
            <w:fldChar w:fldCharType="begin"/>
          </w:r>
          <w:r>
            <w:instrText xml:space="preserve"> HYPERLINK \l "_Toc28110" </w:instrText>
          </w:r>
          <w:r>
            <w:fldChar w:fldCharType="separate"/>
          </w:r>
          <w:r>
            <w:rPr>
              <w:rFonts w:eastAsia="黑体" w:cs="Times New Roman"/>
              <w:bCs/>
              <w:szCs w:val="28"/>
            </w:rPr>
            <w:t xml:space="preserve">8 </w:t>
          </w:r>
          <w:r>
            <w:rPr>
              <w:rFonts w:hint="eastAsia" w:eastAsia="黑体" w:cs="Times New Roman"/>
              <w:bCs/>
              <w:szCs w:val="28"/>
            </w:rPr>
            <w:t>数据来源及监测</w:t>
          </w:r>
          <w:r>
            <w:rPr>
              <w:rFonts w:eastAsia="黑体" w:cs="Times New Roman"/>
              <w:bCs/>
              <w:szCs w:val="28"/>
            </w:rPr>
            <w:tab/>
          </w:r>
          <w:r>
            <w:rPr>
              <w:rFonts w:eastAsia="黑体" w:cs="Times New Roman"/>
              <w:bCs/>
              <w:szCs w:val="28"/>
            </w:rPr>
            <w:fldChar w:fldCharType="begin"/>
          </w:r>
          <w:r>
            <w:rPr>
              <w:rFonts w:eastAsia="黑体" w:cs="Times New Roman"/>
              <w:bCs/>
              <w:szCs w:val="28"/>
            </w:rPr>
            <w:instrText xml:space="preserve"> PAGEREF _Toc28110 \h </w:instrText>
          </w:r>
          <w:r>
            <w:rPr>
              <w:rFonts w:eastAsia="黑体" w:cs="Times New Roman"/>
              <w:bCs/>
              <w:szCs w:val="28"/>
            </w:rPr>
            <w:fldChar w:fldCharType="separate"/>
          </w:r>
          <w:r>
            <w:rPr>
              <w:rFonts w:eastAsia="黑体" w:cs="Times New Roman"/>
              <w:bCs/>
              <w:szCs w:val="28"/>
            </w:rPr>
            <w:t>28</w:t>
          </w:r>
          <w:r>
            <w:rPr>
              <w:rFonts w:eastAsia="黑体" w:cs="Times New Roman"/>
              <w:bCs/>
              <w:szCs w:val="28"/>
            </w:rPr>
            <w:fldChar w:fldCharType="end"/>
          </w:r>
          <w:r>
            <w:rPr>
              <w:rFonts w:eastAsia="黑体" w:cs="Times New Roman"/>
              <w:bCs/>
              <w:szCs w:val="28"/>
            </w:rPr>
            <w:fldChar w:fldCharType="end"/>
          </w:r>
        </w:p>
        <w:p w14:paraId="4170ADBC">
          <w:pPr>
            <w:pStyle w:val="10"/>
            <w:tabs>
              <w:tab w:val="right" w:leader="dot" w:pos="8306"/>
            </w:tabs>
            <w:spacing w:line="240" w:lineRule="auto"/>
            <w:ind w:left="560" w:firstLine="0" w:firstLineChars="0"/>
          </w:pPr>
          <w:r>
            <w:fldChar w:fldCharType="begin"/>
          </w:r>
          <w:r>
            <w:instrText xml:space="preserve"> HYPERLINK \l "_Toc29452" </w:instrText>
          </w:r>
          <w:r>
            <w:fldChar w:fldCharType="separate"/>
          </w:r>
          <w:r>
            <w:rPr>
              <w:rFonts w:hint="eastAsia" w:eastAsia="黑体" w:cs="Times New Roman"/>
              <w:bCs/>
              <w:szCs w:val="28"/>
            </w:rPr>
            <w:t>9项目审定与核查要点</w:t>
          </w:r>
          <w:r>
            <w:rPr>
              <w:rFonts w:eastAsia="黑体" w:cs="Times New Roman"/>
              <w:bCs/>
              <w:szCs w:val="28"/>
            </w:rPr>
            <w:tab/>
          </w:r>
          <w:r>
            <w:rPr>
              <w:rFonts w:eastAsia="黑体" w:cs="Times New Roman"/>
              <w:bCs/>
              <w:szCs w:val="28"/>
            </w:rPr>
            <w:fldChar w:fldCharType="begin"/>
          </w:r>
          <w:r>
            <w:rPr>
              <w:rFonts w:eastAsia="黑体" w:cs="Times New Roman"/>
              <w:bCs/>
              <w:szCs w:val="28"/>
            </w:rPr>
            <w:instrText xml:space="preserve"> PAGEREF _Toc29452 \h </w:instrText>
          </w:r>
          <w:r>
            <w:rPr>
              <w:rFonts w:eastAsia="黑体" w:cs="Times New Roman"/>
              <w:bCs/>
              <w:szCs w:val="28"/>
            </w:rPr>
            <w:fldChar w:fldCharType="separate"/>
          </w:r>
          <w:r>
            <w:rPr>
              <w:rFonts w:eastAsia="黑体" w:cs="Times New Roman"/>
              <w:bCs/>
              <w:szCs w:val="28"/>
            </w:rPr>
            <w:t>58</w:t>
          </w:r>
          <w:r>
            <w:rPr>
              <w:rFonts w:eastAsia="黑体" w:cs="Times New Roman"/>
              <w:bCs/>
              <w:szCs w:val="28"/>
            </w:rPr>
            <w:fldChar w:fldCharType="end"/>
          </w:r>
          <w:r>
            <w:rPr>
              <w:rFonts w:eastAsia="黑体" w:cs="Times New Roman"/>
              <w:bCs/>
              <w:szCs w:val="28"/>
            </w:rPr>
            <w:fldChar w:fldCharType="end"/>
          </w:r>
        </w:p>
        <w:p w14:paraId="6AD1736E">
          <w:pPr>
            <w:pStyle w:val="10"/>
            <w:tabs>
              <w:tab w:val="right" w:leader="dot" w:pos="8306"/>
            </w:tabs>
            <w:ind w:left="560"/>
          </w:pPr>
        </w:p>
        <w:p w14:paraId="18359AC8">
          <w:pPr>
            <w:jc w:val="center"/>
            <w:rPr>
              <w:rFonts w:eastAsia="黑体" w:cs="Times New Roman"/>
              <w:szCs w:val="32"/>
            </w:rPr>
          </w:pPr>
          <w:r>
            <w:rPr>
              <w:rFonts w:eastAsia="黑体" w:cs="Times New Roman"/>
              <w:szCs w:val="32"/>
            </w:rPr>
            <w:fldChar w:fldCharType="end"/>
          </w:r>
        </w:p>
      </w:sdtContent>
    </w:sdt>
    <w:p w14:paraId="7DB88523">
      <w:pPr>
        <w:jc w:val="center"/>
        <w:rPr>
          <w:rFonts w:eastAsia="黑体" w:cs="Times New Roman"/>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14:paraId="514316AC">
      <w:pPr>
        <w:pStyle w:val="3"/>
        <w:spacing w:after="120"/>
        <w:ind w:left="0" w:leftChars="0" w:firstLine="0" w:firstLineChars="0"/>
        <w:jc w:val="center"/>
        <w:rPr>
          <w:rFonts w:ascii="Times New Roman" w:hAnsi="Times New Roman" w:cs="Times New Roman"/>
          <w:kern w:val="44"/>
          <w:sz w:val="52"/>
        </w:rPr>
      </w:pPr>
      <w:bookmarkStart w:id="2" w:name="_Toc6974"/>
      <w:bookmarkStart w:id="3" w:name="_Toc225154728"/>
      <w:bookmarkStart w:id="4" w:name="_Toc225155151"/>
      <w:bookmarkStart w:id="5" w:name="_Toc225155011"/>
      <w:bookmarkStart w:id="6" w:name="_Toc225155027"/>
      <w:bookmarkStart w:id="7" w:name="_Toc154504462"/>
      <w:bookmarkStart w:id="8" w:name="_Toc232172236"/>
      <w:r>
        <w:rPr>
          <w:rFonts w:ascii="Times New Roman" w:hAnsi="Times New Roman" w:cs="Times New Roman"/>
          <w:kern w:val="44"/>
          <w:sz w:val="52"/>
        </w:rPr>
        <w:t>南京市湿地碳汇生态修复</w:t>
      </w:r>
    </w:p>
    <w:p w14:paraId="2F5D47DE">
      <w:pPr>
        <w:pStyle w:val="3"/>
        <w:spacing w:after="120"/>
        <w:ind w:left="0" w:leftChars="0" w:firstLine="0" w:firstLineChars="0"/>
        <w:jc w:val="center"/>
        <w:rPr>
          <w:rFonts w:ascii="Times New Roman" w:hAnsi="Times New Roman" w:cs="Times New Roman"/>
          <w:kern w:val="44"/>
          <w:sz w:val="52"/>
        </w:rPr>
      </w:pPr>
      <w:r>
        <w:rPr>
          <w:rFonts w:ascii="Times New Roman" w:hAnsi="Times New Roman" w:cs="Times New Roman"/>
          <w:kern w:val="44"/>
          <w:sz w:val="52"/>
        </w:rPr>
        <w:t>碳普惠方法学</w:t>
      </w:r>
    </w:p>
    <w:p w14:paraId="35FED06E">
      <w:pPr>
        <w:pStyle w:val="3"/>
        <w:spacing w:after="120"/>
        <w:rPr>
          <w:rFonts w:ascii="Times New Roman" w:hAnsi="Times New Roman" w:cs="Times New Roman"/>
        </w:rPr>
      </w:pPr>
      <w:r>
        <w:rPr>
          <w:rFonts w:ascii="Times New Roman" w:hAnsi="Times New Roman" w:cs="Times New Roman"/>
        </w:rPr>
        <w:t>1 引言</w:t>
      </w:r>
      <w:bookmarkEnd w:id="2"/>
      <w:bookmarkEnd w:id="3"/>
      <w:bookmarkEnd w:id="4"/>
      <w:bookmarkEnd w:id="5"/>
      <w:bookmarkEnd w:id="6"/>
      <w:bookmarkEnd w:id="7"/>
      <w:bookmarkEnd w:id="8"/>
    </w:p>
    <w:p w14:paraId="0B8EE8F3">
      <w:pPr>
        <w:rPr>
          <w:rFonts w:cs="Times New Roman"/>
          <w:highlight w:val="none"/>
        </w:rPr>
      </w:pPr>
      <w:r>
        <w:rPr>
          <w:rFonts w:cs="Times New Roman"/>
          <w:highlight w:val="none"/>
        </w:rPr>
        <w:t>本方法学旨在量化南京市内陆湖泊、河流、沼泽湿地</w:t>
      </w:r>
      <w:r>
        <w:rPr>
          <w:rFonts w:hint="eastAsia" w:cs="Times New Roman"/>
          <w:highlight w:val="none"/>
          <w:lang w:eastAsia="zh-CN"/>
        </w:rPr>
        <w:t>、</w:t>
      </w:r>
      <w:r>
        <w:rPr>
          <w:rFonts w:cs="Times New Roman"/>
          <w:highlight w:val="none"/>
        </w:rPr>
        <w:t>乡村小微湿地实施系统性生态修复、常态化保育管护产生的生态净碳汇，建立本地化、可核查、可交易的湿地碳汇核算体系，拓展南京</w:t>
      </w:r>
      <w:r>
        <w:rPr>
          <w:rFonts w:hint="eastAsia" w:cs="Times New Roman"/>
          <w:highlight w:val="none"/>
          <w:lang w:eastAsia="zh-CN"/>
        </w:rPr>
        <w:t>市</w:t>
      </w:r>
      <w:r>
        <w:rPr>
          <w:rFonts w:cs="Times New Roman"/>
          <w:highlight w:val="none"/>
        </w:rPr>
        <w:t>生态产品价值实现路径，协同推进降碳、</w:t>
      </w:r>
      <w:r>
        <w:rPr>
          <w:rFonts w:hint="eastAsia" w:cs="Times New Roman"/>
          <w:highlight w:val="none"/>
          <w:lang w:eastAsia="zh-CN"/>
        </w:rPr>
        <w:t>减污、</w:t>
      </w:r>
      <w:r>
        <w:rPr>
          <w:rFonts w:cs="Times New Roman"/>
          <w:highlight w:val="none"/>
        </w:rPr>
        <w:t>扩绿、增长，助力全市碳达峰碳中和目标落地。</w:t>
      </w:r>
    </w:p>
    <w:p w14:paraId="048B75B7">
      <w:pPr>
        <w:rPr>
          <w:rFonts w:cs="Times New Roman"/>
          <w:highlight w:val="none"/>
        </w:rPr>
      </w:pPr>
      <w:r>
        <w:rPr>
          <w:rFonts w:cs="Times New Roman"/>
          <w:highlight w:val="none"/>
        </w:rPr>
        <w:t>本方法适用于南京市域内权属清晰的国有、集体、农村合作社、合法市场主体开展</w:t>
      </w:r>
      <w:r>
        <w:rPr>
          <w:rFonts w:hint="eastAsia" w:cs="Times New Roman"/>
          <w:highlight w:val="none"/>
          <w:lang w:eastAsia="zh-CN"/>
        </w:rPr>
        <w:t>的湿地</w:t>
      </w:r>
      <w:r>
        <w:rPr>
          <w:rFonts w:cs="Times New Roman"/>
          <w:highlight w:val="none"/>
        </w:rPr>
        <w:t>碳普惠项目编制、核算与备案工作。本方法学为南京市碳普惠项目方法学（I类），需进行额外性论证。本方法学为新开发版本。</w:t>
      </w:r>
    </w:p>
    <w:p w14:paraId="752FB33C">
      <w:pPr>
        <w:rPr>
          <w:rFonts w:cs="Times New Roman"/>
          <w:highlight w:val="none"/>
        </w:rPr>
      </w:pPr>
      <w:r>
        <w:rPr>
          <w:rFonts w:cs="Times New Roman"/>
          <w:highlight w:val="none"/>
        </w:rPr>
        <w:t>本方法学由</w:t>
      </w:r>
      <w:r>
        <w:rPr>
          <w:rFonts w:hint="eastAsia" w:cs="Times New Roman"/>
          <w:highlight w:val="none"/>
          <w:lang w:val="en-US" w:eastAsia="zh-CN"/>
        </w:rPr>
        <w:t>江苏龙腾工程设计股份有限公司、南京林业大学共同</w:t>
      </w:r>
      <w:r>
        <w:rPr>
          <w:rFonts w:cs="Times New Roman"/>
          <w:highlight w:val="none"/>
        </w:rPr>
        <w:t>编制。</w:t>
      </w:r>
    </w:p>
    <w:p w14:paraId="41FC091F">
      <w:pPr>
        <w:pStyle w:val="3"/>
        <w:spacing w:after="120"/>
        <w:rPr>
          <w:rFonts w:ascii="Times New Roman" w:hAnsi="Times New Roman" w:cs="Times New Roman"/>
        </w:rPr>
      </w:pPr>
      <w:bookmarkStart w:id="9" w:name="_Toc24446"/>
      <w:bookmarkStart w:id="10" w:name="_Toc225154729"/>
      <w:bookmarkStart w:id="11" w:name="_Toc225155012"/>
      <w:bookmarkStart w:id="12" w:name="_Toc232172237"/>
      <w:bookmarkStart w:id="13" w:name="_Toc225155152"/>
      <w:bookmarkStart w:id="14" w:name="_Toc225155028"/>
      <w:bookmarkStart w:id="15" w:name="_Toc232172238"/>
      <w:bookmarkStart w:id="16" w:name="_Toc225155153"/>
      <w:bookmarkStart w:id="17" w:name="_Toc154504463"/>
      <w:bookmarkStart w:id="18" w:name="_Toc225155013"/>
      <w:bookmarkStart w:id="19" w:name="_Toc225155029"/>
      <w:bookmarkStart w:id="20" w:name="_Toc225154730"/>
      <w:r>
        <w:rPr>
          <w:rFonts w:ascii="Times New Roman" w:hAnsi="Times New Roman" w:cs="Times New Roman"/>
        </w:rPr>
        <w:t>2 适用范围</w:t>
      </w:r>
      <w:bookmarkEnd w:id="9"/>
      <w:bookmarkEnd w:id="10"/>
      <w:bookmarkEnd w:id="11"/>
      <w:bookmarkEnd w:id="12"/>
      <w:bookmarkEnd w:id="13"/>
      <w:bookmarkEnd w:id="14"/>
    </w:p>
    <w:p w14:paraId="20146FEA">
      <w:pPr>
        <w:outlineLvl w:val="2"/>
        <w:rPr>
          <w:rFonts w:cs="Times New Roman"/>
        </w:rPr>
      </w:pPr>
      <w:r>
        <w:rPr>
          <w:rFonts w:cs="Times New Roman"/>
        </w:rPr>
        <w:t>2.1 空间与湿地类型</w:t>
      </w:r>
    </w:p>
    <w:p w14:paraId="2A91ACDD">
      <w:pPr>
        <w:rPr>
          <w:rFonts w:cs="Times New Roman"/>
        </w:rPr>
      </w:pPr>
      <w:r>
        <w:rPr>
          <w:rFonts w:cs="Times New Roman"/>
          <w:highlight w:val="none"/>
        </w:rPr>
        <w:t>本文件适用于南京市全域行政区域内内陆湖泊湿地、河流湿地、沼泽湿地、乡村小微湿地实施系统性生态修复、常态化保育管护的碳普惠项目开发、碳汇核算、监测核查</w:t>
      </w:r>
      <w:r>
        <w:rPr>
          <w:rFonts w:cs="Times New Roman"/>
        </w:rPr>
        <w:t>等工作，可核算通过湿地植被恢复、土壤生态改良、水体生态治理、常态化生态管护等湿地修复保育活动产生的碳汇量与减排量。</w:t>
      </w:r>
      <w:r>
        <w:rPr>
          <w:rFonts w:hint="eastAsia" w:cs="Times New Roman"/>
        </w:rPr>
        <w:t>其中：</w:t>
      </w:r>
    </w:p>
    <w:p w14:paraId="55C9E2BB">
      <w:pPr>
        <w:pStyle w:val="6"/>
        <w:rPr>
          <w:rFonts w:hint="eastAsia" w:cs="Times New Roman" w:eastAsiaTheme="minorEastAsia"/>
          <w:highlight w:val="none"/>
          <w:lang w:eastAsia="zh-CN"/>
        </w:rPr>
      </w:pPr>
      <w:r>
        <w:rPr>
          <w:rFonts w:hint="eastAsia" w:cs="Times New Roman"/>
          <w:highlight w:val="none"/>
        </w:rPr>
        <w:t>a）</w:t>
      </w:r>
      <w:r>
        <w:rPr>
          <w:rFonts w:cs="Times New Roman"/>
          <w:highlight w:val="none"/>
        </w:rPr>
        <w:t>连片常规湿地（湖泊、河流、沼泽）：单块独立湿地面积不低于</w:t>
      </w:r>
      <w:r>
        <w:rPr>
          <w:rFonts w:hint="eastAsia" w:cs="Times New Roman"/>
          <w:highlight w:val="none"/>
          <w:lang w:val="en-US" w:eastAsia="zh-CN"/>
        </w:rPr>
        <w:t>8</w:t>
      </w:r>
      <w:r>
        <w:rPr>
          <w:rFonts w:cs="Times New Roman"/>
          <w:highlight w:val="none"/>
        </w:rPr>
        <w:t>公顷</w:t>
      </w:r>
    </w:p>
    <w:p w14:paraId="47608CC1">
      <w:pPr>
        <w:rPr>
          <w:rFonts w:cs="Times New Roman"/>
        </w:rPr>
      </w:pPr>
      <w:r>
        <w:rPr>
          <w:rFonts w:hint="eastAsia" w:cs="Times New Roman"/>
        </w:rPr>
        <w:t>b）</w:t>
      </w:r>
      <w:r>
        <w:rPr>
          <w:rFonts w:cs="Times New Roman"/>
        </w:rPr>
        <w:t>乡村小微湿地：单块面积</w:t>
      </w:r>
      <w:r>
        <w:rPr>
          <w:rFonts w:hint="eastAsia" w:cs="Times New Roman"/>
        </w:rPr>
        <w:t>不</w:t>
      </w:r>
      <w:r>
        <w:rPr>
          <w:rFonts w:cs="Times New Roman"/>
        </w:rPr>
        <w:t>小于</w:t>
      </w:r>
      <w:r>
        <w:rPr>
          <w:rFonts w:hint="eastAsia" w:cs="Times New Roman"/>
        </w:rPr>
        <w:t>0.</w:t>
      </w:r>
      <w:r>
        <w:rPr>
          <w:rFonts w:cs="Times New Roman"/>
        </w:rPr>
        <w:t>1公顷</w:t>
      </w:r>
      <w:r>
        <w:rPr>
          <w:rFonts w:hint="eastAsia" w:cs="Times New Roman"/>
        </w:rPr>
        <w:t>；</w:t>
      </w:r>
      <w:r>
        <w:rPr>
          <w:rFonts w:cs="Times New Roman"/>
        </w:rPr>
        <w:t>多个水文连通小微湿地可合并为小微湿地群整体申报</w:t>
      </w:r>
      <w:r>
        <w:rPr>
          <w:rFonts w:hint="eastAsia" w:cs="Times New Roman"/>
        </w:rPr>
        <w:t>。</w:t>
      </w:r>
      <w:r>
        <w:rPr>
          <w:rFonts w:cs="Times New Roman"/>
        </w:rPr>
        <w:t>合并小微湿地群须权属归属同一实施主体、地块水文连续互通，合并后总面积不得超过</w:t>
      </w:r>
      <w:r>
        <w:rPr>
          <w:rFonts w:hint="eastAsia" w:cs="Times New Roman"/>
          <w:lang w:val="en-US" w:eastAsia="zh-CN"/>
        </w:rPr>
        <w:t>8</w:t>
      </w:r>
      <w:r>
        <w:rPr>
          <w:rFonts w:cs="Times New Roman"/>
        </w:rPr>
        <w:t>hm</w:t>
      </w:r>
      <w:r>
        <w:rPr>
          <w:rFonts w:hint="eastAsia" w:cs="Times New Roman"/>
          <w:vertAlign w:val="superscript"/>
        </w:rPr>
        <w:t>2</w:t>
      </w:r>
      <w:r>
        <w:rPr>
          <w:rFonts w:cs="Times New Roman"/>
        </w:rPr>
        <w:t>，分块拐点坐标、分面积表全部作为勘界附件归档。</w:t>
      </w:r>
    </w:p>
    <w:p w14:paraId="6F3016C9">
      <w:pPr>
        <w:outlineLvl w:val="2"/>
        <w:rPr>
          <w:rFonts w:hint="default" w:cs="Times New Roman" w:eastAsiaTheme="minorEastAsia"/>
          <w:highlight w:val="none"/>
          <w:lang w:val="en-US" w:eastAsia="zh-CN"/>
        </w:rPr>
      </w:pPr>
      <w:r>
        <w:rPr>
          <w:rFonts w:cs="Times New Roman"/>
          <w:highlight w:val="none"/>
        </w:rPr>
        <w:t>2.</w:t>
      </w:r>
      <w:r>
        <w:rPr>
          <w:rFonts w:hint="eastAsia" w:cs="Times New Roman"/>
          <w:highlight w:val="none"/>
        </w:rPr>
        <w:t>2</w:t>
      </w:r>
      <w:r>
        <w:rPr>
          <w:rFonts w:cs="Times New Roman"/>
          <w:highlight w:val="none"/>
        </w:rPr>
        <w:t xml:space="preserve"> 项目时间</w:t>
      </w:r>
    </w:p>
    <w:p w14:paraId="12236595">
      <w:pPr>
        <w:rPr>
          <w:rFonts w:cs="Times New Roman"/>
          <w:highlight w:val="none"/>
        </w:rPr>
      </w:pPr>
      <w:r>
        <w:rPr>
          <w:rFonts w:hint="eastAsia" w:cs="Times New Roman"/>
          <w:highlight w:val="none"/>
          <w:lang w:eastAsia="zh-CN"/>
        </w:rPr>
        <w:t>a）</w:t>
      </w:r>
      <w:r>
        <w:rPr>
          <w:rFonts w:hint="eastAsia" w:cs="Times New Roman"/>
          <w:highlight w:val="none"/>
        </w:rPr>
        <w:t>可纳入本方法学开发碳普惠的湿地修复项目，修复开工实施时间不早于202</w:t>
      </w:r>
      <w:r>
        <w:rPr>
          <w:rFonts w:hint="eastAsia" w:cs="Times New Roman"/>
          <w:highlight w:val="none"/>
          <w:lang w:val="en-US" w:eastAsia="zh-CN"/>
        </w:rPr>
        <w:t>2</w:t>
      </w:r>
      <w:r>
        <w:rPr>
          <w:rFonts w:hint="eastAsia" w:cs="Times New Roman"/>
          <w:highlight w:val="none"/>
        </w:rPr>
        <w:t>年1月1日；</w:t>
      </w:r>
    </w:p>
    <w:p w14:paraId="40F7CF8C">
      <w:pPr>
        <w:rPr>
          <w:rFonts w:cs="Times New Roman"/>
          <w:highlight w:val="none"/>
        </w:rPr>
      </w:pPr>
      <w:r>
        <w:rPr>
          <w:rFonts w:hint="eastAsia" w:cs="Times New Roman"/>
          <w:highlight w:val="none"/>
          <w:lang w:eastAsia="zh-CN"/>
        </w:rPr>
        <w:t>b）</w:t>
      </w:r>
      <w:r>
        <w:rPr>
          <w:rFonts w:hint="eastAsia" w:cs="Times New Roman"/>
          <w:highlight w:val="none"/>
        </w:rPr>
        <w:t> </w:t>
      </w:r>
      <w:r>
        <w:rPr>
          <w:rFonts w:cs="Times New Roman"/>
          <w:highlight w:val="none"/>
        </w:rPr>
        <w:t>202</w:t>
      </w:r>
      <w:r>
        <w:rPr>
          <w:rFonts w:hint="eastAsia" w:cs="Times New Roman"/>
          <w:highlight w:val="none"/>
          <w:lang w:val="en-US" w:eastAsia="zh-CN"/>
        </w:rPr>
        <w:t>2</w:t>
      </w:r>
      <w:r>
        <w:rPr>
          <w:rFonts w:cs="Times New Roman"/>
          <w:highlight w:val="none"/>
        </w:rPr>
        <w:t>年1月1日前已完工且无后续持续管护计划的湿地修复项目，不得适用本方法学申报碳普惠减排量；已完工但仍有持续管护投入的项目，须在申报时提供管护记录等佐证材料，由主管部门审查确认。</w:t>
      </w:r>
    </w:p>
    <w:p w14:paraId="28EC2FFC">
      <w:pPr>
        <w:rPr>
          <w:rFonts w:cs="Times New Roman"/>
        </w:rPr>
      </w:pPr>
      <w:r>
        <w:rPr>
          <w:rFonts w:hint="eastAsia" w:cs="Times New Roman"/>
          <w:lang w:eastAsia="zh-CN"/>
        </w:rPr>
        <w:t>c）</w:t>
      </w:r>
      <w:r>
        <w:rPr>
          <w:rFonts w:hint="eastAsia" w:cs="Times New Roman"/>
        </w:rPr>
        <w:t>项目计入期、核算周期规则详见本方法学6.2章节。</w:t>
      </w:r>
    </w:p>
    <w:p w14:paraId="392868EF">
      <w:pPr>
        <w:outlineLvl w:val="2"/>
        <w:rPr>
          <w:rFonts w:cs="Times New Roman"/>
        </w:rPr>
      </w:pPr>
      <w:r>
        <w:rPr>
          <w:rFonts w:cs="Times New Roman"/>
        </w:rPr>
        <w:t xml:space="preserve">2.3 </w:t>
      </w:r>
      <w:r>
        <w:rPr>
          <w:rFonts w:hint="eastAsia" w:cs="Times New Roman"/>
        </w:rPr>
        <w:t>适用</w:t>
      </w:r>
      <w:r>
        <w:rPr>
          <w:rFonts w:cs="Times New Roman"/>
        </w:rPr>
        <w:t>条件</w:t>
      </w:r>
    </w:p>
    <w:p w14:paraId="34F363AF">
      <w:pPr>
        <w:rPr>
          <w:rFonts w:cs="Times New Roman"/>
        </w:rPr>
      </w:pPr>
      <w:r>
        <w:rPr>
          <w:rFonts w:cs="Times New Roman"/>
        </w:rPr>
        <w:t>使用本方法学的湿地碳汇项目应满足下列条件：</w:t>
      </w:r>
    </w:p>
    <w:p w14:paraId="78440923">
      <w:pPr>
        <w:rPr>
          <w:rFonts w:cs="Times New Roman"/>
        </w:rPr>
      </w:pPr>
      <w:r>
        <w:rPr>
          <w:rFonts w:hint="eastAsia" w:cs="Times New Roman"/>
          <w:lang w:eastAsia="zh-CN"/>
        </w:rPr>
        <w:t>a）</w:t>
      </w:r>
      <w:r>
        <w:rPr>
          <w:rFonts w:cs="Times New Roman"/>
        </w:rPr>
        <w:t>在生境适宜或经治理后适宜湿地植被生长的区域，通过人工方式实施湿地生态修复的项目；</w:t>
      </w:r>
    </w:p>
    <w:p w14:paraId="651F7860">
      <w:pPr>
        <w:rPr>
          <w:rFonts w:cs="Times New Roman"/>
          <w:highlight w:val="none"/>
        </w:rPr>
      </w:pPr>
      <w:r>
        <w:rPr>
          <w:rFonts w:hint="eastAsia" w:cs="Times New Roman"/>
          <w:lang w:eastAsia="zh-CN"/>
        </w:rPr>
        <w:t>b）</w:t>
      </w:r>
      <w:r>
        <w:rPr>
          <w:rFonts w:cs="Times New Roman"/>
        </w:rPr>
        <w:t>项目边界内的土地（水域）权属清晰，具有区（县）级以上人民政府或</w:t>
      </w:r>
      <w:r>
        <w:rPr>
          <w:rFonts w:cs="Times New Roman"/>
          <w:highlight w:val="none"/>
        </w:rPr>
        <w:t>主管部门核发或出具的权属证明材料；</w:t>
      </w:r>
    </w:p>
    <w:p w14:paraId="0359F40A">
      <w:pPr>
        <w:rPr>
          <w:rFonts w:cs="Times New Roman"/>
          <w:highlight w:val="none"/>
        </w:rPr>
      </w:pPr>
      <w:r>
        <w:rPr>
          <w:rFonts w:hint="eastAsia" w:cs="Times New Roman"/>
          <w:highlight w:val="none"/>
          <w:lang w:eastAsia="zh-CN"/>
        </w:rPr>
        <w:t>c）</w:t>
      </w:r>
      <w:r>
        <w:rPr>
          <w:rFonts w:hint="eastAsia" w:cs="Times New Roman"/>
          <w:highlight w:val="none"/>
        </w:rPr>
        <w:t>不得永久性、根本性改变湿地的自然水文属性，修复后的水文条件应有利于湿地生态系统的稳定和碳汇功能的发挥；</w:t>
      </w:r>
    </w:p>
    <w:p w14:paraId="2CF3CC18">
      <w:pPr>
        <w:rPr>
          <w:rFonts w:cs="Times New Roman"/>
        </w:rPr>
      </w:pPr>
      <w:r>
        <w:rPr>
          <w:rFonts w:hint="eastAsia" w:cs="Times New Roman"/>
          <w:lang w:eastAsia="zh-CN"/>
        </w:rPr>
        <w:t>d）</w:t>
      </w:r>
      <w:r>
        <w:rPr>
          <w:rFonts w:cs="Times New Roman"/>
        </w:rPr>
        <w:t>项目活动应以本地乡土湿地植被物种为主，不得种植外来入侵物种；项目实施过程中须建立外来入侵物种监测与清除机制，防范外来物种的自然扩散与定殖；</w:t>
      </w:r>
    </w:p>
    <w:p w14:paraId="1FE991DB">
      <w:pPr>
        <w:rPr>
          <w:rFonts w:cs="Times New Roman"/>
        </w:rPr>
      </w:pPr>
      <w:r>
        <w:rPr>
          <w:rFonts w:hint="eastAsia" w:cs="Times New Roman"/>
          <w:lang w:eastAsia="zh-CN"/>
        </w:rPr>
        <w:t>e）</w:t>
      </w:r>
      <w:r>
        <w:rPr>
          <w:rFonts w:cs="Times New Roman"/>
        </w:rPr>
        <w:t>在项目计入期内，禁止对修复植被进行收割用作经济用途；</w:t>
      </w:r>
    </w:p>
    <w:p w14:paraId="5E8D4FEE">
      <w:pPr>
        <w:rPr>
          <w:rFonts w:cs="Times New Roman"/>
        </w:rPr>
      </w:pPr>
      <w:r>
        <w:rPr>
          <w:rFonts w:hint="eastAsia" w:cs="Times New Roman"/>
          <w:highlight w:val="none"/>
          <w:lang w:eastAsia="zh-CN"/>
        </w:rPr>
        <w:t>f）</w:t>
      </w:r>
      <w:r>
        <w:rPr>
          <w:rFonts w:hint="eastAsia" w:cs="Times New Roman"/>
          <w:highlight w:val="none"/>
        </w:rPr>
        <w:t>在项目计入期内，因整地、翻耕、基质改良等活动导致的土壤扰动面积比例应控制在项目总面积的</w:t>
      </w:r>
      <w:r>
        <w:rPr>
          <w:rFonts w:cs="Times New Roman"/>
          <w:highlight w:val="none"/>
        </w:rPr>
        <w:t>10%</w:t>
      </w:r>
      <w:r>
        <w:rPr>
          <w:rFonts w:hint="eastAsia" w:cs="Times New Roman"/>
          <w:highlight w:val="none"/>
        </w:rPr>
        <w:t>以下；底泥清淤面积不计入该比例限制，但须在项目设计文件中单独说明清淤范围</w:t>
      </w:r>
      <w:r>
        <w:rPr>
          <w:rFonts w:hint="eastAsia" w:cs="Times New Roman"/>
        </w:rPr>
        <w:t>、深度及面积</w:t>
      </w:r>
      <w:r>
        <w:rPr>
          <w:rFonts w:cs="Times New Roman"/>
        </w:rPr>
        <w:t>；</w:t>
      </w:r>
    </w:p>
    <w:p w14:paraId="6E404156">
      <w:pPr>
        <w:rPr>
          <w:rFonts w:cs="Times New Roman"/>
        </w:rPr>
      </w:pPr>
      <w:r>
        <w:rPr>
          <w:rFonts w:hint="eastAsia" w:cs="Times New Roman"/>
          <w:lang w:eastAsia="zh-CN"/>
        </w:rPr>
        <w:t>g）</w:t>
      </w:r>
      <w:r>
        <w:rPr>
          <w:rFonts w:cs="Times New Roman"/>
        </w:rPr>
        <w:t>项目活动初步改造后，项目不进行施肥（生态修复初期基肥除外）；乡村小微湿地禁止投放化肥、水产养殖饵料；</w:t>
      </w:r>
    </w:p>
    <w:p w14:paraId="76157152">
      <w:pPr>
        <w:rPr>
          <w:rFonts w:cs="Times New Roman"/>
        </w:rPr>
      </w:pPr>
      <w:r>
        <w:rPr>
          <w:rFonts w:hint="eastAsia" w:cs="Times New Roman"/>
          <w:lang w:eastAsia="zh-CN"/>
        </w:rPr>
        <w:t>h）</w:t>
      </w:r>
      <w:r>
        <w:rPr>
          <w:rFonts w:cs="Times New Roman"/>
        </w:rPr>
        <w:t xml:space="preserve"> 乡村小微湿地修复后持续开展年度生态管护，建立小微湿地巡查台账，禁止恢复规模化水产养殖、农业种植</w:t>
      </w:r>
      <w:r>
        <w:rPr>
          <w:rFonts w:hint="eastAsia" w:cs="Times New Roman"/>
        </w:rPr>
        <w:t>；</w:t>
      </w:r>
    </w:p>
    <w:p w14:paraId="32178551">
      <w:pPr>
        <w:rPr>
          <w:rFonts w:cs="Times New Roman"/>
        </w:rPr>
      </w:pPr>
      <w:r>
        <w:rPr>
          <w:rFonts w:hint="eastAsia" w:cs="Times New Roman"/>
          <w:lang w:eastAsia="zh-CN"/>
        </w:rPr>
        <w:t>i）</w:t>
      </w:r>
      <w:r>
        <w:rPr>
          <w:rFonts w:cs="Times New Roman"/>
        </w:rPr>
        <w:t>项目应符合</w:t>
      </w:r>
      <w:r>
        <w:rPr>
          <w:rFonts w:hint="eastAsia" w:cs="Times New Roman"/>
          <w:lang w:eastAsia="zh-CN"/>
        </w:rPr>
        <w:t>法律法规</w:t>
      </w:r>
      <w:r>
        <w:rPr>
          <w:rFonts w:cs="Times New Roman"/>
        </w:rPr>
        <w:t>要求，符合行业发展政策</w:t>
      </w:r>
      <w:r>
        <w:rPr>
          <w:rFonts w:hint="eastAsia" w:cs="Times New Roman"/>
        </w:rPr>
        <w:t>。</w:t>
      </w:r>
    </w:p>
    <w:p w14:paraId="4B623EAE">
      <w:pPr>
        <w:pStyle w:val="3"/>
        <w:spacing w:after="120"/>
      </w:pPr>
      <w:bookmarkStart w:id="21" w:name="_Toc2183"/>
      <w:r>
        <w:t>3 引用文件</w:t>
      </w:r>
      <w:bookmarkEnd w:id="15"/>
      <w:bookmarkEnd w:id="16"/>
      <w:bookmarkEnd w:id="17"/>
      <w:bookmarkEnd w:id="18"/>
      <w:bookmarkEnd w:id="19"/>
      <w:bookmarkEnd w:id="20"/>
      <w:bookmarkEnd w:id="21"/>
    </w:p>
    <w:p w14:paraId="130B7347">
      <w:pPr>
        <w:rPr>
          <w:rFonts w:cs="Times New Roman"/>
        </w:rPr>
      </w:pPr>
      <w:r>
        <w:rPr>
          <w:rFonts w:cs="Times New Roman"/>
        </w:rPr>
        <w:t>下列文件中的内容通过文中的规范性引用而构成本方法学必不可少的条款。其中，注日期的引用文件，仅该日期对应的版本适用于本方法学；不注日期的引用文件，其最新版本（包括所有的修订及新增附件）适用于本文件。</w:t>
      </w:r>
    </w:p>
    <w:p w14:paraId="66C53119">
      <w:r>
        <w:t>GB/T 41198-2021林业碳汇项目审定和核证指南</w:t>
      </w:r>
    </w:p>
    <w:p w14:paraId="1F319CF7">
      <w:r>
        <w:t>GB/T 46105-2025陆地生态系统碳汇核算指南</w:t>
      </w:r>
    </w:p>
    <w:p w14:paraId="563EE5A7">
      <w:r>
        <w:rPr>
          <w:rFonts w:hint="eastAsia" w:cs="Times New Roman"/>
        </w:rPr>
        <w:t>GB/T 42481-2023 小微湿地保护与管理规范</w:t>
      </w:r>
    </w:p>
    <w:p w14:paraId="20E49377">
      <w:r>
        <w:t>HJ 1169-2021 全国生态状况调查评估技术规范</w:t>
      </w:r>
      <w:r>
        <w:rPr>
          <w:rFonts w:hint="eastAsia"/>
          <w:lang w:eastAsia="zh-CN"/>
        </w:rPr>
        <w:t>——</w:t>
      </w:r>
      <w:r>
        <w:t>湿地生态系统野外观测</w:t>
      </w:r>
    </w:p>
    <w:p w14:paraId="7BF9FD6A">
      <w:r>
        <w:t>HJ 501-2009水质总有机碳的测定</w:t>
      </w:r>
      <w:r>
        <w:rPr>
          <w:rFonts w:hint="eastAsia"/>
          <w:lang w:eastAsia="zh-CN"/>
        </w:rPr>
        <w:t xml:space="preserve"> 燃烧</w:t>
      </w:r>
      <w:r>
        <w:t>氧化</w:t>
      </w:r>
      <w:r>
        <w:rPr>
          <w:rFonts w:hint="eastAsia"/>
          <w:lang w:eastAsia="zh-CN"/>
        </w:rPr>
        <w:t>－</w:t>
      </w:r>
      <w:r>
        <w:t>非分散红外吸收法</w:t>
      </w:r>
    </w:p>
    <w:p w14:paraId="407BCCC2">
      <w:r>
        <w:t>NY/T 1121.6-2006土壤检测第6部分：土壤有机质的测定</w:t>
      </w:r>
    </w:p>
    <w:p w14:paraId="37F5E28C">
      <w:r>
        <w:rPr>
          <w:rFonts w:hint="eastAsia"/>
        </w:rPr>
        <w:t>DB32/T 5333—2025 湿地生态系统生态产品价值核算技术规程</w:t>
      </w:r>
    </w:p>
    <w:p w14:paraId="10F9258E">
      <w:r>
        <w:rPr>
          <w:rFonts w:hint="eastAsia"/>
        </w:rPr>
        <w:t>《IPCC 2006年国家温室气体清单指南 2019修订版》</w:t>
      </w:r>
    </w:p>
    <w:p w14:paraId="4CBCF8DC">
      <w:r>
        <w:rPr>
          <w:rFonts w:hint="eastAsia"/>
        </w:rPr>
        <w:t xml:space="preserve">《2006年IPCC国家温室气体清单指南2013年增补：湿地》 </w:t>
      </w:r>
    </w:p>
    <w:p w14:paraId="114DEB67">
      <w:r>
        <w:rPr>
          <w:rFonts w:hint="eastAsia"/>
        </w:rPr>
        <w:t>《IPCC第六次评估报告》（AR6）</w:t>
      </w:r>
    </w:p>
    <w:p w14:paraId="6F13871C">
      <w:bookmarkStart w:id="22" w:name="OLE_LINK6"/>
      <w:r>
        <w:t>CCER-14-001-V01 温室气体自愿减排项目方法学 造林碳汇</w:t>
      </w:r>
    </w:p>
    <w:p w14:paraId="5633EFBA">
      <w:r>
        <w:t>AR-CQCM-001-V01</w:t>
      </w:r>
      <w:r>
        <w:rPr>
          <w:rFonts w:hint="eastAsia"/>
        </w:rPr>
        <w:t xml:space="preserve"> </w:t>
      </w:r>
      <w:r>
        <w:t>碳汇造林项目方法学</w:t>
      </w:r>
    </w:p>
    <w:p w14:paraId="2180946E">
      <w:bookmarkStart w:id="23" w:name="_Toc225155030"/>
      <w:bookmarkStart w:id="24" w:name="_Toc225154731"/>
      <w:bookmarkStart w:id="25" w:name="_Toc225155014"/>
      <w:bookmarkStart w:id="26" w:name="_Toc154504464"/>
      <w:bookmarkStart w:id="27" w:name="_Toc225155154"/>
      <w:bookmarkStart w:id="28" w:name="_Toc232172239"/>
      <w:bookmarkStart w:id="29" w:name="OLE_LINK5"/>
      <w:r>
        <w:t>《南京市碳普惠管理实施方案》（202</w:t>
      </w:r>
      <w:r>
        <w:rPr>
          <w:rFonts w:hint="eastAsia"/>
        </w:rPr>
        <w:t>5</w:t>
      </w:r>
      <w:r>
        <w:t>年）</w:t>
      </w:r>
    </w:p>
    <w:p w14:paraId="5CCAFBFA">
      <w:r>
        <w:t>《南京市碳普惠方法学开发与申报指南》（2026年）</w:t>
      </w:r>
    </w:p>
    <w:p w14:paraId="7231929D">
      <w:r>
        <w:t>《南京市湿地保护条例》（20</w:t>
      </w:r>
      <w:r>
        <w:rPr>
          <w:rFonts w:hint="eastAsia"/>
        </w:rPr>
        <w:t>26</w:t>
      </w:r>
      <w:r>
        <w:t>修订版）</w:t>
      </w:r>
    </w:p>
    <w:p w14:paraId="72D28758">
      <w:r>
        <w:t>《南京市碳达峰实施方案》（202</w:t>
      </w:r>
      <w:r>
        <w:rPr>
          <w:rFonts w:hint="eastAsia"/>
        </w:rPr>
        <w:t>4</w:t>
      </w:r>
      <w:r>
        <w:t>年）</w:t>
      </w:r>
    </w:p>
    <w:p w14:paraId="158BA8BD">
      <w:r>
        <w:rPr>
          <w:rFonts w:hint="eastAsia"/>
        </w:rPr>
        <w:t>《中华人民共和国湿地保护法》</w:t>
      </w:r>
    </w:p>
    <w:p w14:paraId="119F33FB">
      <w:pPr>
        <w:pStyle w:val="3"/>
        <w:spacing w:after="120"/>
      </w:pPr>
      <w:bookmarkStart w:id="30" w:name="_Toc10171"/>
      <w:r>
        <w:t>4 术语与定义</w:t>
      </w:r>
      <w:bookmarkEnd w:id="23"/>
      <w:bookmarkEnd w:id="24"/>
      <w:bookmarkEnd w:id="25"/>
      <w:bookmarkEnd w:id="26"/>
      <w:bookmarkEnd w:id="27"/>
      <w:bookmarkEnd w:id="28"/>
      <w:bookmarkEnd w:id="30"/>
    </w:p>
    <w:p w14:paraId="2399E526">
      <w:pPr>
        <w:rPr>
          <w:rFonts w:cs="Times New Roman"/>
        </w:rPr>
      </w:pPr>
      <w:r>
        <w:rPr>
          <w:rFonts w:cs="Times New Roman"/>
        </w:rPr>
        <w:t>下列术语和定义适用于本文件。</w:t>
      </w:r>
    </w:p>
    <w:p w14:paraId="61F8A8C9">
      <w:pPr>
        <w:rPr>
          <w:rFonts w:cs="Times New Roman"/>
          <w:highlight w:val="none"/>
        </w:rPr>
      </w:pPr>
      <w:bookmarkStart w:id="31" w:name="heading_10"/>
      <w:bookmarkStart w:id="32" w:name="_Toc231570202"/>
      <w:bookmarkStart w:id="33" w:name="_Toc231854769"/>
      <w:r>
        <w:rPr>
          <w:rFonts w:cs="Times New Roman"/>
          <w:highlight w:val="none"/>
        </w:rPr>
        <w:t>4.1</w:t>
      </w:r>
      <w:bookmarkEnd w:id="31"/>
      <w:bookmarkEnd w:id="32"/>
      <w:bookmarkEnd w:id="33"/>
      <w:r>
        <w:rPr>
          <w:rFonts w:cs="Times New Roman"/>
          <w:highlight w:val="none"/>
        </w:rPr>
        <w:t xml:space="preserve">湿地wetlands </w:t>
      </w:r>
    </w:p>
    <w:p w14:paraId="05E4B493">
      <w:pPr>
        <w:rPr>
          <w:rFonts w:hint="eastAsia" w:cs="Times New Roman"/>
          <w:highlight w:val="none"/>
        </w:rPr>
      </w:pPr>
      <w:bookmarkStart w:id="34" w:name="OLE_LINK7"/>
      <w:r>
        <w:rPr>
          <w:rFonts w:hint="eastAsia" w:cs="Times New Roman"/>
          <w:highlight w:val="none"/>
        </w:rPr>
        <w:t>具有显著生态功能的自然或者人工的、常年或者季节性积水地带、水域，包括低潮时水深不超过六米的海域，但是水田以及用于养殖的人工的水域和滩涂除外。</w:t>
      </w:r>
    </w:p>
    <w:p w14:paraId="369DDE66">
      <w:pPr>
        <w:rPr>
          <w:rFonts w:cs="Times New Roman"/>
          <w:highlight w:val="none"/>
        </w:rPr>
      </w:pPr>
      <w:r>
        <w:rPr>
          <w:rFonts w:cs="Times New Roman"/>
          <w:highlight w:val="none"/>
        </w:rPr>
        <w:t>[来源：</w:t>
      </w:r>
      <w:bookmarkEnd w:id="34"/>
      <w:r>
        <w:rPr>
          <w:rFonts w:hint="eastAsia" w:cs="Times New Roman"/>
          <w:highlight w:val="none"/>
          <w:lang w:eastAsia="zh-CN"/>
        </w:rPr>
        <w:t>《中华人民共和国湿地保护法》</w:t>
      </w:r>
      <w:r>
        <w:rPr>
          <w:rFonts w:cs="Times New Roman"/>
          <w:highlight w:val="none"/>
        </w:rPr>
        <w:t>]</w:t>
      </w:r>
    </w:p>
    <w:p w14:paraId="6169CD17">
      <w:pPr>
        <w:rPr>
          <w:rFonts w:cs="Times New Roman"/>
          <w:highlight w:val="none"/>
        </w:rPr>
      </w:pPr>
      <w:bookmarkStart w:id="35" w:name="heading_11"/>
      <w:bookmarkStart w:id="36" w:name="_Toc231854770"/>
      <w:bookmarkStart w:id="37" w:name="_Toc231570203"/>
      <w:r>
        <w:rPr>
          <w:rFonts w:cs="Times New Roman"/>
          <w:highlight w:val="none"/>
        </w:rPr>
        <w:t>4.2</w:t>
      </w:r>
      <w:bookmarkEnd w:id="35"/>
      <w:bookmarkEnd w:id="36"/>
      <w:bookmarkEnd w:id="37"/>
      <w:r>
        <w:rPr>
          <w:rFonts w:cs="Times New Roman"/>
          <w:highlight w:val="none"/>
        </w:rPr>
        <w:t>碳库carbon pool</w:t>
      </w:r>
    </w:p>
    <w:p w14:paraId="32EDC39F">
      <w:pPr>
        <w:rPr>
          <w:rFonts w:cs="Times New Roman"/>
          <w:highlight w:val="none"/>
        </w:rPr>
      </w:pPr>
      <w:r>
        <w:rPr>
          <w:rFonts w:hint="eastAsia" w:cs="Times New Roman"/>
          <w:highlight w:val="none"/>
          <w:lang w:val="en-US" w:eastAsia="zh-CN"/>
        </w:rPr>
        <w:t>湿地</w:t>
      </w:r>
      <w:r>
        <w:rPr>
          <w:rFonts w:cs="Times New Roman"/>
          <w:highlight w:val="none"/>
        </w:rPr>
        <w:t>生态系统中碳储存的形式或场所，包括地上生物</w:t>
      </w:r>
      <w:r>
        <w:rPr>
          <w:rFonts w:hint="eastAsia" w:cs="Times New Roman"/>
          <w:highlight w:val="none"/>
          <w:lang w:val="en-US" w:eastAsia="zh-CN"/>
        </w:rPr>
        <w:t>量</w:t>
      </w:r>
      <w:r>
        <w:rPr>
          <w:rFonts w:cs="Times New Roman"/>
          <w:highlight w:val="none"/>
        </w:rPr>
        <w:t>、地下生物</w:t>
      </w:r>
      <w:r>
        <w:rPr>
          <w:rFonts w:hint="eastAsia" w:cs="Times New Roman"/>
          <w:highlight w:val="none"/>
          <w:lang w:val="en-US" w:eastAsia="zh-CN"/>
        </w:rPr>
        <w:t>量</w:t>
      </w:r>
      <w:r>
        <w:rPr>
          <w:rFonts w:cs="Times New Roman"/>
          <w:highlight w:val="none"/>
        </w:rPr>
        <w:t>、枯落物、枯死木</w:t>
      </w:r>
      <w:r>
        <w:rPr>
          <w:rFonts w:hint="eastAsia" w:cs="Times New Roman"/>
          <w:highlight w:val="none"/>
          <w:lang w:eastAsia="zh-CN"/>
        </w:rPr>
        <w:t>、</w:t>
      </w:r>
      <w:r>
        <w:rPr>
          <w:rFonts w:cs="Times New Roman"/>
          <w:highlight w:val="none"/>
        </w:rPr>
        <w:t>土壤有机碳</w:t>
      </w:r>
      <w:r>
        <w:rPr>
          <w:rFonts w:hint="eastAsia" w:cs="Times New Roman"/>
          <w:highlight w:val="none"/>
        </w:rPr>
        <w:t>和水体溶解有机碳。</w:t>
      </w:r>
    </w:p>
    <w:p w14:paraId="6676838D">
      <w:pPr>
        <w:rPr>
          <w:rFonts w:cs="Times New Roman"/>
          <w:highlight w:val="none"/>
        </w:rPr>
      </w:pPr>
      <w:r>
        <w:rPr>
          <w:rFonts w:cs="Times New Roman"/>
          <w:highlight w:val="none"/>
        </w:rPr>
        <w:t>[来源：CCER-14-001-V01，4.18</w:t>
      </w:r>
      <w:r>
        <w:rPr>
          <w:rFonts w:hint="eastAsia" w:cs="Times New Roman"/>
          <w:highlight w:val="none"/>
        </w:rPr>
        <w:t>，有修改</w:t>
      </w:r>
      <w:r>
        <w:rPr>
          <w:rFonts w:cs="Times New Roman"/>
          <w:highlight w:val="none"/>
        </w:rPr>
        <w:t>]</w:t>
      </w:r>
    </w:p>
    <w:p w14:paraId="6BA19B6D">
      <w:pPr>
        <w:rPr>
          <w:rFonts w:cs="Times New Roman"/>
          <w:highlight w:val="none"/>
        </w:rPr>
      </w:pPr>
      <w:bookmarkStart w:id="38" w:name="_Toc231570204"/>
      <w:bookmarkStart w:id="39" w:name="_Toc231854771"/>
      <w:r>
        <w:rPr>
          <w:rFonts w:cs="Times New Roman"/>
          <w:highlight w:val="none"/>
        </w:rPr>
        <w:t>4.3</w:t>
      </w:r>
      <w:bookmarkEnd w:id="38"/>
      <w:bookmarkEnd w:id="39"/>
      <w:r>
        <w:rPr>
          <w:rFonts w:hint="eastAsia" w:cs="Times New Roman"/>
          <w:highlight w:val="none"/>
        </w:rPr>
        <w:t>温室气体 greenhouse gas</w:t>
      </w:r>
    </w:p>
    <w:p w14:paraId="46C9857F">
      <w:pPr>
        <w:rPr>
          <w:rFonts w:hint="eastAsia" w:cs="Times New Roman"/>
          <w:highlight w:val="none"/>
        </w:rPr>
      </w:pPr>
      <w:r>
        <w:rPr>
          <w:rFonts w:hint="eastAsia" w:cs="Times New Roman"/>
          <w:highlight w:val="none"/>
        </w:rPr>
        <w:t>大气层中自然存在的和由于人类活动产生的能够吸收和散发由地球表面、大气层和云层所产生的、波长在红外光谱内的辐射的气态成分。</w:t>
      </w:r>
    </w:p>
    <w:p w14:paraId="42D7BFD8">
      <w:pPr>
        <w:rPr>
          <w:rFonts w:cs="Times New Roman"/>
          <w:highlight w:val="none"/>
        </w:rPr>
      </w:pPr>
      <w:r>
        <w:rPr>
          <w:rFonts w:cs="Times New Roman"/>
          <w:highlight w:val="none"/>
        </w:rPr>
        <w:t>[来源：GB/T</w:t>
      </w:r>
      <w:r>
        <w:rPr>
          <w:rFonts w:hint="eastAsia" w:cs="Times New Roman"/>
          <w:highlight w:val="none"/>
          <w:lang w:val="en-US" w:eastAsia="zh-CN"/>
        </w:rPr>
        <w:t xml:space="preserve"> </w:t>
      </w:r>
      <w:r>
        <w:rPr>
          <w:rFonts w:cs="Times New Roman"/>
          <w:highlight w:val="none"/>
        </w:rPr>
        <w:t>46105-2025，3.</w:t>
      </w:r>
      <w:r>
        <w:rPr>
          <w:rFonts w:hint="eastAsia" w:cs="Times New Roman"/>
          <w:highlight w:val="none"/>
          <w:lang w:val="en-US" w:eastAsia="zh-CN"/>
        </w:rPr>
        <w:t>3</w:t>
      </w:r>
      <w:r>
        <w:rPr>
          <w:rFonts w:cs="Times New Roman"/>
          <w:highlight w:val="none"/>
        </w:rPr>
        <w:t>]</w:t>
      </w:r>
    </w:p>
    <w:p w14:paraId="175093A1">
      <w:pPr>
        <w:rPr>
          <w:rFonts w:hint="eastAsia" w:cs="Times New Roman"/>
          <w:highlight w:val="none"/>
        </w:rPr>
      </w:pPr>
      <w:bookmarkStart w:id="40" w:name="heading_12"/>
      <w:bookmarkStart w:id="41" w:name="_Toc231570205"/>
      <w:bookmarkStart w:id="42" w:name="_Toc231854772"/>
      <w:r>
        <w:rPr>
          <w:rFonts w:cs="Times New Roman"/>
          <w:highlight w:val="none"/>
        </w:rPr>
        <w:t>4.</w:t>
      </w:r>
      <w:bookmarkEnd w:id="40"/>
      <w:r>
        <w:rPr>
          <w:rFonts w:cs="Times New Roman"/>
          <w:highlight w:val="none"/>
        </w:rPr>
        <w:t>4</w:t>
      </w:r>
      <w:bookmarkEnd w:id="41"/>
      <w:bookmarkEnd w:id="42"/>
      <w:r>
        <w:rPr>
          <w:rFonts w:hint="eastAsia" w:cs="Times New Roman"/>
          <w:highlight w:val="none"/>
        </w:rPr>
        <w:t>二氧化碳当量 carbon dioxide equivalent</w:t>
      </w:r>
    </w:p>
    <w:p w14:paraId="176B90F2">
      <w:pPr>
        <w:rPr>
          <w:rFonts w:hint="eastAsia" w:cs="Times New Roman"/>
          <w:highlight w:val="none"/>
        </w:rPr>
      </w:pPr>
      <w:r>
        <w:rPr>
          <w:rFonts w:hint="eastAsia" w:cs="Times New Roman"/>
          <w:highlight w:val="none"/>
        </w:rPr>
        <w:t>在辐射强迫上与某种温室气体质量相当的二氧化碳的量。</w:t>
      </w:r>
    </w:p>
    <w:p w14:paraId="431B1CED">
      <w:pPr>
        <w:rPr>
          <w:rFonts w:hint="eastAsia" w:cs="Times New Roman"/>
          <w:highlight w:val="none"/>
        </w:rPr>
      </w:pPr>
      <w:r>
        <w:rPr>
          <w:rFonts w:cs="Times New Roman"/>
          <w:highlight w:val="none"/>
        </w:rPr>
        <w:t>[来源：GB/T</w:t>
      </w:r>
      <w:r>
        <w:rPr>
          <w:rFonts w:hint="eastAsia" w:cs="Times New Roman"/>
          <w:highlight w:val="none"/>
          <w:lang w:val="en-US" w:eastAsia="zh-CN"/>
        </w:rPr>
        <w:t xml:space="preserve"> </w:t>
      </w:r>
      <w:r>
        <w:rPr>
          <w:rFonts w:cs="Times New Roman"/>
          <w:highlight w:val="none"/>
        </w:rPr>
        <w:t>46105-2025，3.</w:t>
      </w:r>
      <w:r>
        <w:rPr>
          <w:rFonts w:hint="eastAsia" w:cs="Times New Roman"/>
          <w:highlight w:val="none"/>
          <w:lang w:val="en-US" w:eastAsia="zh-CN"/>
        </w:rPr>
        <w:t>4</w:t>
      </w:r>
      <w:r>
        <w:rPr>
          <w:rFonts w:cs="Times New Roman"/>
          <w:highlight w:val="none"/>
        </w:rPr>
        <w:t>]</w:t>
      </w:r>
    </w:p>
    <w:p w14:paraId="69E79F20">
      <w:pPr>
        <w:rPr>
          <w:rFonts w:hint="eastAsia" w:cs="Times New Roman" w:eastAsiaTheme="minorEastAsia"/>
          <w:highlight w:val="none"/>
          <w:lang w:eastAsia="zh-CN"/>
        </w:rPr>
      </w:pPr>
      <w:r>
        <w:rPr>
          <w:rFonts w:cs="Times New Roman"/>
          <w:highlight w:val="none"/>
        </w:rPr>
        <w:t>4.</w:t>
      </w:r>
      <w:r>
        <w:rPr>
          <w:rFonts w:hint="eastAsia" w:cs="Times New Roman"/>
          <w:highlight w:val="none"/>
          <w:lang w:val="en-US" w:eastAsia="zh-CN"/>
        </w:rPr>
        <w:t>5</w:t>
      </w:r>
      <w:r>
        <w:rPr>
          <w:rFonts w:cs="Times New Roman"/>
          <w:highlight w:val="none"/>
        </w:rPr>
        <w:t xml:space="preserve">碳汇carbon </w:t>
      </w:r>
      <w:r>
        <w:rPr>
          <w:rFonts w:hint="eastAsia" w:cs="Times New Roman"/>
          <w:highlight w:val="none"/>
          <w:lang w:val="en-US" w:eastAsia="zh-CN"/>
        </w:rPr>
        <w:t>sink</w:t>
      </w:r>
    </w:p>
    <w:p w14:paraId="3CD8B833">
      <w:pPr>
        <w:rPr>
          <w:rFonts w:cs="Times New Roman"/>
          <w:highlight w:val="none"/>
        </w:rPr>
      </w:pPr>
      <w:bookmarkStart w:id="43" w:name="_Toc231854773"/>
      <w:bookmarkStart w:id="44" w:name="heading_13"/>
      <w:bookmarkStart w:id="45" w:name="_Toc231570206"/>
      <w:r>
        <w:rPr>
          <w:rFonts w:cs="Times New Roman"/>
          <w:highlight w:val="none"/>
        </w:rPr>
        <w:t>从大气中清除温室气体、气溶胶或温室气体前体的过程、活动或机制，以特定时段内从大气中清除的温室气体总量（以二氧化碳当量计）来衡量。</w:t>
      </w:r>
    </w:p>
    <w:p w14:paraId="35295749">
      <w:pPr>
        <w:rPr>
          <w:rFonts w:cs="Times New Roman"/>
          <w:highlight w:val="none"/>
        </w:rPr>
      </w:pPr>
      <w:r>
        <w:rPr>
          <w:rFonts w:cs="Times New Roman"/>
          <w:highlight w:val="none"/>
        </w:rPr>
        <w:t>[来源：GB/T</w:t>
      </w:r>
      <w:r>
        <w:rPr>
          <w:rFonts w:hint="eastAsia" w:cs="Times New Roman"/>
          <w:highlight w:val="none"/>
          <w:lang w:val="en-US" w:eastAsia="zh-CN"/>
        </w:rPr>
        <w:t xml:space="preserve"> </w:t>
      </w:r>
      <w:r>
        <w:rPr>
          <w:rFonts w:cs="Times New Roman"/>
          <w:highlight w:val="none"/>
        </w:rPr>
        <w:t>46105-2025，3.</w:t>
      </w:r>
      <w:r>
        <w:rPr>
          <w:rFonts w:hint="eastAsia" w:cs="Times New Roman"/>
          <w:highlight w:val="none"/>
          <w:lang w:val="en-US" w:eastAsia="zh-CN"/>
        </w:rPr>
        <w:t>5</w:t>
      </w:r>
      <w:r>
        <w:rPr>
          <w:rFonts w:cs="Times New Roman"/>
          <w:highlight w:val="none"/>
        </w:rPr>
        <w:t>]</w:t>
      </w:r>
    </w:p>
    <w:p w14:paraId="5D4EE953">
      <w:pPr>
        <w:rPr>
          <w:rFonts w:cs="Times New Roman"/>
          <w:highlight w:val="none"/>
        </w:rPr>
      </w:pPr>
      <w:r>
        <w:rPr>
          <w:rFonts w:cs="Times New Roman"/>
          <w:highlight w:val="none"/>
        </w:rPr>
        <w:t>4.</w:t>
      </w:r>
      <w:bookmarkEnd w:id="43"/>
      <w:bookmarkEnd w:id="44"/>
      <w:bookmarkEnd w:id="45"/>
      <w:r>
        <w:rPr>
          <w:rFonts w:hint="eastAsia" w:cs="Times New Roman"/>
          <w:highlight w:val="none"/>
          <w:lang w:val="en-US" w:eastAsia="zh-CN"/>
        </w:rPr>
        <w:t>6</w:t>
      </w:r>
      <w:r>
        <w:rPr>
          <w:rFonts w:cs="Times New Roman"/>
          <w:highlight w:val="none"/>
        </w:rPr>
        <w:t xml:space="preserve">项目边界 project boundary </w:t>
      </w:r>
    </w:p>
    <w:p w14:paraId="3759F67C">
      <w:pPr>
        <w:rPr>
          <w:rFonts w:cs="Times New Roman"/>
          <w:highlight w:val="none"/>
        </w:rPr>
      </w:pPr>
      <w:r>
        <w:rPr>
          <w:rFonts w:cs="Times New Roman"/>
          <w:highlight w:val="none"/>
        </w:rPr>
        <w:t>以项目土地权属、生态修复实施范围划定的地理空间范围，是界定纳入碳汇、温室气体排放核算的湿地地块界限。</w:t>
      </w:r>
    </w:p>
    <w:p w14:paraId="1151CB04">
      <w:pPr>
        <w:rPr>
          <w:rFonts w:cs="Times New Roman"/>
          <w:highlight w:val="none"/>
        </w:rPr>
      </w:pPr>
      <w:r>
        <w:rPr>
          <w:rFonts w:cs="Times New Roman"/>
          <w:highlight w:val="none"/>
        </w:rPr>
        <w:t>[来源：AR-CQCM-001-V01，有修改]</w:t>
      </w:r>
    </w:p>
    <w:p w14:paraId="09E61560">
      <w:pPr>
        <w:rPr>
          <w:rFonts w:cs="Times New Roman"/>
          <w:highlight w:val="none"/>
        </w:rPr>
      </w:pPr>
      <w:bookmarkStart w:id="46" w:name="_Toc231854774"/>
      <w:bookmarkStart w:id="47" w:name="_Toc231570207"/>
      <w:r>
        <w:rPr>
          <w:rFonts w:cs="Times New Roman"/>
          <w:highlight w:val="none"/>
        </w:rPr>
        <w:t>4.</w:t>
      </w:r>
      <w:bookmarkEnd w:id="46"/>
      <w:bookmarkEnd w:id="47"/>
      <w:r>
        <w:rPr>
          <w:rFonts w:hint="eastAsia" w:cs="Times New Roman"/>
          <w:highlight w:val="none"/>
          <w:lang w:val="en-US" w:eastAsia="zh-CN"/>
        </w:rPr>
        <w:t>7</w:t>
      </w:r>
      <w:r>
        <w:rPr>
          <w:rFonts w:cs="Times New Roman"/>
          <w:highlight w:val="none"/>
        </w:rPr>
        <w:t>基线情景baseline scenario</w:t>
      </w:r>
    </w:p>
    <w:p w14:paraId="38345F92">
      <w:pPr>
        <w:rPr>
          <w:rFonts w:hint="default" w:cs="Times New Roman"/>
        </w:rPr>
      </w:pPr>
      <w:r>
        <w:rPr>
          <w:rFonts w:cs="Times New Roman"/>
        </w:rPr>
        <w:t>指项目边界内，在未实施本湿地碳普惠项目所规定的系统性生态修复活动的情况下，</w:t>
      </w:r>
      <w:r>
        <w:rPr>
          <w:rFonts w:hint="default" w:cs="Times New Roman"/>
        </w:rPr>
        <w:t>最可能发生的碳库演变与碳排放状态。基线情景应根据项目地块在项目开始前的土地利用类型、生态退化程度和实际管理状态合理确定。</w:t>
      </w:r>
    </w:p>
    <w:p w14:paraId="457CBEF7">
      <w:pPr>
        <w:rPr>
          <w:rFonts w:cs="Times New Roman"/>
        </w:rPr>
      </w:pPr>
      <w:r>
        <w:rPr>
          <w:rFonts w:cs="Times New Roman"/>
        </w:rPr>
        <w:t>[来源：GB/T</w:t>
      </w:r>
      <w:r>
        <w:rPr>
          <w:rFonts w:hint="eastAsia" w:cs="Times New Roman"/>
          <w:lang w:val="en-US" w:eastAsia="zh-CN"/>
        </w:rPr>
        <w:t xml:space="preserve"> </w:t>
      </w:r>
      <w:r>
        <w:rPr>
          <w:rFonts w:cs="Times New Roman"/>
        </w:rPr>
        <w:t>41198-2021，3.3，有修改]</w:t>
      </w:r>
    </w:p>
    <w:p w14:paraId="5DB6E0CC">
      <w:pPr>
        <w:rPr>
          <w:rFonts w:cs="Times New Roman"/>
        </w:rPr>
      </w:pPr>
      <w:bookmarkStart w:id="48" w:name="_Toc231570208"/>
      <w:bookmarkStart w:id="49" w:name="OLE_LINK10"/>
      <w:bookmarkStart w:id="50" w:name="_Toc231854775"/>
      <w:bookmarkStart w:id="51" w:name="heading_14"/>
      <w:r>
        <w:rPr>
          <w:rFonts w:cs="Times New Roman"/>
        </w:rPr>
        <w:t>4.</w:t>
      </w:r>
      <w:bookmarkEnd w:id="48"/>
      <w:bookmarkEnd w:id="49"/>
      <w:bookmarkEnd w:id="50"/>
      <w:bookmarkEnd w:id="51"/>
      <w:r>
        <w:rPr>
          <w:rFonts w:hint="eastAsia" w:cs="Times New Roman"/>
          <w:lang w:val="en-US" w:eastAsia="zh-CN"/>
        </w:rPr>
        <w:t>8</w:t>
      </w:r>
      <w:r>
        <w:rPr>
          <w:rFonts w:cs="Times New Roman"/>
        </w:rPr>
        <w:t>项目情景project scenario</w:t>
      </w:r>
    </w:p>
    <w:p w14:paraId="4BDACE7F">
      <w:pPr>
        <w:rPr>
          <w:rFonts w:cs="Times New Roman"/>
        </w:rPr>
      </w:pPr>
      <w:r>
        <w:rPr>
          <w:rFonts w:cs="Times New Roman"/>
        </w:rPr>
        <w:t>指项目边界内湿地实施专项生态修复、常态化保育管护等人工提质干预后，湿地生态系统实际的碳库变化与固碳减排情景。</w:t>
      </w:r>
    </w:p>
    <w:p w14:paraId="2430B68E">
      <w:pPr>
        <w:rPr>
          <w:rFonts w:cs="Times New Roman"/>
        </w:rPr>
      </w:pPr>
      <w:r>
        <w:rPr>
          <w:rFonts w:cs="Times New Roman"/>
        </w:rPr>
        <w:t>[来源：GB/T</w:t>
      </w:r>
      <w:r>
        <w:rPr>
          <w:rFonts w:hint="eastAsia" w:cs="Times New Roman"/>
          <w:lang w:val="en-US" w:eastAsia="zh-CN"/>
        </w:rPr>
        <w:t xml:space="preserve"> </w:t>
      </w:r>
      <w:r>
        <w:rPr>
          <w:rFonts w:cs="Times New Roman"/>
        </w:rPr>
        <w:t>41198-2021，3.4，有修改]</w:t>
      </w:r>
    </w:p>
    <w:p w14:paraId="7BD825F2">
      <w:pPr>
        <w:rPr>
          <w:rFonts w:cs="Times New Roman"/>
        </w:rPr>
      </w:pPr>
      <w:bookmarkStart w:id="52" w:name="_Toc231570209"/>
      <w:bookmarkStart w:id="53" w:name="_Toc231854776"/>
      <w:r>
        <w:rPr>
          <w:rFonts w:cs="Times New Roman"/>
        </w:rPr>
        <w:t>4.</w:t>
      </w:r>
      <w:bookmarkEnd w:id="52"/>
      <w:bookmarkEnd w:id="53"/>
      <w:r>
        <w:rPr>
          <w:rFonts w:hint="eastAsia" w:cs="Times New Roman"/>
          <w:lang w:val="en-US" w:eastAsia="zh-CN"/>
        </w:rPr>
        <w:t>9</w:t>
      </w:r>
      <w:r>
        <w:rPr>
          <w:rFonts w:cs="Times New Roman"/>
        </w:rPr>
        <w:t>土壤扰动soil disturbance</w:t>
      </w:r>
    </w:p>
    <w:p w14:paraId="2E34B63E">
      <w:pPr>
        <w:rPr>
          <w:rFonts w:cs="Times New Roman"/>
        </w:rPr>
      </w:pPr>
      <w:r>
        <w:rPr>
          <w:rFonts w:cs="Times New Roman"/>
        </w:rPr>
        <w:t>指在项目范围内开展的整地、松土、翻耕等活动，这些活动可能引起土壤有机碳的氧化分解和排放，导致土壤有机碳含量降低。</w:t>
      </w:r>
    </w:p>
    <w:p w14:paraId="37402FC8">
      <w:pPr>
        <w:rPr>
          <w:rFonts w:cs="Times New Roman"/>
        </w:rPr>
      </w:pPr>
      <w:r>
        <w:rPr>
          <w:rFonts w:cs="Times New Roman"/>
        </w:rPr>
        <w:t>[来源：AR-CQCM-001-V01，有修改]</w:t>
      </w:r>
    </w:p>
    <w:p w14:paraId="3475DB88">
      <w:pPr>
        <w:rPr>
          <w:rFonts w:cs="Times New Roman"/>
        </w:rPr>
      </w:pPr>
      <w:bookmarkStart w:id="54" w:name="heading_15"/>
      <w:bookmarkStart w:id="55" w:name="_Toc231854777"/>
      <w:bookmarkStart w:id="56" w:name="_Toc231570210"/>
      <w:r>
        <w:rPr>
          <w:rFonts w:cs="Times New Roman"/>
        </w:rPr>
        <w:t>4.</w:t>
      </w:r>
      <w:bookmarkEnd w:id="54"/>
      <w:bookmarkEnd w:id="55"/>
      <w:bookmarkEnd w:id="56"/>
      <w:r>
        <w:rPr>
          <w:rFonts w:hint="eastAsia" w:cs="Times New Roman"/>
          <w:lang w:val="en-US" w:eastAsia="zh-CN"/>
        </w:rPr>
        <w:t>10</w:t>
      </w:r>
      <w:r>
        <w:rPr>
          <w:rFonts w:cs="Times New Roman"/>
        </w:rPr>
        <w:t>泄漏leakage</w:t>
      </w:r>
    </w:p>
    <w:p w14:paraId="2873BC03">
      <w:pPr>
        <w:rPr>
          <w:rFonts w:cs="Times New Roman"/>
        </w:rPr>
      </w:pPr>
      <w:r>
        <w:rPr>
          <w:rFonts w:cs="Times New Roman"/>
        </w:rPr>
        <w:t>指由湿地生态修复、管护活动引起的、发生在项目边界外的、可测量的温室气体源排放的增加量。</w:t>
      </w:r>
    </w:p>
    <w:p w14:paraId="7B007D21">
      <w:pPr>
        <w:rPr>
          <w:rFonts w:cs="Times New Roman"/>
        </w:rPr>
      </w:pPr>
      <w:r>
        <w:rPr>
          <w:rFonts w:cs="Times New Roman"/>
        </w:rPr>
        <w:t>[来源：AR-CQCM-001-V01，有修改]</w:t>
      </w:r>
    </w:p>
    <w:p w14:paraId="5CCD441C">
      <w:pPr>
        <w:rPr>
          <w:rFonts w:cs="Times New Roman"/>
        </w:rPr>
      </w:pPr>
      <w:bookmarkStart w:id="57" w:name="heading_16"/>
      <w:bookmarkStart w:id="58" w:name="_Toc231854778"/>
      <w:bookmarkStart w:id="59" w:name="_Toc231570211"/>
      <w:r>
        <w:rPr>
          <w:rFonts w:cs="Times New Roman"/>
        </w:rPr>
        <w:t>4.</w:t>
      </w:r>
      <w:bookmarkEnd w:id="57"/>
      <w:bookmarkEnd w:id="58"/>
      <w:bookmarkEnd w:id="59"/>
      <w:r>
        <w:rPr>
          <w:rFonts w:hint="eastAsia" w:cs="Times New Roman"/>
          <w:lang w:val="en-US" w:eastAsia="zh-CN"/>
        </w:rPr>
        <w:t>11</w:t>
      </w:r>
      <w:r>
        <w:rPr>
          <w:rFonts w:cs="Times New Roman"/>
        </w:rPr>
        <w:t>计入期crediting period</w:t>
      </w:r>
    </w:p>
    <w:p w14:paraId="49BAE061">
      <w:pPr>
        <w:rPr>
          <w:rFonts w:cs="Times New Roman"/>
        </w:rPr>
      </w:pPr>
      <w:r>
        <w:rPr>
          <w:rFonts w:cs="Times New Roman"/>
        </w:rPr>
        <w:t>湿地碳普惠项目产生的碳汇量、减排量可用于核算、备案和签发的有效周期。</w:t>
      </w:r>
    </w:p>
    <w:p w14:paraId="213ECCE5">
      <w:pPr>
        <w:rPr>
          <w:rFonts w:cs="Times New Roman"/>
        </w:rPr>
      </w:pPr>
      <w:r>
        <w:rPr>
          <w:rFonts w:cs="Times New Roman"/>
        </w:rPr>
        <w:t>[来源：AR-CQCM-001-V01，有修改]</w:t>
      </w:r>
    </w:p>
    <w:p w14:paraId="01473700">
      <w:pPr>
        <w:rPr>
          <w:rFonts w:cs="Times New Roman"/>
          <w:highlight w:val="none"/>
        </w:rPr>
      </w:pPr>
      <w:bookmarkStart w:id="60" w:name="heading_17"/>
      <w:bookmarkStart w:id="61" w:name="_Toc231854779"/>
      <w:bookmarkStart w:id="62" w:name="_Toc231570212"/>
      <w:r>
        <w:rPr>
          <w:rFonts w:cs="Times New Roman"/>
          <w:highlight w:val="none"/>
        </w:rPr>
        <w:t>4.</w:t>
      </w:r>
      <w:bookmarkEnd w:id="60"/>
      <w:r>
        <w:rPr>
          <w:rFonts w:cs="Times New Roman"/>
          <w:highlight w:val="none"/>
        </w:rPr>
        <w:t>1</w:t>
      </w:r>
      <w:bookmarkEnd w:id="61"/>
      <w:bookmarkEnd w:id="62"/>
      <w:r>
        <w:rPr>
          <w:rFonts w:hint="eastAsia" w:cs="Times New Roman"/>
          <w:highlight w:val="none"/>
          <w:lang w:val="en-US" w:eastAsia="zh-CN"/>
        </w:rPr>
        <w:t>2</w:t>
      </w:r>
      <w:r>
        <w:rPr>
          <w:rFonts w:cs="Times New Roman"/>
          <w:highlight w:val="none"/>
        </w:rPr>
        <w:t>碳普惠减排量carbon inclusive emission reduction</w:t>
      </w:r>
    </w:p>
    <w:p w14:paraId="2415AB41">
      <w:pPr>
        <w:rPr>
          <w:highlight w:val="none"/>
        </w:rPr>
      </w:pPr>
      <w:r>
        <w:rPr>
          <w:highlight w:val="none"/>
        </w:rPr>
        <w:t>依据本区域性湿地碳普惠方法学核算，经第三方合规核查、南京市生态环境局备案签发，可在南京碳普惠</w:t>
      </w:r>
      <w:r>
        <w:rPr>
          <w:rFonts w:hint="eastAsia"/>
          <w:highlight w:val="none"/>
          <w:lang w:eastAsia="zh-CN"/>
        </w:rPr>
        <w:t>综合管理平台上</w:t>
      </w:r>
      <w:r>
        <w:rPr>
          <w:highlight w:val="none"/>
        </w:rPr>
        <w:t>登记、交易、消纳、应用的湿地生态净碳汇量，单位为吨二氧化碳当量（t</w:t>
      </w:r>
      <w:r>
        <w:rPr>
          <w:rFonts w:hint="eastAsia"/>
          <w:highlight w:val="none"/>
          <w:lang w:eastAsia="zh-CN"/>
        </w:rPr>
        <w:t>CO</w:t>
      </w:r>
      <w:r>
        <w:rPr>
          <w:rFonts w:hint="eastAsia"/>
          <w:highlight w:val="none"/>
          <w:vertAlign w:val="subscript"/>
          <w:lang w:eastAsia="zh-CN"/>
        </w:rPr>
        <w:t>2e</w:t>
      </w:r>
      <w:r>
        <w:rPr>
          <w:highlight w:val="none"/>
        </w:rPr>
        <w:t>）。</w:t>
      </w:r>
    </w:p>
    <w:p w14:paraId="2FBF8357">
      <w:pPr>
        <w:rPr>
          <w:rFonts w:hint="default" w:eastAsiaTheme="minorEastAsia"/>
          <w:highlight w:val="none"/>
          <w:lang w:val="en-US" w:eastAsia="zh-CN"/>
        </w:rPr>
      </w:pPr>
      <w:r>
        <w:rPr>
          <w:rFonts w:cs="Times New Roman"/>
          <w:highlight w:val="none"/>
        </w:rPr>
        <w:t>[来源：AR-CQCM-001-V01，有修改]</w:t>
      </w:r>
    </w:p>
    <w:p w14:paraId="6E57B58D">
      <w:pPr>
        <w:pStyle w:val="3"/>
        <w:spacing w:after="120"/>
        <w:rPr>
          <w:highlight w:val="none"/>
        </w:rPr>
      </w:pPr>
      <w:bookmarkStart w:id="63" w:name="_Toc154504465"/>
      <w:bookmarkStart w:id="64" w:name="_Toc225155031"/>
      <w:bookmarkStart w:id="65" w:name="_Toc225155015"/>
      <w:bookmarkStart w:id="66" w:name="_Toc225154732"/>
      <w:bookmarkStart w:id="67" w:name="_Toc225155155"/>
      <w:bookmarkStart w:id="68" w:name="_Toc232172240"/>
      <w:bookmarkStart w:id="69" w:name="_Toc18468"/>
      <w:r>
        <w:rPr>
          <w:highlight w:val="none"/>
        </w:rPr>
        <w:t>5 基本要求</w:t>
      </w:r>
      <w:bookmarkEnd w:id="63"/>
      <w:bookmarkEnd w:id="64"/>
      <w:bookmarkEnd w:id="65"/>
      <w:bookmarkEnd w:id="66"/>
      <w:bookmarkEnd w:id="67"/>
      <w:bookmarkEnd w:id="68"/>
      <w:bookmarkEnd w:id="69"/>
    </w:p>
    <w:p w14:paraId="35DCDEDE">
      <w:r>
        <w:t>5.1 合规性要求</w:t>
      </w:r>
    </w:p>
    <w:p w14:paraId="755EB772">
      <w:r>
        <w:t>湿地碳普惠项目规划、施工、长期监测、台账留存全流程</w:t>
      </w:r>
      <w:r>
        <w:rPr>
          <w:rFonts w:hint="eastAsia"/>
          <w:lang w:eastAsia="zh-CN"/>
        </w:rPr>
        <w:t>，必</w:t>
      </w:r>
      <w:r>
        <w:t>须符合国家、江苏省、南京市湿地保护、水土保持、碳排放、碳普惠管</w:t>
      </w:r>
      <w:r>
        <w:rPr>
          <w:rFonts w:hint="eastAsia"/>
          <w:lang w:eastAsia="zh-CN"/>
        </w:rPr>
        <w:t>理等</w:t>
      </w:r>
      <w:r>
        <w:t>相关法规政策；野外采样、实验室检测执行对应国标、行标，数据采集、存储满足数据安全管理要求。</w:t>
      </w:r>
    </w:p>
    <w:p w14:paraId="4DB09796">
      <w:r>
        <w:t>5.2 权属唯一性要求</w:t>
      </w:r>
    </w:p>
    <w:p w14:paraId="0AB4230C">
      <w:r>
        <w:t>项目权属范围、修复施工范围、核算边界三者完全统一；同一地块不得重复申报其他碳汇、减排项目，减排量唯一</w:t>
      </w:r>
      <w:r>
        <w:rPr>
          <w:rFonts w:hint="eastAsia"/>
          <w:lang w:eastAsia="zh-CN"/>
        </w:rPr>
        <w:t>且</w:t>
      </w:r>
      <w:r>
        <w:t xml:space="preserve">不可重复核销。 </w:t>
      </w:r>
    </w:p>
    <w:p w14:paraId="3BB136C3">
      <w:r>
        <w:t>5.</w:t>
      </w:r>
      <w:r>
        <w:rPr>
          <w:rFonts w:hint="eastAsia"/>
        </w:rPr>
        <w:t>3</w:t>
      </w:r>
      <w:r>
        <w:t xml:space="preserve"> 减排量消纳渠道要求</w:t>
      </w:r>
    </w:p>
    <w:p w14:paraId="188EA18C">
      <w:r>
        <w:t>本方法核算I类减排量，可用于碳普惠平台交易、企业碳中和抵消、政府生态补偿、碳积分兑换</w:t>
      </w:r>
      <w:r>
        <w:rPr>
          <w:rFonts w:hint="eastAsia"/>
          <w:lang w:eastAsia="zh-CN"/>
        </w:rPr>
        <w:t>等全</w:t>
      </w:r>
      <w:r>
        <w:t>渠道应用。</w:t>
      </w:r>
    </w:p>
    <w:p w14:paraId="32D82F02">
      <w:pPr>
        <w:pStyle w:val="3"/>
        <w:spacing w:after="120"/>
        <w:rPr>
          <w:rFonts w:ascii="Times New Roman" w:hAnsi="Times New Roman" w:cs="Times New Roman"/>
        </w:rPr>
      </w:pPr>
      <w:bookmarkStart w:id="70" w:name="_Toc225155156"/>
      <w:bookmarkStart w:id="71" w:name="_Toc225154733"/>
      <w:bookmarkStart w:id="72" w:name="_Toc225155016"/>
      <w:bookmarkStart w:id="73" w:name="_Toc17931"/>
      <w:bookmarkStart w:id="74" w:name="_Toc225155032"/>
      <w:bookmarkStart w:id="75" w:name="OLE_LINK64"/>
      <w:r>
        <w:rPr>
          <w:rFonts w:ascii="Times New Roman" w:hAnsi="Times New Roman" w:cs="Times New Roman"/>
        </w:rPr>
        <w:t>6 核算边界及排放源</w:t>
      </w:r>
      <w:bookmarkEnd w:id="70"/>
      <w:bookmarkEnd w:id="71"/>
      <w:bookmarkEnd w:id="72"/>
      <w:bookmarkEnd w:id="73"/>
      <w:bookmarkEnd w:id="74"/>
    </w:p>
    <w:p w14:paraId="2A902D94">
      <w:pPr>
        <w:outlineLvl w:val="2"/>
        <w:rPr>
          <w:rFonts w:cs="Times New Roman"/>
        </w:rPr>
      </w:pPr>
      <w:r>
        <w:rPr>
          <w:rFonts w:cs="Times New Roman"/>
        </w:rPr>
        <w:t>6.1 核算边界</w:t>
      </w:r>
    </w:p>
    <w:p w14:paraId="78315609">
      <w:pPr>
        <w:outlineLvl w:val="3"/>
        <w:rPr>
          <w:rFonts w:cs="Times New Roman"/>
        </w:rPr>
      </w:pPr>
      <w:bookmarkStart w:id="76" w:name="_Toc231854782"/>
      <w:bookmarkStart w:id="77" w:name="heading_19"/>
      <w:bookmarkStart w:id="78" w:name="OLE_LINK8"/>
      <w:r>
        <w:rPr>
          <w:rFonts w:cs="Times New Roman"/>
        </w:rPr>
        <w:t>6.1.1</w:t>
      </w:r>
      <w:r>
        <w:rPr>
          <w:rFonts w:hint="eastAsia" w:cs="Times New Roman"/>
        </w:rPr>
        <w:t xml:space="preserve"> </w:t>
      </w:r>
      <w:r>
        <w:rPr>
          <w:rFonts w:cs="Times New Roman"/>
        </w:rPr>
        <w:t>空间边界</w:t>
      </w:r>
      <w:bookmarkEnd w:id="76"/>
      <w:bookmarkEnd w:id="77"/>
    </w:p>
    <w:bookmarkEnd w:id="78"/>
    <w:p w14:paraId="17BE9E38">
      <w:pPr>
        <w:outlineLvl w:val="4"/>
        <w:rPr>
          <w:rFonts w:cs="Times New Roman"/>
        </w:rPr>
      </w:pPr>
      <w:bookmarkStart w:id="79" w:name="_Toc231854783"/>
      <w:r>
        <w:rPr>
          <w:rFonts w:cs="Times New Roman"/>
        </w:rPr>
        <w:t>6.1.1.1</w:t>
      </w:r>
      <w:r>
        <w:rPr>
          <w:rFonts w:hint="eastAsia" w:cs="Times New Roman"/>
        </w:rPr>
        <w:t xml:space="preserve"> </w:t>
      </w:r>
      <w:r>
        <w:rPr>
          <w:rFonts w:cs="Times New Roman"/>
        </w:rPr>
        <w:t>项目边界</w:t>
      </w:r>
      <w:bookmarkEnd w:id="79"/>
    </w:p>
    <w:p w14:paraId="06C88311">
      <w:pPr>
        <w:rPr>
          <w:rFonts w:cs="Times New Roman"/>
        </w:rPr>
      </w:pPr>
      <w:r>
        <w:rPr>
          <w:rFonts w:cs="Times New Roman"/>
          <w:highlight w:val="none"/>
        </w:rPr>
        <w:t>采用CGCS2000坐标系拐点坐标精确界定项目范围与权属面积，</w:t>
      </w:r>
      <w:r>
        <w:rPr>
          <w:rFonts w:cs="Times New Roman"/>
        </w:rPr>
        <w:t>边界应完整覆盖项目人工修复、管护干预的全部湿地区域，做到权属范围、施工范围、核算范围三者统一。项目边界内不包括宽度大于2m的硬化道路、大型沟渠、建（构）筑物等线性/块状人工设施。所有边界数据应精准、可溯源、可复核。</w:t>
      </w:r>
    </w:p>
    <w:p w14:paraId="5558E9E8">
      <w:pPr>
        <w:outlineLvl w:val="4"/>
        <w:rPr>
          <w:rFonts w:cs="Times New Roman"/>
        </w:rPr>
      </w:pPr>
      <w:bookmarkStart w:id="80" w:name="_Toc231854784"/>
      <w:r>
        <w:rPr>
          <w:rFonts w:cs="Times New Roman"/>
        </w:rPr>
        <w:t>6.1.1.2</w:t>
      </w:r>
      <w:r>
        <w:rPr>
          <w:rFonts w:hint="eastAsia" w:cs="Times New Roman"/>
        </w:rPr>
        <w:t xml:space="preserve"> </w:t>
      </w:r>
      <w:r>
        <w:rPr>
          <w:rFonts w:cs="Times New Roman"/>
        </w:rPr>
        <w:t>边界佐证材料</w:t>
      </w:r>
      <w:bookmarkEnd w:id="80"/>
    </w:p>
    <w:p w14:paraId="68E88312">
      <w:bookmarkStart w:id="81" w:name="heading_21"/>
      <w:bookmarkStart w:id="82" w:name="_Toc231854790"/>
      <w:r>
        <w:t>所有湿地碳普惠项目须在项目实施方案、设计文件中明确绘制项目边界红线，并同步建立完整的边界佐证材料档案。边界佐证材料是碳汇核算、第三方核查、主管部门备案的必备依据，须随项目资料一并归档留存。</w:t>
      </w:r>
    </w:p>
    <w:p w14:paraId="6BF0970C">
      <w:r>
        <w:t>（1）必备材料</w:t>
      </w:r>
    </w:p>
    <w:p w14:paraId="7B2C1FB9">
      <w:pPr>
        <w:rPr>
          <w:highlight w:val="none"/>
        </w:rPr>
      </w:pPr>
      <w:r>
        <w:t>a）项目边界矢量数据文件：须提供项目边界的矢量数据文件（如.shp或.kml文件），文件应细化到各地块边界拐点坐标，</w:t>
      </w:r>
      <w:r>
        <w:rPr>
          <w:highlight w:val="none"/>
        </w:rPr>
        <w:t>坐标系统一采用CGCS2000国家大地坐标系。</w:t>
      </w:r>
    </w:p>
    <w:p w14:paraId="46CA8BE6">
      <w:r>
        <w:t>b）土地（水域）权属证明材料：包括不动产权属证书、土地承包或流转合同，或经有批准权的人民政府或主管部门批准核发的土地证、林权证等权属证明文件。</w:t>
      </w:r>
    </w:p>
    <w:p w14:paraId="6EDA475F">
      <w:r>
        <w:t>c）项目开始前的土地利用状况佐证材料：须提供项目开始前项目边界内的高清卫星遥感影像（空间分辨率不低于2m）或航拍影像，并结合土地利用现状图等资料，佐证项目开始前地块的土地利用状况。</w:t>
      </w:r>
    </w:p>
    <w:p w14:paraId="6CEEB026">
      <w:r>
        <w:t>d）项目实施后的现场核查材料：须提供项目实施方案、设计文件以及经县级（含）以上行业主管部门批复的作业设计和（或）出具的验收报告。</w:t>
      </w:r>
    </w:p>
    <w:p w14:paraId="1B9AD101">
      <w:r>
        <w:t>（2）辅助材料</w:t>
      </w:r>
    </w:p>
    <w:p w14:paraId="0AEEC283">
      <w:r>
        <w:t>e）项目现场现状照片：须在项目设计阶段和实施阶段分别拍摄项目现场的现状照片，照片应能清</w:t>
      </w:r>
      <w:r>
        <w:rPr>
          <w:rFonts w:hint="eastAsia"/>
          <w:lang w:eastAsia="zh-CN"/>
        </w:rPr>
        <w:t>晰地</w:t>
      </w:r>
      <w:r>
        <w:t>反映项目边界内湿地植被、水域、地形等现状特征。</w:t>
      </w:r>
    </w:p>
    <w:p w14:paraId="02D51772">
      <w:r>
        <w:t>f）施工过程记录材料：包括但不限于施工合同、付款证明、监理报告、施工日志等能够佐证项目施工时间、范围和内容的其他材料。</w:t>
      </w:r>
    </w:p>
    <w:p w14:paraId="51F818A8">
      <w:r>
        <w:t>（3）特殊情形处理</w:t>
      </w:r>
    </w:p>
    <w:p w14:paraId="433E04A0">
      <w:r>
        <w:t>对于项目开始时间较早、无法提供项目开始前高清遥感影像的项目，可采用项目开始前的森林资源调查数据、林地</w:t>
      </w:r>
      <w:r>
        <w:rPr>
          <w:rFonts w:hint="eastAsia"/>
        </w:rPr>
        <w:t>“</w:t>
      </w:r>
      <w:r>
        <w:t>一张图</w:t>
      </w:r>
      <w:r>
        <w:rPr>
          <w:rFonts w:hint="eastAsia"/>
        </w:rPr>
        <w:t>”</w:t>
      </w:r>
      <w:r>
        <w:t>或林草资源</w:t>
      </w:r>
      <w:r>
        <w:rPr>
          <w:rFonts w:hint="eastAsia"/>
        </w:rPr>
        <w:t>“</w:t>
      </w:r>
      <w:r>
        <w:t>一张图</w:t>
      </w:r>
      <w:r>
        <w:rPr>
          <w:rFonts w:hint="eastAsia"/>
        </w:rPr>
        <w:t>”</w:t>
      </w:r>
      <w:r>
        <w:t>、土地利用现状图等替代材料，并结合现场走访记录等方式补充佐证。上述替代材料须在项目设计文件中说明选取依据和合理性。</w:t>
      </w:r>
    </w:p>
    <w:p w14:paraId="5A1EA6A9">
      <w:r>
        <w:t>（4）材料存档要求</w:t>
      </w:r>
    </w:p>
    <w:p w14:paraId="6C3ACD62">
      <w:r>
        <w:t>所有边界佐证材料及相关的原始记录应当在该项目最后一期减排量登记后至少保存十年。材料应以电子和纸质两种形式存档，确保可追溯、可核查。</w:t>
      </w:r>
    </w:p>
    <w:p w14:paraId="0D57AEE6">
      <w:pPr>
        <w:outlineLvl w:val="3"/>
        <w:rPr>
          <w:rFonts w:cs="Times New Roman"/>
        </w:rPr>
      </w:pPr>
      <w:r>
        <w:rPr>
          <w:rFonts w:cs="Times New Roman"/>
        </w:rPr>
        <w:t>6.1.2</w:t>
      </w:r>
      <w:r>
        <w:rPr>
          <w:rFonts w:hint="eastAsia" w:cs="Times New Roman"/>
        </w:rPr>
        <w:t xml:space="preserve"> </w:t>
      </w:r>
      <w:r>
        <w:rPr>
          <w:rFonts w:cs="Times New Roman"/>
        </w:rPr>
        <w:t>活动边界</w:t>
      </w:r>
      <w:bookmarkEnd w:id="81"/>
      <w:bookmarkEnd w:id="82"/>
    </w:p>
    <w:p w14:paraId="77DD68F8">
      <w:pPr>
        <w:outlineLvl w:val="4"/>
        <w:rPr>
          <w:rFonts w:cs="Times New Roman"/>
        </w:rPr>
      </w:pPr>
      <w:bookmarkStart w:id="83" w:name="_Toc231854791"/>
      <w:bookmarkStart w:id="84" w:name="heading_22"/>
      <w:r>
        <w:rPr>
          <w:rFonts w:cs="Times New Roman"/>
        </w:rPr>
        <w:t>6.1.2.1</w:t>
      </w:r>
      <w:r>
        <w:rPr>
          <w:rFonts w:hint="eastAsia" w:cs="Times New Roman"/>
        </w:rPr>
        <w:t xml:space="preserve"> </w:t>
      </w:r>
      <w:r>
        <w:rPr>
          <w:rFonts w:cs="Times New Roman"/>
        </w:rPr>
        <w:t>纳入核算的活动</w:t>
      </w:r>
      <w:bookmarkEnd w:id="83"/>
      <w:bookmarkEnd w:id="84"/>
    </w:p>
    <w:p w14:paraId="0410F3E0">
      <w:pPr>
        <w:rPr>
          <w:rFonts w:cs="Times New Roman"/>
        </w:rPr>
      </w:pPr>
      <w:r>
        <w:rPr>
          <w:rFonts w:cs="Times New Roman"/>
        </w:rPr>
        <w:t>应纳入核算的活动包括：</w:t>
      </w:r>
    </w:p>
    <w:p w14:paraId="19687C91">
      <w:pPr>
        <w:rPr>
          <w:rFonts w:cs="Times New Roman"/>
        </w:rPr>
      </w:pPr>
      <w:r>
        <w:rPr>
          <w:rFonts w:hint="eastAsia" w:cs="Times New Roman"/>
          <w:lang w:eastAsia="zh-CN"/>
        </w:rPr>
        <w:t>a）</w:t>
      </w:r>
      <w:r>
        <w:rPr>
          <w:rFonts w:cs="Times New Roman"/>
        </w:rPr>
        <w:t>本土湿地植被恢复与常态化抚育管护（本地优势水生植被种植、补植、更新、养护）；</w:t>
      </w:r>
    </w:p>
    <w:p w14:paraId="587F9640">
      <w:pPr>
        <w:rPr>
          <w:rFonts w:cs="Times New Roman"/>
        </w:rPr>
      </w:pPr>
      <w:r>
        <w:rPr>
          <w:rFonts w:hint="eastAsia" w:cs="Times New Roman"/>
          <w:lang w:eastAsia="zh-CN"/>
        </w:rPr>
        <w:t>b）</w:t>
      </w:r>
      <w:r>
        <w:rPr>
          <w:rFonts w:cs="Times New Roman"/>
        </w:rPr>
        <w:t>湿地土壤保育与生态改良（有机质涵养、轻度污染土壤治理、水土保持、防止湿地土壤退化与侵蚀）；</w:t>
      </w:r>
    </w:p>
    <w:p w14:paraId="31B3EB58">
      <w:pPr>
        <w:rPr>
          <w:rFonts w:cs="Times New Roman"/>
        </w:rPr>
      </w:pPr>
      <w:r>
        <w:rPr>
          <w:rFonts w:hint="eastAsia" w:cs="Times New Roman"/>
          <w:lang w:eastAsia="zh-CN"/>
        </w:rPr>
        <w:t>c）</w:t>
      </w:r>
      <w:r>
        <w:rPr>
          <w:rFonts w:cs="Times New Roman"/>
        </w:rPr>
        <w:t>湿地水体生态修复与稳态维持（水质提质净化、合理水位调控、水生生物多样性保育、水生态系统稳态维护）；</w:t>
      </w:r>
    </w:p>
    <w:p w14:paraId="5E585D7E">
      <w:pPr>
        <w:rPr>
          <w:rFonts w:cs="Times New Roman"/>
        </w:rPr>
      </w:pPr>
      <w:r>
        <w:rPr>
          <w:rFonts w:hint="eastAsia" w:cs="Times New Roman"/>
          <w:lang w:eastAsia="zh-CN"/>
        </w:rPr>
        <w:t>d）</w:t>
      </w:r>
      <w:r>
        <w:rPr>
          <w:rFonts w:cs="Times New Roman"/>
        </w:rPr>
        <w:t>湿地常态化生态管护（日常巡查、非法开垦、捕捞、排污、侵占等违规行为管控，保障湿地生态系统稳定运行）。</w:t>
      </w:r>
    </w:p>
    <w:p w14:paraId="7F079265">
      <w:pPr>
        <w:outlineLvl w:val="4"/>
        <w:rPr>
          <w:rFonts w:cs="Times New Roman"/>
        </w:rPr>
      </w:pPr>
      <w:bookmarkStart w:id="85" w:name="_Toc231854792"/>
      <w:bookmarkStart w:id="86" w:name="heading_23"/>
      <w:r>
        <w:rPr>
          <w:rFonts w:cs="Times New Roman"/>
        </w:rPr>
        <w:t>6.1.2.2</w:t>
      </w:r>
      <w:r>
        <w:rPr>
          <w:rFonts w:hint="eastAsia" w:cs="Times New Roman"/>
        </w:rPr>
        <w:t xml:space="preserve"> </w:t>
      </w:r>
      <w:r>
        <w:rPr>
          <w:rFonts w:cs="Times New Roman"/>
        </w:rPr>
        <w:t>排除核算的活动</w:t>
      </w:r>
      <w:bookmarkEnd w:id="85"/>
      <w:bookmarkEnd w:id="86"/>
    </w:p>
    <w:p w14:paraId="608834E9">
      <w:pPr>
        <w:rPr>
          <w:rFonts w:cs="Times New Roman"/>
        </w:rPr>
      </w:pPr>
      <w:r>
        <w:rPr>
          <w:rFonts w:cs="Times New Roman"/>
        </w:rPr>
        <w:t>不应纳入核算的活动包括：</w:t>
      </w:r>
    </w:p>
    <w:p w14:paraId="6462B12C">
      <w:pPr>
        <w:rPr>
          <w:rFonts w:cs="Times New Roman"/>
        </w:rPr>
      </w:pPr>
      <w:r>
        <w:rPr>
          <w:rFonts w:hint="eastAsia" w:cs="Times New Roman"/>
          <w:lang w:eastAsia="zh-CN"/>
        </w:rPr>
        <w:t>a）</w:t>
      </w:r>
      <w:r>
        <w:rPr>
          <w:rFonts w:cs="Times New Roman"/>
        </w:rPr>
        <w:t>项目边界内大规模永久性基建工程（道路、桥梁、构筑物、硬化设施等）建设活动；</w:t>
      </w:r>
    </w:p>
    <w:p w14:paraId="3933DFB8">
      <w:pPr>
        <w:rPr>
          <w:rFonts w:cs="Times New Roman"/>
        </w:rPr>
      </w:pPr>
      <w:r>
        <w:rPr>
          <w:rFonts w:hint="eastAsia" w:cs="Times New Roman"/>
          <w:lang w:eastAsia="zh-CN"/>
        </w:rPr>
        <w:t>b）</w:t>
      </w:r>
      <w:r>
        <w:rPr>
          <w:rFonts w:cs="Times New Roman"/>
        </w:rPr>
        <w:t>湿地范围内经营性农业种植、规模化水产养殖等生产经营活动；</w:t>
      </w:r>
    </w:p>
    <w:p w14:paraId="159946B9">
      <w:pPr>
        <w:ind w:firstLine="560" w:firstLineChars="200"/>
        <w:rPr>
          <w:rFonts w:cs="Times New Roman"/>
        </w:rPr>
      </w:pPr>
      <w:r>
        <w:rPr>
          <w:rFonts w:hint="eastAsia" w:cs="Times New Roman"/>
          <w:lang w:eastAsia="zh-CN"/>
        </w:rPr>
        <w:t>c）</w:t>
      </w:r>
      <w:r>
        <w:rPr>
          <w:rFonts w:cs="Times New Roman"/>
        </w:rPr>
        <w:t>项目空间边界外所有人工、自然活动产生的碳汇量与碳排放量。</w:t>
      </w:r>
    </w:p>
    <w:p w14:paraId="0C83BD8C">
      <w:pPr>
        <w:outlineLvl w:val="2"/>
        <w:rPr>
          <w:rFonts w:cs="Times New Roman"/>
        </w:rPr>
      </w:pPr>
      <w:bookmarkStart w:id="87" w:name="_Toc231854787"/>
      <w:r>
        <w:rPr>
          <w:rFonts w:cs="Times New Roman"/>
        </w:rPr>
        <w:t>6.2</w:t>
      </w:r>
      <w:r>
        <w:rPr>
          <w:rFonts w:hint="eastAsia" w:cs="Times New Roman"/>
        </w:rPr>
        <w:t xml:space="preserve"> </w:t>
      </w:r>
      <w:r>
        <w:rPr>
          <w:rFonts w:cs="Times New Roman"/>
        </w:rPr>
        <w:t>计入期</w:t>
      </w:r>
      <w:bookmarkEnd w:id="87"/>
    </w:p>
    <w:p w14:paraId="6A0B8512">
      <w:pPr>
        <w:rPr>
          <w:rFonts w:cs="Times New Roman"/>
        </w:rPr>
      </w:pPr>
      <w:r>
        <w:rPr>
          <w:rFonts w:cs="Times New Roman"/>
        </w:rPr>
        <w:t>南京市行政区域内湿地碳普惠项目单期标准计入期为5年</w:t>
      </w:r>
      <w:r>
        <w:rPr>
          <w:rFonts w:hint="eastAsia" w:cs="Times New Roman"/>
        </w:rPr>
        <w:t>。</w:t>
      </w:r>
      <w:r>
        <w:rPr>
          <w:rFonts w:cs="Times New Roman"/>
        </w:rPr>
        <w:t>项目当期管护、监测完整，湿地碳汇保持稳定且未发生生态破坏的，可按规定申请延续计入期，单次延续时长不超过 5 年；单个项目多次续期叠加后的累计</w:t>
      </w:r>
      <w:r>
        <w:rPr>
          <w:rFonts w:hint="eastAsia" w:cs="Times New Roman"/>
          <w:lang w:eastAsia="zh-CN"/>
        </w:rPr>
        <w:t>计入</w:t>
      </w:r>
      <w:r>
        <w:rPr>
          <w:rFonts w:cs="Times New Roman"/>
        </w:rPr>
        <w:t>期最长不得超过 20 年。核算周期以完整自然年为计算单位，单个核算周期不少于 1 年。</w:t>
      </w:r>
    </w:p>
    <w:p w14:paraId="0F0B50F4">
      <w:pPr>
        <w:outlineLvl w:val="3"/>
        <w:rPr>
          <w:rFonts w:cs="Times New Roman"/>
        </w:rPr>
      </w:pPr>
      <w:bookmarkStart w:id="88" w:name="_Toc231854788"/>
      <w:r>
        <w:rPr>
          <w:rFonts w:cs="Times New Roman"/>
        </w:rPr>
        <w:t>6.2.1</w:t>
      </w:r>
      <w:r>
        <w:rPr>
          <w:rFonts w:hint="eastAsia" w:cs="Times New Roman"/>
        </w:rPr>
        <w:t xml:space="preserve"> </w:t>
      </w:r>
      <w:r>
        <w:rPr>
          <w:rFonts w:cs="Times New Roman"/>
        </w:rPr>
        <w:t>延续条件</w:t>
      </w:r>
      <w:bookmarkEnd w:id="88"/>
    </w:p>
    <w:p w14:paraId="402D4E46">
      <w:pPr>
        <w:rPr>
          <w:rFonts w:cs="Times New Roman"/>
        </w:rPr>
      </w:pPr>
      <w:r>
        <w:rPr>
          <w:rFonts w:cs="Times New Roman"/>
        </w:rPr>
        <w:t>项目持续开展标准化湿地管护与生态保育工作、年度监测数据连续完整、碳汇核算结果通过第三方核查、项目区域未发生重大生态破坏及人为扰动导致碳汇能力衰减的，方可申请延续。</w:t>
      </w:r>
    </w:p>
    <w:p w14:paraId="25209EA9">
      <w:pPr>
        <w:outlineLvl w:val="3"/>
        <w:rPr>
          <w:rFonts w:cs="Times New Roman"/>
        </w:rPr>
      </w:pPr>
      <w:bookmarkStart w:id="89" w:name="_Toc231854789"/>
      <w:r>
        <w:rPr>
          <w:rFonts w:cs="Times New Roman"/>
        </w:rPr>
        <w:t>6.2.2</w:t>
      </w:r>
      <w:r>
        <w:rPr>
          <w:rFonts w:hint="eastAsia" w:cs="Times New Roman"/>
        </w:rPr>
        <w:t xml:space="preserve"> </w:t>
      </w:r>
      <w:r>
        <w:rPr>
          <w:rFonts w:cs="Times New Roman"/>
        </w:rPr>
        <w:t>延续申请要求</w:t>
      </w:r>
      <w:bookmarkEnd w:id="89"/>
    </w:p>
    <w:p w14:paraId="6F737AF4">
      <w:pPr>
        <w:rPr>
          <w:rFonts w:cs="Times New Roman"/>
        </w:rPr>
      </w:pPr>
      <w:r>
        <w:rPr>
          <w:rFonts w:cs="Times New Roman"/>
        </w:rPr>
        <w:t>项目业主应提前6个月向南京市碳普惠主管部门提交续期申请及配套佐证材料，经审核公示通过后生效。</w:t>
      </w:r>
    </w:p>
    <w:p w14:paraId="3C40E05F">
      <w:pPr>
        <w:outlineLvl w:val="2"/>
        <w:rPr>
          <w:rFonts w:cs="Times New Roman"/>
        </w:rPr>
      </w:pPr>
      <w:r>
        <w:rPr>
          <w:rFonts w:cs="Times New Roman"/>
        </w:rPr>
        <w:t>6.3 碳库和温室气体排放源选择</w:t>
      </w:r>
    </w:p>
    <w:p w14:paraId="41F9F161">
      <w:pPr>
        <w:rPr>
          <w:rFonts w:cs="Times New Roman"/>
        </w:rPr>
      </w:pPr>
      <w:r>
        <w:rPr>
          <w:rFonts w:cs="Times New Roman"/>
        </w:rPr>
        <w:t>本方法学对项目活动的碳库选择如表1。其中地上生物量、地下生物量、土壤有机碳、水体溶解有机碳库是</w:t>
      </w:r>
      <w:r>
        <w:rPr>
          <w:rFonts w:hint="eastAsia" w:cs="Times New Roman"/>
          <w:lang w:eastAsia="zh-CN"/>
        </w:rPr>
        <w:t>必须</w:t>
      </w:r>
      <w:r>
        <w:rPr>
          <w:rFonts w:cs="Times New Roman"/>
        </w:rPr>
        <w:t>选择的碳库。项目参与方可以根据实际数据的可获得性、成本有效性、保守性原则，选择是否忽略枯死木、枯落物碳库。</w:t>
      </w:r>
    </w:p>
    <w:p w14:paraId="70CA9377">
      <w:pPr>
        <w:pStyle w:val="4"/>
      </w:pPr>
      <w:r>
        <w:rPr>
          <w:rFonts w:hint="eastAsia"/>
        </w:rPr>
        <w:t>表1 碳库的选择</w:t>
      </w:r>
    </w:p>
    <w:tbl>
      <w:tblPr>
        <w:tblStyle w:val="13"/>
        <w:tblW w:w="50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46"/>
        <w:gridCol w:w="2310"/>
        <w:gridCol w:w="4255"/>
      </w:tblGrid>
      <w:tr w14:paraId="5D0FD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232"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C29466">
            <w:pPr>
              <w:pStyle w:val="11"/>
              <w:jc w:val="center"/>
              <w:rPr>
                <w:rFonts w:ascii="Times New Roman" w:hAnsi="Times New Roman"/>
                <w:color w:val="000000"/>
                <w:kern w:val="2"/>
              </w:rPr>
            </w:pPr>
            <w:r>
              <w:rPr>
                <w:rFonts w:hint="eastAsia" w:cs="宋体"/>
                <w:color w:val="000000"/>
                <w:kern w:val="2"/>
              </w:rPr>
              <w:t>碳库</w:t>
            </w:r>
          </w:p>
        </w:tc>
        <w:tc>
          <w:tcPr>
            <w:tcW w:w="1326"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74FF191">
            <w:pPr>
              <w:pStyle w:val="11"/>
              <w:jc w:val="center"/>
              <w:rPr>
                <w:rFonts w:ascii="Times New Roman" w:hAnsi="Times New Roman"/>
                <w:color w:val="000000"/>
                <w:kern w:val="2"/>
              </w:rPr>
            </w:pPr>
            <w:r>
              <w:rPr>
                <w:rFonts w:hint="eastAsia" w:cs="宋体"/>
                <w:color w:val="000000"/>
                <w:kern w:val="2"/>
              </w:rPr>
              <w:t>是否选择</w:t>
            </w:r>
          </w:p>
        </w:tc>
        <w:tc>
          <w:tcPr>
            <w:tcW w:w="2441"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48B4F61">
            <w:pPr>
              <w:pStyle w:val="11"/>
              <w:jc w:val="center"/>
              <w:rPr>
                <w:rFonts w:ascii="Times New Roman" w:hAnsi="Times New Roman"/>
                <w:color w:val="000000"/>
                <w:kern w:val="2"/>
              </w:rPr>
            </w:pPr>
            <w:r>
              <w:rPr>
                <w:rFonts w:hint="eastAsia" w:cs="宋体"/>
                <w:color w:val="000000"/>
                <w:kern w:val="2"/>
              </w:rPr>
              <w:t>理由或解释</w:t>
            </w:r>
          </w:p>
        </w:tc>
      </w:tr>
      <w:tr w14:paraId="7DE5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232"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BACF806">
            <w:pPr>
              <w:pStyle w:val="11"/>
              <w:jc w:val="center"/>
              <w:rPr>
                <w:rFonts w:ascii="Times New Roman" w:hAnsi="Times New Roman"/>
                <w:color w:val="000000"/>
                <w:kern w:val="2"/>
              </w:rPr>
            </w:pPr>
            <w:r>
              <w:rPr>
                <w:rFonts w:hint="eastAsia" w:cs="宋体"/>
                <w:color w:val="000000"/>
                <w:kern w:val="2"/>
              </w:rPr>
              <w:t>地上生物量</w:t>
            </w:r>
          </w:p>
        </w:tc>
        <w:tc>
          <w:tcPr>
            <w:tcW w:w="1326"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1444B0">
            <w:pPr>
              <w:pStyle w:val="11"/>
              <w:jc w:val="center"/>
              <w:rPr>
                <w:rFonts w:ascii="Times New Roman" w:hAnsi="Times New Roman"/>
                <w:color w:val="000000"/>
                <w:kern w:val="2"/>
              </w:rPr>
            </w:pPr>
            <w:r>
              <w:rPr>
                <w:rFonts w:hint="eastAsia" w:cs="宋体"/>
                <w:color w:val="000000"/>
                <w:kern w:val="2"/>
              </w:rPr>
              <w:t>是</w:t>
            </w:r>
          </w:p>
        </w:tc>
        <w:tc>
          <w:tcPr>
            <w:tcW w:w="2441"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63B609A">
            <w:pPr>
              <w:pStyle w:val="11"/>
              <w:jc w:val="center"/>
              <w:rPr>
                <w:rFonts w:ascii="Times New Roman" w:hAnsi="Times New Roman"/>
                <w:color w:val="000000"/>
                <w:kern w:val="2"/>
              </w:rPr>
            </w:pPr>
            <w:r>
              <w:rPr>
                <w:rFonts w:hint="eastAsia" w:cs="宋体"/>
                <w:color w:val="000000"/>
                <w:kern w:val="2"/>
              </w:rPr>
              <w:t>这是项目活动产生的主要碳库。</w:t>
            </w:r>
          </w:p>
        </w:tc>
      </w:tr>
      <w:tr w14:paraId="2FFF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232"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FE8DFCB">
            <w:pPr>
              <w:pStyle w:val="11"/>
              <w:jc w:val="center"/>
              <w:rPr>
                <w:rFonts w:ascii="Times New Roman" w:hAnsi="Times New Roman"/>
                <w:color w:val="000000"/>
                <w:kern w:val="2"/>
              </w:rPr>
            </w:pPr>
            <w:r>
              <w:rPr>
                <w:rFonts w:hint="eastAsia" w:cs="宋体"/>
                <w:color w:val="000000"/>
                <w:kern w:val="2"/>
              </w:rPr>
              <w:t>地下生物量</w:t>
            </w:r>
          </w:p>
        </w:tc>
        <w:tc>
          <w:tcPr>
            <w:tcW w:w="1326"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666ADD">
            <w:pPr>
              <w:pStyle w:val="11"/>
              <w:jc w:val="center"/>
              <w:rPr>
                <w:rFonts w:ascii="Times New Roman" w:hAnsi="Times New Roman"/>
                <w:color w:val="000000"/>
                <w:kern w:val="2"/>
              </w:rPr>
            </w:pPr>
            <w:r>
              <w:rPr>
                <w:rFonts w:hint="eastAsia" w:cs="宋体"/>
                <w:color w:val="000000"/>
                <w:kern w:val="2"/>
              </w:rPr>
              <w:t>是</w:t>
            </w:r>
          </w:p>
        </w:tc>
        <w:tc>
          <w:tcPr>
            <w:tcW w:w="2441"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E94F722">
            <w:pPr>
              <w:pStyle w:val="11"/>
              <w:jc w:val="center"/>
              <w:rPr>
                <w:rFonts w:ascii="Times New Roman" w:hAnsi="Times New Roman"/>
                <w:color w:val="000000"/>
                <w:kern w:val="2"/>
              </w:rPr>
            </w:pPr>
            <w:r>
              <w:rPr>
                <w:rFonts w:hint="eastAsia" w:cs="宋体"/>
                <w:color w:val="000000"/>
                <w:kern w:val="2"/>
              </w:rPr>
              <w:t>这是项目活动产生的主要碳库。</w:t>
            </w:r>
          </w:p>
        </w:tc>
      </w:tr>
      <w:tr w14:paraId="38CAA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232"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1C73A93">
            <w:pPr>
              <w:pStyle w:val="11"/>
              <w:jc w:val="center"/>
              <w:rPr>
                <w:rFonts w:ascii="Times New Roman" w:hAnsi="Times New Roman"/>
                <w:color w:val="000000"/>
                <w:kern w:val="2"/>
              </w:rPr>
            </w:pPr>
            <w:r>
              <w:rPr>
                <w:rFonts w:hint="eastAsia" w:cs="宋体"/>
                <w:color w:val="000000"/>
                <w:kern w:val="2"/>
              </w:rPr>
              <w:t>枯死木</w:t>
            </w:r>
          </w:p>
        </w:tc>
        <w:tc>
          <w:tcPr>
            <w:tcW w:w="1326"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ECB414A">
            <w:pPr>
              <w:pStyle w:val="11"/>
              <w:jc w:val="center"/>
              <w:rPr>
                <w:rFonts w:ascii="Times New Roman" w:hAnsi="Times New Roman"/>
                <w:color w:val="000000"/>
                <w:kern w:val="2"/>
              </w:rPr>
            </w:pPr>
            <w:r>
              <w:rPr>
                <w:rFonts w:hint="eastAsia" w:cs="宋体"/>
                <w:color w:val="000000"/>
                <w:kern w:val="2"/>
              </w:rPr>
              <w:t>是或否</w:t>
            </w:r>
          </w:p>
        </w:tc>
        <w:tc>
          <w:tcPr>
            <w:tcW w:w="2441"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19C17B4">
            <w:pPr>
              <w:pStyle w:val="11"/>
              <w:jc w:val="center"/>
              <w:rPr>
                <w:rFonts w:ascii="Times New Roman" w:hAnsi="Times New Roman"/>
                <w:color w:val="000000"/>
                <w:kern w:val="2"/>
              </w:rPr>
            </w:pPr>
            <w:r>
              <w:rPr>
                <w:rFonts w:hint="eastAsia" w:cs="宋体"/>
                <w:color w:val="000000"/>
                <w:kern w:val="2"/>
              </w:rPr>
              <w:t>项目的实施会增加这个碳库，也可以保守地忽略该碳库。</w:t>
            </w:r>
          </w:p>
        </w:tc>
      </w:tr>
      <w:tr w14:paraId="57A7C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232"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14B1CAA">
            <w:pPr>
              <w:pStyle w:val="11"/>
              <w:jc w:val="center"/>
              <w:rPr>
                <w:rFonts w:ascii="Times New Roman" w:hAnsi="Times New Roman"/>
                <w:color w:val="000000"/>
                <w:kern w:val="2"/>
              </w:rPr>
            </w:pPr>
            <w:r>
              <w:rPr>
                <w:rFonts w:hint="eastAsia" w:cs="宋体"/>
                <w:color w:val="000000"/>
                <w:kern w:val="2"/>
              </w:rPr>
              <w:t>枯落物</w:t>
            </w:r>
          </w:p>
        </w:tc>
        <w:tc>
          <w:tcPr>
            <w:tcW w:w="1326"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854ABE3">
            <w:pPr>
              <w:pStyle w:val="11"/>
              <w:jc w:val="center"/>
              <w:rPr>
                <w:rFonts w:ascii="Times New Roman" w:hAnsi="Times New Roman"/>
                <w:color w:val="000000"/>
                <w:kern w:val="2"/>
              </w:rPr>
            </w:pPr>
            <w:r>
              <w:rPr>
                <w:rFonts w:hint="eastAsia" w:cs="宋体"/>
                <w:color w:val="000000"/>
                <w:kern w:val="2"/>
              </w:rPr>
              <w:t>是或否</w:t>
            </w:r>
          </w:p>
        </w:tc>
        <w:tc>
          <w:tcPr>
            <w:tcW w:w="2441"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C4F9E1">
            <w:pPr>
              <w:pStyle w:val="11"/>
              <w:jc w:val="center"/>
              <w:rPr>
                <w:rFonts w:ascii="Times New Roman" w:hAnsi="Times New Roman"/>
                <w:color w:val="000000"/>
                <w:kern w:val="2"/>
              </w:rPr>
            </w:pPr>
            <w:r>
              <w:rPr>
                <w:rFonts w:hint="eastAsia" w:cs="宋体"/>
                <w:color w:val="000000"/>
                <w:kern w:val="2"/>
              </w:rPr>
              <w:t>项目的实施会增加这个碳库，也可以保守地忽略该碳库。</w:t>
            </w:r>
          </w:p>
        </w:tc>
      </w:tr>
      <w:tr w14:paraId="52E42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232"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A45C070">
            <w:pPr>
              <w:pStyle w:val="11"/>
              <w:jc w:val="center"/>
              <w:rPr>
                <w:rFonts w:ascii="Times New Roman" w:hAnsi="Times New Roman"/>
                <w:color w:val="000000"/>
                <w:kern w:val="2"/>
              </w:rPr>
            </w:pPr>
            <w:r>
              <w:rPr>
                <w:rFonts w:hint="eastAsia" w:cs="宋体"/>
                <w:color w:val="000000"/>
                <w:kern w:val="2"/>
              </w:rPr>
              <w:t>土壤有机碳</w:t>
            </w:r>
          </w:p>
        </w:tc>
        <w:tc>
          <w:tcPr>
            <w:tcW w:w="1326"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7A2CB50">
            <w:pPr>
              <w:pStyle w:val="11"/>
              <w:jc w:val="center"/>
              <w:rPr>
                <w:rFonts w:ascii="Times New Roman" w:hAnsi="Times New Roman"/>
                <w:color w:val="000000"/>
                <w:kern w:val="2"/>
              </w:rPr>
            </w:pPr>
            <w:r>
              <w:rPr>
                <w:rFonts w:hint="eastAsia" w:cs="宋体"/>
                <w:color w:val="000000"/>
                <w:kern w:val="2"/>
              </w:rPr>
              <w:t>是</w:t>
            </w:r>
          </w:p>
        </w:tc>
        <w:tc>
          <w:tcPr>
            <w:tcW w:w="2441"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590ADDE">
            <w:pPr>
              <w:pStyle w:val="11"/>
              <w:jc w:val="center"/>
              <w:rPr>
                <w:rFonts w:ascii="Times New Roman" w:hAnsi="Times New Roman"/>
                <w:color w:val="000000"/>
                <w:kern w:val="2"/>
              </w:rPr>
            </w:pPr>
            <w:r>
              <w:rPr>
                <w:rFonts w:hint="eastAsia" w:cs="宋体"/>
                <w:color w:val="000000"/>
                <w:kern w:val="2"/>
              </w:rPr>
              <w:t>这是项目活动产生的主要碳库。</w:t>
            </w:r>
          </w:p>
        </w:tc>
      </w:tr>
      <w:tr w14:paraId="766A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232"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C9BC4BB">
            <w:pPr>
              <w:pStyle w:val="11"/>
              <w:jc w:val="center"/>
              <w:rPr>
                <w:rFonts w:ascii="Times New Roman" w:hAnsi="Times New Roman"/>
                <w:color w:val="000000"/>
                <w:kern w:val="2"/>
              </w:rPr>
            </w:pPr>
            <w:r>
              <w:rPr>
                <w:rFonts w:hint="eastAsia" w:cs="宋体"/>
                <w:color w:val="000000"/>
                <w:kern w:val="2"/>
              </w:rPr>
              <w:t>水体溶解有机碳</w:t>
            </w:r>
          </w:p>
        </w:tc>
        <w:tc>
          <w:tcPr>
            <w:tcW w:w="1326"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E819AF4">
            <w:pPr>
              <w:pStyle w:val="11"/>
              <w:jc w:val="center"/>
              <w:rPr>
                <w:rFonts w:ascii="Times New Roman" w:hAnsi="Times New Roman"/>
                <w:color w:val="000000"/>
                <w:kern w:val="2"/>
              </w:rPr>
            </w:pPr>
            <w:r>
              <w:rPr>
                <w:rFonts w:hint="eastAsia" w:cs="宋体"/>
                <w:color w:val="000000"/>
                <w:kern w:val="2"/>
              </w:rPr>
              <w:t>是</w:t>
            </w:r>
          </w:p>
        </w:tc>
        <w:tc>
          <w:tcPr>
            <w:tcW w:w="2441"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6E2AD7A">
            <w:pPr>
              <w:pStyle w:val="11"/>
              <w:jc w:val="center"/>
              <w:rPr>
                <w:rFonts w:ascii="Times New Roman" w:hAnsi="Times New Roman"/>
                <w:color w:val="000000"/>
                <w:kern w:val="2"/>
              </w:rPr>
            </w:pPr>
            <w:r>
              <w:rPr>
                <w:rFonts w:hint="eastAsia" w:cs="宋体"/>
                <w:color w:val="000000"/>
                <w:kern w:val="2"/>
              </w:rPr>
              <w:t>这是项目活动产生的主要碳库（对于乡村小微湿地修复工程，若项目业主经论证水体</w:t>
            </w:r>
            <w:r>
              <w:rPr>
                <w:rFonts w:ascii="Times New Roman" w:hAnsi="Times New Roman"/>
                <w:color w:val="000000"/>
                <w:kern w:val="2"/>
              </w:rPr>
              <w:t>DOC</w:t>
            </w:r>
            <w:r>
              <w:rPr>
                <w:rFonts w:hint="eastAsia" w:cs="宋体"/>
                <w:color w:val="000000"/>
                <w:kern w:val="2"/>
              </w:rPr>
              <w:t>碳库年变化量占项目总碳汇量的比例低于</w:t>
            </w:r>
            <w:r>
              <w:rPr>
                <w:rFonts w:ascii="Times New Roman" w:hAnsi="Times New Roman"/>
                <w:color w:val="000000"/>
                <w:kern w:val="2"/>
              </w:rPr>
              <w:t>1%</w:t>
            </w:r>
            <w:r>
              <w:rPr>
                <w:rFonts w:hint="eastAsia" w:cs="宋体"/>
                <w:color w:val="000000"/>
                <w:kern w:val="2"/>
              </w:rPr>
              <w:t>，可保守忽略该碳库，但须在项目设计文件中提交论证说明）。</w:t>
            </w:r>
          </w:p>
        </w:tc>
      </w:tr>
      <w:tr w14:paraId="2466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5000" w:type="pct"/>
            <w:gridSpan w:val="3"/>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6F40679">
            <w:pPr>
              <w:pStyle w:val="11"/>
              <w:rPr>
                <w:rFonts w:ascii="Times New Roman" w:hAnsi="Times New Roman"/>
                <w:color w:val="000000"/>
                <w:kern w:val="2"/>
              </w:rPr>
            </w:pPr>
            <w:r>
              <w:rPr>
                <w:rFonts w:hint="eastAsia" w:cs="宋体"/>
                <w:color w:val="000000"/>
                <w:kern w:val="2"/>
                <w:highlight w:val="none"/>
              </w:rPr>
              <w:t>注：土壤有机碳储量为一定深度土壤有机碳的总量，本文件</w:t>
            </w:r>
            <w:r>
              <w:rPr>
                <w:rFonts w:cs="宋体"/>
                <w:color w:val="000000"/>
                <w:kern w:val="2"/>
                <w:highlight w:val="none"/>
              </w:rPr>
              <w:t>参照《陆地生态系统碳汇核算指南》（GB/T 46105-2025），结合湿地修复主要影响层确定</w:t>
            </w:r>
            <w:r>
              <w:rPr>
                <w:rFonts w:hint="eastAsia" w:cs="宋体"/>
                <w:color w:val="000000"/>
                <w:kern w:val="2"/>
                <w:highlight w:val="none"/>
              </w:rPr>
              <w:t>，设定为</w:t>
            </w:r>
            <w:r>
              <w:rPr>
                <w:rFonts w:ascii="Times New Roman" w:hAnsi="Times New Roman"/>
                <w:color w:val="000000"/>
                <w:kern w:val="2"/>
                <w:highlight w:val="none"/>
              </w:rPr>
              <w:t>60cm</w:t>
            </w:r>
            <w:r>
              <w:rPr>
                <w:rFonts w:hint="eastAsia" w:cs="宋体"/>
                <w:color w:val="000000"/>
                <w:kern w:val="2"/>
                <w:highlight w:val="none"/>
              </w:rPr>
              <w:t>深度进行土壤有机碳储量变化量的计算。</w:t>
            </w:r>
          </w:p>
        </w:tc>
      </w:tr>
    </w:tbl>
    <w:p w14:paraId="786738E9">
      <w:pPr>
        <w:ind w:firstLine="0" w:firstLineChars="0"/>
        <w:rPr>
          <w:rFonts w:cs="Times New Roman"/>
        </w:rPr>
      </w:pPr>
      <w:r>
        <w:rPr>
          <w:rFonts w:cs="Times New Roman"/>
        </w:rPr>
        <w:t>本方法学对项目边界内温室气体排放源的选择如表2</w:t>
      </w:r>
      <w:r>
        <w:rPr>
          <w:rFonts w:hint="eastAsia" w:cs="Times New Roman"/>
          <w:lang w:eastAsia="zh-CN"/>
        </w:rPr>
        <w:t>。</w:t>
      </w:r>
      <w:bookmarkStart w:id="90" w:name="OLE_LINK25"/>
    </w:p>
    <w:p w14:paraId="2AFF4C84">
      <w:pPr>
        <w:pStyle w:val="4"/>
      </w:pPr>
      <w:r>
        <w:t>表2</w:t>
      </w:r>
      <w:r>
        <w:rPr>
          <w:rFonts w:hint="eastAsia"/>
        </w:rPr>
        <w:t xml:space="preserve"> </w:t>
      </w:r>
      <w:r>
        <w:t>温室气体排放源的选择</w:t>
      </w:r>
    </w:p>
    <w:tbl>
      <w:tblPr>
        <w:tblStyle w:val="13"/>
        <w:tblW w:w="53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574"/>
        <w:gridCol w:w="2601"/>
        <w:gridCol w:w="1431"/>
        <w:gridCol w:w="665"/>
        <w:gridCol w:w="2830"/>
      </w:tblGrid>
      <w:tr w14:paraId="7142B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8" w:hRule="atLeast"/>
          <w:jc w:val="center"/>
        </w:trPr>
        <w:tc>
          <w:tcPr>
            <w:tcW w:w="864" w:type="pct"/>
            <w:vAlign w:val="center"/>
          </w:tcPr>
          <w:p w14:paraId="1F271FD3">
            <w:pPr>
              <w:pStyle w:val="5"/>
              <w:jc w:val="center"/>
              <w:rPr>
                <w:rFonts w:cs="Times New Roman"/>
              </w:rPr>
            </w:pPr>
            <w:r>
              <w:rPr>
                <w:rFonts w:cs="Times New Roman"/>
              </w:rPr>
              <w:t>情景</w:t>
            </w:r>
          </w:p>
        </w:tc>
        <w:tc>
          <w:tcPr>
            <w:tcW w:w="1428" w:type="pct"/>
            <w:tcMar>
              <w:top w:w="60" w:type="dxa"/>
              <w:left w:w="120" w:type="dxa"/>
              <w:bottom w:w="30" w:type="dxa"/>
              <w:right w:w="120" w:type="dxa"/>
            </w:tcMar>
            <w:vAlign w:val="center"/>
          </w:tcPr>
          <w:p w14:paraId="3AFC9A26">
            <w:pPr>
              <w:pStyle w:val="5"/>
              <w:jc w:val="center"/>
              <w:rPr>
                <w:rFonts w:cs="Times New Roman"/>
              </w:rPr>
            </w:pPr>
            <w:r>
              <w:rPr>
                <w:rFonts w:cs="Times New Roman"/>
              </w:rPr>
              <w:t>温室气体排放源</w:t>
            </w:r>
          </w:p>
        </w:tc>
        <w:tc>
          <w:tcPr>
            <w:tcW w:w="786" w:type="pct"/>
            <w:tcMar>
              <w:top w:w="60" w:type="dxa"/>
              <w:left w:w="120" w:type="dxa"/>
              <w:bottom w:w="30" w:type="dxa"/>
              <w:right w:w="120" w:type="dxa"/>
            </w:tcMar>
            <w:vAlign w:val="center"/>
          </w:tcPr>
          <w:p w14:paraId="07B27C00">
            <w:pPr>
              <w:pStyle w:val="5"/>
              <w:jc w:val="center"/>
              <w:rPr>
                <w:rFonts w:cs="Times New Roman"/>
              </w:rPr>
            </w:pPr>
            <w:r>
              <w:rPr>
                <w:rFonts w:cs="Times New Roman"/>
              </w:rPr>
              <w:t>温室气体种类</w:t>
            </w:r>
          </w:p>
        </w:tc>
        <w:tc>
          <w:tcPr>
            <w:tcW w:w="365" w:type="pct"/>
            <w:vAlign w:val="center"/>
          </w:tcPr>
          <w:p w14:paraId="654BB775">
            <w:pPr>
              <w:pStyle w:val="5"/>
              <w:jc w:val="center"/>
              <w:rPr>
                <w:rFonts w:cs="Times New Roman"/>
              </w:rPr>
            </w:pPr>
            <w:r>
              <w:rPr>
                <w:rFonts w:cs="Times New Roman"/>
              </w:rPr>
              <w:t>是否选择</w:t>
            </w:r>
          </w:p>
        </w:tc>
        <w:tc>
          <w:tcPr>
            <w:tcW w:w="1554" w:type="pct"/>
            <w:tcMar>
              <w:top w:w="60" w:type="dxa"/>
              <w:left w:w="120" w:type="dxa"/>
              <w:bottom w:w="30" w:type="dxa"/>
              <w:right w:w="120" w:type="dxa"/>
            </w:tcMar>
            <w:vAlign w:val="center"/>
          </w:tcPr>
          <w:p w14:paraId="24C9EAD5">
            <w:pPr>
              <w:pStyle w:val="5"/>
              <w:jc w:val="center"/>
              <w:rPr>
                <w:rFonts w:cs="Times New Roman"/>
              </w:rPr>
            </w:pPr>
            <w:r>
              <w:rPr>
                <w:rFonts w:cs="Times New Roman"/>
              </w:rPr>
              <w:t>理由或解释</w:t>
            </w:r>
          </w:p>
        </w:tc>
      </w:tr>
      <w:tr w14:paraId="3B73E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7" w:hRule="atLeast"/>
          <w:jc w:val="center"/>
        </w:trPr>
        <w:tc>
          <w:tcPr>
            <w:tcW w:w="864" w:type="pct"/>
            <w:vAlign w:val="center"/>
          </w:tcPr>
          <w:p w14:paraId="26E7C34A">
            <w:pPr>
              <w:pStyle w:val="5"/>
              <w:jc w:val="center"/>
              <w:rPr>
                <w:rFonts w:cs="Times New Roman"/>
              </w:rPr>
            </w:pPr>
            <w:r>
              <w:rPr>
                <w:rFonts w:cs="Times New Roman"/>
              </w:rPr>
              <w:t>基准线情景</w:t>
            </w:r>
          </w:p>
        </w:tc>
        <w:tc>
          <w:tcPr>
            <w:tcW w:w="1428" w:type="pct"/>
            <w:tcMar>
              <w:top w:w="60" w:type="dxa"/>
              <w:left w:w="120" w:type="dxa"/>
              <w:bottom w:w="30" w:type="dxa"/>
              <w:right w:w="120" w:type="dxa"/>
            </w:tcMar>
            <w:vAlign w:val="center"/>
          </w:tcPr>
          <w:p w14:paraId="243BB2E5">
            <w:pPr>
              <w:pStyle w:val="5"/>
              <w:jc w:val="center"/>
              <w:rPr>
                <w:rFonts w:cs="Times New Roman"/>
              </w:rPr>
            </w:pPr>
            <w:r>
              <w:rPr>
                <w:rFonts w:cs="Times New Roman"/>
              </w:rPr>
              <w:t>土壤微生物代谢</w:t>
            </w:r>
          </w:p>
        </w:tc>
        <w:tc>
          <w:tcPr>
            <w:tcW w:w="786" w:type="pct"/>
            <w:tcMar>
              <w:top w:w="60" w:type="dxa"/>
              <w:left w:w="120" w:type="dxa"/>
              <w:bottom w:w="30" w:type="dxa"/>
              <w:right w:w="120" w:type="dxa"/>
            </w:tcMar>
            <w:vAlign w:val="center"/>
          </w:tcPr>
          <w:p w14:paraId="214AB9D5">
            <w:pPr>
              <w:pStyle w:val="5"/>
              <w:jc w:val="center"/>
              <w:rPr>
                <w:rFonts w:cs="Times New Roman"/>
              </w:rPr>
            </w:pPr>
            <w:r>
              <w:rPr>
                <w:rFonts w:cs="Times New Roman"/>
              </w:rPr>
              <w:t>CO</w:t>
            </w:r>
            <w:r>
              <w:rPr>
                <w:rFonts w:hint="eastAsia" w:cs="Times New Roman"/>
                <w:vertAlign w:val="subscript"/>
                <w:lang w:val="en-US" w:eastAsia="zh-CN"/>
              </w:rPr>
              <w:t>2</w:t>
            </w:r>
            <w:r>
              <w:rPr>
                <w:rFonts w:cs="Times New Roman"/>
              </w:rPr>
              <w:t>、</w:t>
            </w:r>
            <w:r>
              <w:t>CH</w:t>
            </w:r>
            <w:r>
              <w:rPr>
                <w:rFonts w:hint="eastAsia"/>
                <w:vertAlign w:val="subscript"/>
                <w:lang w:val="en-US" w:eastAsia="zh-CN"/>
              </w:rPr>
              <w:t>4</w:t>
            </w:r>
            <w:r>
              <w:rPr>
                <w:rFonts w:cs="Times New Roman"/>
              </w:rPr>
              <w:t>和N</w:t>
            </w:r>
            <w:r>
              <w:rPr>
                <w:rFonts w:hint="eastAsia" w:cs="Times New Roman"/>
                <w:vertAlign w:val="subscript"/>
                <w:lang w:val="en-US" w:eastAsia="zh-CN"/>
              </w:rPr>
              <w:t>2</w:t>
            </w:r>
            <w:r>
              <w:rPr>
                <w:rFonts w:cs="Times New Roman"/>
              </w:rPr>
              <w:t>O</w:t>
            </w:r>
          </w:p>
        </w:tc>
        <w:tc>
          <w:tcPr>
            <w:tcW w:w="365" w:type="pct"/>
            <w:vAlign w:val="center"/>
          </w:tcPr>
          <w:p w14:paraId="4AC7F486">
            <w:pPr>
              <w:pStyle w:val="5"/>
              <w:jc w:val="center"/>
              <w:rPr>
                <w:rFonts w:cs="Times New Roman"/>
              </w:rPr>
            </w:pPr>
            <w:r>
              <w:rPr>
                <w:rFonts w:cs="Times New Roman"/>
              </w:rPr>
              <w:t>否</w:t>
            </w:r>
          </w:p>
        </w:tc>
        <w:tc>
          <w:tcPr>
            <w:tcW w:w="1554" w:type="pct"/>
            <w:tcMar>
              <w:top w:w="60" w:type="dxa"/>
              <w:left w:w="120" w:type="dxa"/>
              <w:bottom w:w="30" w:type="dxa"/>
              <w:right w:w="120" w:type="dxa"/>
            </w:tcMar>
            <w:vAlign w:val="center"/>
          </w:tcPr>
          <w:p w14:paraId="73FC91D7">
            <w:pPr>
              <w:pStyle w:val="5"/>
              <w:jc w:val="center"/>
              <w:rPr>
                <w:rFonts w:cs="Times New Roman"/>
              </w:rPr>
            </w:pPr>
            <w:r>
              <w:rPr>
                <w:rFonts w:cs="Times New Roman"/>
              </w:rPr>
              <w:t>基准线湿地</w:t>
            </w:r>
            <w:r>
              <w:t>CH</w:t>
            </w:r>
            <w:r>
              <w:rPr>
                <w:rFonts w:hint="eastAsia"/>
                <w:vertAlign w:val="subscript"/>
                <w:lang w:val="en-US" w:eastAsia="zh-CN"/>
              </w:rPr>
              <w:t>4</w:t>
            </w:r>
            <w:r>
              <w:rPr>
                <w:rFonts w:cs="Times New Roman"/>
              </w:rPr>
              <w:t>和N</w:t>
            </w:r>
            <w:r>
              <w:rPr>
                <w:rFonts w:hint="eastAsia" w:cs="Times New Roman"/>
                <w:vertAlign w:val="subscript"/>
                <w:lang w:val="en-US" w:eastAsia="zh-CN"/>
              </w:rPr>
              <w:t>2</w:t>
            </w:r>
            <w:r>
              <w:rPr>
                <w:rFonts w:cs="Times New Roman"/>
              </w:rPr>
              <w:t>O排放量较小且难以准确量化，基于简化核算和成本有效性原则忽略不计；项目情景下土壤扰动和水体管理可能增加排放，故纳入核算。</w:t>
            </w:r>
          </w:p>
        </w:tc>
      </w:tr>
      <w:tr w14:paraId="0338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2" w:hRule="atLeast"/>
          <w:jc w:val="center"/>
        </w:trPr>
        <w:tc>
          <w:tcPr>
            <w:tcW w:w="864" w:type="pct"/>
            <w:vMerge w:val="restart"/>
            <w:vAlign w:val="center"/>
          </w:tcPr>
          <w:p w14:paraId="69110F5B">
            <w:pPr>
              <w:pStyle w:val="5"/>
              <w:jc w:val="center"/>
              <w:rPr>
                <w:rFonts w:cs="Times New Roman"/>
              </w:rPr>
            </w:pPr>
            <w:r>
              <w:rPr>
                <w:rFonts w:cs="Times New Roman"/>
              </w:rPr>
              <w:t>项目情景</w:t>
            </w:r>
          </w:p>
        </w:tc>
        <w:tc>
          <w:tcPr>
            <w:tcW w:w="1428" w:type="pct"/>
            <w:vMerge w:val="restart"/>
            <w:tcMar>
              <w:top w:w="60" w:type="dxa"/>
              <w:left w:w="120" w:type="dxa"/>
              <w:bottom w:w="30" w:type="dxa"/>
              <w:right w:w="120" w:type="dxa"/>
            </w:tcMar>
            <w:vAlign w:val="center"/>
          </w:tcPr>
          <w:p w14:paraId="4E870E3E">
            <w:pPr>
              <w:pStyle w:val="5"/>
              <w:jc w:val="center"/>
              <w:rPr>
                <w:rFonts w:cs="Times New Roman"/>
              </w:rPr>
            </w:pPr>
            <w:r>
              <w:rPr>
                <w:rFonts w:cs="Times New Roman"/>
              </w:rPr>
              <w:t>土壤微生物代谢</w:t>
            </w:r>
          </w:p>
        </w:tc>
        <w:tc>
          <w:tcPr>
            <w:tcW w:w="786" w:type="pct"/>
            <w:tcMar>
              <w:top w:w="60" w:type="dxa"/>
              <w:left w:w="120" w:type="dxa"/>
              <w:bottom w:w="30" w:type="dxa"/>
              <w:right w:w="120" w:type="dxa"/>
            </w:tcMar>
            <w:vAlign w:val="center"/>
          </w:tcPr>
          <w:p w14:paraId="2E3A47DA">
            <w:pPr>
              <w:pStyle w:val="5"/>
              <w:jc w:val="center"/>
              <w:rPr>
                <w:rFonts w:hint="eastAsia" w:eastAsia="宋体" w:cs="Times New Roman"/>
                <w:lang w:eastAsia="zh-CN"/>
              </w:rPr>
            </w:pPr>
            <w:r>
              <w:rPr>
                <w:rFonts w:cs="Times New Roman"/>
              </w:rPr>
              <w:t>CO</w:t>
            </w:r>
            <w:r>
              <w:rPr>
                <w:rFonts w:hint="eastAsia" w:cs="Times New Roman"/>
                <w:vertAlign w:val="subscript"/>
                <w:lang w:val="en-US" w:eastAsia="zh-CN"/>
              </w:rPr>
              <w:t>2</w:t>
            </w:r>
          </w:p>
        </w:tc>
        <w:tc>
          <w:tcPr>
            <w:tcW w:w="365" w:type="pct"/>
            <w:vAlign w:val="center"/>
          </w:tcPr>
          <w:p w14:paraId="0CE33C2F">
            <w:pPr>
              <w:pStyle w:val="5"/>
              <w:jc w:val="center"/>
              <w:rPr>
                <w:rFonts w:cs="Times New Roman"/>
              </w:rPr>
            </w:pPr>
            <w:r>
              <w:rPr>
                <w:rFonts w:cs="Times New Roman"/>
              </w:rPr>
              <w:t>否</w:t>
            </w:r>
          </w:p>
        </w:tc>
        <w:tc>
          <w:tcPr>
            <w:tcW w:w="1554" w:type="pct"/>
            <w:tcMar>
              <w:top w:w="60" w:type="dxa"/>
              <w:left w:w="120" w:type="dxa"/>
              <w:bottom w:w="30" w:type="dxa"/>
              <w:right w:w="120" w:type="dxa"/>
            </w:tcMar>
            <w:vAlign w:val="center"/>
          </w:tcPr>
          <w:p w14:paraId="04887D37">
            <w:pPr>
              <w:pStyle w:val="5"/>
              <w:jc w:val="center"/>
              <w:rPr>
                <w:rFonts w:cs="Times New Roman"/>
              </w:rPr>
            </w:pPr>
            <w:r>
              <w:rPr>
                <w:rFonts w:cs="Times New Roman"/>
              </w:rPr>
              <w:t>已在计算土壤有机碳储量变化中考虑</w:t>
            </w:r>
          </w:p>
        </w:tc>
      </w:tr>
      <w:tr w14:paraId="7B05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7" w:hRule="atLeast"/>
          <w:jc w:val="center"/>
        </w:trPr>
        <w:tc>
          <w:tcPr>
            <w:tcW w:w="864" w:type="pct"/>
            <w:vMerge w:val="continue"/>
            <w:vAlign w:val="center"/>
          </w:tcPr>
          <w:p w14:paraId="2690CE0B">
            <w:pPr>
              <w:pStyle w:val="5"/>
              <w:jc w:val="center"/>
              <w:rPr>
                <w:rFonts w:cs="Times New Roman"/>
              </w:rPr>
            </w:pPr>
          </w:p>
        </w:tc>
        <w:tc>
          <w:tcPr>
            <w:tcW w:w="1428" w:type="pct"/>
            <w:vMerge w:val="continue"/>
            <w:tcMar>
              <w:top w:w="60" w:type="dxa"/>
              <w:left w:w="120" w:type="dxa"/>
              <w:bottom w:w="30" w:type="dxa"/>
              <w:right w:w="120" w:type="dxa"/>
            </w:tcMar>
            <w:vAlign w:val="center"/>
          </w:tcPr>
          <w:p w14:paraId="1C3D5444">
            <w:pPr>
              <w:pStyle w:val="5"/>
              <w:jc w:val="center"/>
              <w:rPr>
                <w:rFonts w:cs="Times New Roman"/>
              </w:rPr>
            </w:pPr>
          </w:p>
        </w:tc>
        <w:tc>
          <w:tcPr>
            <w:tcW w:w="786" w:type="pct"/>
            <w:tcMar>
              <w:top w:w="60" w:type="dxa"/>
              <w:left w:w="120" w:type="dxa"/>
              <w:bottom w:w="30" w:type="dxa"/>
              <w:right w:w="120" w:type="dxa"/>
            </w:tcMar>
            <w:vAlign w:val="center"/>
          </w:tcPr>
          <w:p w14:paraId="77D67E21">
            <w:pPr>
              <w:pStyle w:val="5"/>
              <w:jc w:val="center"/>
              <w:rPr>
                <w:rFonts w:cs="Times New Roman"/>
              </w:rPr>
            </w:pPr>
            <w:r>
              <w:t>CH</w:t>
            </w:r>
            <w:r>
              <w:rPr>
                <w:rFonts w:hint="eastAsia"/>
                <w:vertAlign w:val="subscript"/>
                <w:lang w:val="en-US" w:eastAsia="zh-CN"/>
              </w:rPr>
              <w:t>4</w:t>
            </w:r>
            <w:r>
              <w:rPr>
                <w:rFonts w:cs="Times New Roman"/>
              </w:rPr>
              <w:t>和N</w:t>
            </w:r>
            <w:r>
              <w:rPr>
                <w:rFonts w:hint="eastAsia" w:cs="Times New Roman"/>
                <w:vertAlign w:val="subscript"/>
                <w:lang w:val="en-US" w:eastAsia="zh-CN"/>
              </w:rPr>
              <w:t>2</w:t>
            </w:r>
            <w:r>
              <w:rPr>
                <w:rFonts w:cs="Times New Roman"/>
              </w:rPr>
              <w:t>O</w:t>
            </w:r>
          </w:p>
        </w:tc>
        <w:tc>
          <w:tcPr>
            <w:tcW w:w="365" w:type="pct"/>
            <w:vAlign w:val="center"/>
          </w:tcPr>
          <w:p w14:paraId="7AB1B87D">
            <w:pPr>
              <w:pStyle w:val="5"/>
              <w:jc w:val="center"/>
              <w:rPr>
                <w:rFonts w:cs="Times New Roman"/>
              </w:rPr>
            </w:pPr>
            <w:r>
              <w:rPr>
                <w:rFonts w:cs="Times New Roman"/>
              </w:rPr>
              <w:t>是</w:t>
            </w:r>
          </w:p>
        </w:tc>
        <w:tc>
          <w:tcPr>
            <w:tcW w:w="1554" w:type="pct"/>
            <w:tcMar>
              <w:top w:w="60" w:type="dxa"/>
              <w:left w:w="120" w:type="dxa"/>
              <w:bottom w:w="30" w:type="dxa"/>
              <w:right w:w="120" w:type="dxa"/>
            </w:tcMar>
            <w:vAlign w:val="center"/>
          </w:tcPr>
          <w:p w14:paraId="0EFF8109">
            <w:pPr>
              <w:pStyle w:val="5"/>
              <w:jc w:val="center"/>
              <w:rPr>
                <w:rFonts w:cs="Times New Roman"/>
              </w:rPr>
            </w:pPr>
            <w:r>
              <w:rPr>
                <w:rFonts w:cs="Times New Roman"/>
              </w:rPr>
              <w:t>主要排放源</w:t>
            </w:r>
          </w:p>
        </w:tc>
      </w:tr>
      <w:tr w14:paraId="3D09C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8" w:hRule="atLeast"/>
          <w:jc w:val="center"/>
        </w:trPr>
        <w:tc>
          <w:tcPr>
            <w:tcW w:w="864" w:type="pct"/>
            <w:vMerge w:val="continue"/>
            <w:vAlign w:val="center"/>
          </w:tcPr>
          <w:p w14:paraId="2B69A722">
            <w:pPr>
              <w:pStyle w:val="5"/>
              <w:jc w:val="center"/>
              <w:rPr>
                <w:rFonts w:cs="Times New Roman"/>
              </w:rPr>
            </w:pPr>
          </w:p>
        </w:tc>
        <w:tc>
          <w:tcPr>
            <w:tcW w:w="1428" w:type="pct"/>
            <w:tcMar>
              <w:top w:w="60" w:type="dxa"/>
              <w:left w:w="120" w:type="dxa"/>
              <w:bottom w:w="30" w:type="dxa"/>
              <w:right w:w="120" w:type="dxa"/>
            </w:tcMar>
            <w:vAlign w:val="center"/>
          </w:tcPr>
          <w:p w14:paraId="0F3D7D6D">
            <w:pPr>
              <w:pStyle w:val="5"/>
              <w:jc w:val="center"/>
              <w:rPr>
                <w:rFonts w:cs="Times New Roman"/>
              </w:rPr>
            </w:pPr>
            <w:r>
              <w:rPr>
                <w:rFonts w:cs="Times New Roman"/>
              </w:rPr>
              <w:t>使用车辆、船舶、</w:t>
            </w:r>
          </w:p>
          <w:p w14:paraId="4501694F">
            <w:pPr>
              <w:pStyle w:val="5"/>
              <w:jc w:val="center"/>
              <w:rPr>
                <w:rFonts w:cs="Times New Roman"/>
              </w:rPr>
            </w:pPr>
            <w:r>
              <w:rPr>
                <w:rFonts w:cs="Times New Roman"/>
              </w:rPr>
              <w:t>机械设备等过程</w:t>
            </w:r>
          </w:p>
          <w:p w14:paraId="6231C3B4">
            <w:pPr>
              <w:pStyle w:val="5"/>
              <w:jc w:val="center"/>
              <w:rPr>
                <w:rFonts w:cs="Times New Roman"/>
              </w:rPr>
            </w:pPr>
            <w:r>
              <w:rPr>
                <w:rFonts w:cs="Times New Roman"/>
              </w:rPr>
              <w:t>中化石燃料燃烧</w:t>
            </w:r>
          </w:p>
          <w:p w14:paraId="2A2DBF96">
            <w:pPr>
              <w:pStyle w:val="5"/>
              <w:jc w:val="center"/>
              <w:rPr>
                <w:rFonts w:cs="Times New Roman"/>
              </w:rPr>
            </w:pPr>
            <w:r>
              <w:rPr>
                <w:rFonts w:cs="Times New Roman"/>
              </w:rPr>
              <w:t>产生的排放</w:t>
            </w:r>
          </w:p>
        </w:tc>
        <w:tc>
          <w:tcPr>
            <w:tcW w:w="786" w:type="pct"/>
            <w:tcMar>
              <w:top w:w="60" w:type="dxa"/>
              <w:left w:w="120" w:type="dxa"/>
              <w:bottom w:w="30" w:type="dxa"/>
              <w:right w:w="120" w:type="dxa"/>
            </w:tcMar>
            <w:vAlign w:val="center"/>
          </w:tcPr>
          <w:p w14:paraId="381BA640">
            <w:pPr>
              <w:pStyle w:val="5"/>
              <w:jc w:val="center"/>
              <w:rPr>
                <w:rFonts w:cs="Times New Roman"/>
              </w:rPr>
            </w:pPr>
            <w:r>
              <w:rPr>
                <w:rFonts w:cs="Times New Roman"/>
              </w:rPr>
              <w:t>CO</w:t>
            </w:r>
            <w:r>
              <w:rPr>
                <w:rFonts w:hint="eastAsia" w:cs="Times New Roman"/>
                <w:vertAlign w:val="subscript"/>
                <w:lang w:val="en-US" w:eastAsia="zh-CN"/>
              </w:rPr>
              <w:t>2</w:t>
            </w:r>
            <w:r>
              <w:rPr>
                <w:rFonts w:cs="Times New Roman"/>
              </w:rPr>
              <w:t>、</w:t>
            </w:r>
            <w:r>
              <w:t>CH</w:t>
            </w:r>
            <w:r>
              <w:rPr>
                <w:rFonts w:hint="eastAsia"/>
                <w:vertAlign w:val="subscript"/>
                <w:lang w:val="en-US" w:eastAsia="zh-CN"/>
              </w:rPr>
              <w:t>4</w:t>
            </w:r>
            <w:r>
              <w:rPr>
                <w:rFonts w:cs="Times New Roman"/>
              </w:rPr>
              <w:t>和N</w:t>
            </w:r>
            <w:r>
              <w:rPr>
                <w:rFonts w:hint="eastAsia" w:cs="Times New Roman"/>
                <w:vertAlign w:val="subscript"/>
                <w:lang w:val="en-US" w:eastAsia="zh-CN"/>
              </w:rPr>
              <w:t>2</w:t>
            </w:r>
            <w:r>
              <w:rPr>
                <w:rFonts w:cs="Times New Roman"/>
              </w:rPr>
              <w:t>O</w:t>
            </w:r>
          </w:p>
        </w:tc>
        <w:tc>
          <w:tcPr>
            <w:tcW w:w="365" w:type="pct"/>
            <w:vAlign w:val="center"/>
          </w:tcPr>
          <w:p w14:paraId="17C5A70A">
            <w:pPr>
              <w:pStyle w:val="5"/>
              <w:jc w:val="center"/>
              <w:rPr>
                <w:rFonts w:cs="Times New Roman"/>
              </w:rPr>
            </w:pPr>
            <w:r>
              <w:rPr>
                <w:rFonts w:cs="Times New Roman"/>
              </w:rPr>
              <w:t>否</w:t>
            </w:r>
          </w:p>
        </w:tc>
        <w:tc>
          <w:tcPr>
            <w:tcW w:w="1554" w:type="pct"/>
            <w:tcMar>
              <w:top w:w="60" w:type="dxa"/>
              <w:left w:w="120" w:type="dxa"/>
              <w:bottom w:w="30" w:type="dxa"/>
              <w:right w:w="120" w:type="dxa"/>
            </w:tcMar>
            <w:vAlign w:val="center"/>
          </w:tcPr>
          <w:p w14:paraId="14A5F08B">
            <w:pPr>
              <w:pStyle w:val="5"/>
              <w:jc w:val="center"/>
              <w:rPr>
                <w:rFonts w:cs="Times New Roman"/>
              </w:rPr>
            </w:pPr>
            <w:r>
              <w:rPr>
                <w:rFonts w:cs="Times New Roman"/>
              </w:rPr>
              <w:t>排放量小，忽略不计</w:t>
            </w:r>
          </w:p>
        </w:tc>
      </w:tr>
      <w:bookmarkEnd w:id="90"/>
    </w:tbl>
    <w:p w14:paraId="108694BC">
      <w:pPr>
        <w:spacing w:after="120"/>
        <w:outlineLvl w:val="2"/>
      </w:pPr>
      <w:bookmarkStart w:id="91" w:name="_Toc225155033"/>
      <w:bookmarkStart w:id="92" w:name="_Toc225155157"/>
      <w:bookmarkStart w:id="93" w:name="_Toc225155017"/>
      <w:bookmarkStart w:id="94" w:name="_Toc225154734"/>
      <w:bookmarkStart w:id="95" w:name="_Toc232172242"/>
      <w:r>
        <w:rPr>
          <w:rFonts w:cs="Times New Roman"/>
        </w:rPr>
        <w:t>6.4</w:t>
      </w:r>
      <w:r>
        <w:t>项目湿地</w:t>
      </w:r>
      <w:r>
        <w:rPr>
          <w:rFonts w:hint="eastAsia"/>
        </w:rPr>
        <w:t>及修复工程类型</w:t>
      </w:r>
    </w:p>
    <w:p w14:paraId="1FBF8676">
      <w:pPr>
        <w:jc w:val="left"/>
      </w:pPr>
      <w:r>
        <w:t>本方法学将市域内陆湿地划分为湖泊湿地、河流湿地、沼泽湿地及乡村小微湿地</w:t>
      </w:r>
      <w:r>
        <w:rPr>
          <w:rFonts w:hint="eastAsia"/>
        </w:rPr>
        <w:t>四</w:t>
      </w:r>
      <w:r>
        <w:t>大类型，分别设置差异化的核算参数与监测标准。</w:t>
      </w:r>
    </w:p>
    <w:p w14:paraId="3318709C">
      <w:pPr>
        <w:pStyle w:val="4"/>
        <w:rPr>
          <w:rFonts w:hint="default" w:eastAsia="黑体"/>
          <w:highlight w:val="none"/>
          <w:lang w:val="en-US" w:eastAsia="zh-CN"/>
        </w:rPr>
      </w:pPr>
      <w:r>
        <w:rPr>
          <w:highlight w:val="none"/>
        </w:rPr>
        <w:t>表</w:t>
      </w:r>
      <w:r>
        <w:rPr>
          <w:rFonts w:hint="eastAsia"/>
          <w:highlight w:val="none"/>
        </w:rPr>
        <w:t>3湿地类型</w:t>
      </w:r>
      <w:r>
        <w:rPr>
          <w:rFonts w:hint="eastAsia"/>
          <w:highlight w:val="none"/>
          <w:lang w:val="en-US" w:eastAsia="zh-CN"/>
        </w:rPr>
        <w:t>及修复工程类型</w:t>
      </w:r>
      <w:r>
        <w:rPr>
          <w:rFonts w:hint="eastAsia"/>
          <w:highlight w:val="none"/>
        </w:rPr>
        <w:t>划分</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2"/>
        <w:gridCol w:w="3448"/>
        <w:gridCol w:w="3495"/>
      </w:tblGrid>
      <w:tr w14:paraId="307B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vAlign w:val="center"/>
          </w:tcPr>
          <w:p w14:paraId="517FC23E">
            <w:pPr>
              <w:pStyle w:val="5"/>
              <w:jc w:val="center"/>
              <w:rPr>
                <w:rFonts w:cs="Times New Roman"/>
              </w:rPr>
            </w:pPr>
            <w:r>
              <w:rPr>
                <w:rFonts w:cs="Times New Roman"/>
              </w:rPr>
              <w:t>类型</w:t>
            </w:r>
          </w:p>
        </w:tc>
        <w:tc>
          <w:tcPr>
            <w:tcW w:w="3448" w:type="dxa"/>
            <w:vAlign w:val="center"/>
          </w:tcPr>
          <w:p w14:paraId="2D4BA089">
            <w:pPr>
              <w:pStyle w:val="5"/>
              <w:jc w:val="center"/>
              <w:rPr>
                <w:rFonts w:cs="Times New Roman"/>
              </w:rPr>
            </w:pPr>
            <w:r>
              <w:rPr>
                <w:rFonts w:cs="Times New Roman"/>
              </w:rPr>
              <w:t>范围界定</w:t>
            </w:r>
          </w:p>
        </w:tc>
        <w:tc>
          <w:tcPr>
            <w:tcW w:w="3495" w:type="dxa"/>
            <w:vAlign w:val="center"/>
          </w:tcPr>
          <w:p w14:paraId="495A83B5">
            <w:pPr>
              <w:pStyle w:val="5"/>
              <w:jc w:val="center"/>
              <w:rPr>
                <w:rFonts w:cs="Times New Roman"/>
              </w:rPr>
            </w:pPr>
            <w:r>
              <w:rPr>
                <w:rFonts w:cs="Times New Roman"/>
              </w:rPr>
              <w:t>主要修复工程类型</w:t>
            </w:r>
          </w:p>
        </w:tc>
      </w:tr>
      <w:tr w14:paraId="66F03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vAlign w:val="center"/>
          </w:tcPr>
          <w:p w14:paraId="109F3B20">
            <w:pPr>
              <w:pStyle w:val="5"/>
              <w:jc w:val="center"/>
              <w:rPr>
                <w:rFonts w:cs="Times New Roman"/>
              </w:rPr>
            </w:pPr>
            <w:r>
              <w:rPr>
                <w:rFonts w:cs="Times New Roman"/>
              </w:rPr>
              <w:t>湖泊湿地</w:t>
            </w:r>
          </w:p>
        </w:tc>
        <w:tc>
          <w:tcPr>
            <w:tcW w:w="3448" w:type="dxa"/>
            <w:vAlign w:val="center"/>
          </w:tcPr>
          <w:p w14:paraId="47ABF79E">
            <w:pPr>
              <w:pStyle w:val="5"/>
              <w:jc w:val="center"/>
              <w:rPr>
                <w:rFonts w:cs="Times New Roman"/>
              </w:rPr>
            </w:pPr>
            <w:r>
              <w:rPr>
                <w:rFonts w:cs="Times New Roman"/>
              </w:rPr>
              <w:t>市域内面积较大（通常≥8公顷）的浅水湖泊</w:t>
            </w:r>
            <w:r>
              <w:rPr>
                <w:rFonts w:hint="eastAsia" w:cs="Times New Roman"/>
              </w:rPr>
              <w:t>，包括石臼湖、固城湖等省级重要湖泊湿地</w:t>
            </w:r>
          </w:p>
        </w:tc>
        <w:tc>
          <w:tcPr>
            <w:tcW w:w="3495" w:type="dxa"/>
            <w:vAlign w:val="center"/>
          </w:tcPr>
          <w:p w14:paraId="574B3FAA">
            <w:pPr>
              <w:pStyle w:val="5"/>
              <w:jc w:val="left"/>
              <w:rPr>
                <w:rFonts w:cs="Times New Roman"/>
              </w:rPr>
            </w:pPr>
            <w:r>
              <w:rPr>
                <w:rFonts w:hint="eastAsia" w:cs="Times New Roman"/>
              </w:rPr>
              <w:t>（1）</w:t>
            </w:r>
            <w:r>
              <w:rPr>
                <w:rFonts w:cs="Times New Roman"/>
              </w:rPr>
              <w:t>湿地植被重建与水下森林营造工程</w:t>
            </w:r>
          </w:p>
          <w:p w14:paraId="1E35FE0A">
            <w:pPr>
              <w:pStyle w:val="5"/>
              <w:jc w:val="left"/>
              <w:rPr>
                <w:rFonts w:cs="Times New Roman"/>
              </w:rPr>
            </w:pPr>
            <w:r>
              <w:rPr>
                <w:rFonts w:cs="Times New Roman"/>
                <w:lang w:val="en-US" w:eastAsia="zh-CN"/>
              </w:rPr>
              <w:t>（2）</w:t>
            </w:r>
            <w:r>
              <w:rPr>
                <w:rFonts w:cs="Times New Roman"/>
              </w:rPr>
              <w:t>退渔（耕）还湿与生境改造工程</w:t>
            </w:r>
          </w:p>
          <w:p w14:paraId="0F3BCF33">
            <w:pPr>
              <w:pStyle w:val="5"/>
              <w:jc w:val="left"/>
              <w:rPr>
                <w:rFonts w:cs="Times New Roman"/>
              </w:rPr>
            </w:pPr>
            <w:r>
              <w:rPr>
                <w:rFonts w:hint="eastAsia" w:cs="Times New Roman"/>
              </w:rPr>
              <w:t>（3）</w:t>
            </w:r>
            <w:r>
              <w:rPr>
                <w:rFonts w:cs="Times New Roman"/>
              </w:rPr>
              <w:t>底泥清淤与滨岸带生态修复工程</w:t>
            </w:r>
          </w:p>
        </w:tc>
      </w:tr>
      <w:tr w14:paraId="5C8BD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vAlign w:val="center"/>
          </w:tcPr>
          <w:p w14:paraId="0EAC114D">
            <w:pPr>
              <w:pStyle w:val="5"/>
              <w:jc w:val="center"/>
              <w:rPr>
                <w:rFonts w:cs="Times New Roman"/>
              </w:rPr>
            </w:pPr>
            <w:r>
              <w:rPr>
                <w:rFonts w:cs="Times New Roman"/>
              </w:rPr>
              <w:t>河流湿地</w:t>
            </w:r>
          </w:p>
        </w:tc>
        <w:tc>
          <w:tcPr>
            <w:tcW w:w="3448" w:type="dxa"/>
            <w:vAlign w:val="center"/>
          </w:tcPr>
          <w:p w14:paraId="7A206952">
            <w:pPr>
              <w:pStyle w:val="5"/>
              <w:jc w:val="center"/>
              <w:rPr>
                <w:rFonts w:cs="Times New Roman"/>
              </w:rPr>
            </w:pPr>
            <w:r>
              <w:rPr>
                <w:rFonts w:hint="eastAsia" w:cs="Times New Roman"/>
              </w:rPr>
              <w:t>市域各级河道、河网水系的滨岸湿地及缓流区域，包括长江干流南京段、秦淮河、滁河等主要河流水系</w:t>
            </w:r>
          </w:p>
        </w:tc>
        <w:tc>
          <w:tcPr>
            <w:tcW w:w="3495" w:type="dxa"/>
            <w:vAlign w:val="center"/>
          </w:tcPr>
          <w:p w14:paraId="6D45C4CC">
            <w:pPr>
              <w:pStyle w:val="5"/>
              <w:jc w:val="left"/>
              <w:rPr>
                <w:rFonts w:cs="Times New Roman"/>
              </w:rPr>
            </w:pPr>
            <w:r>
              <w:rPr>
                <w:rFonts w:hint="eastAsia" w:cs="Times New Roman"/>
                <w:lang w:eastAsia="zh-CN"/>
              </w:rPr>
              <w:t>（</w:t>
            </w:r>
            <w:r>
              <w:rPr>
                <w:rFonts w:hint="eastAsia" w:cs="Times New Roman"/>
                <w:lang w:val="en-US" w:eastAsia="zh-CN"/>
              </w:rPr>
              <w:t>1</w:t>
            </w:r>
            <w:r>
              <w:rPr>
                <w:rFonts w:hint="eastAsia" w:cs="Times New Roman"/>
                <w:lang w:eastAsia="zh-CN"/>
              </w:rPr>
              <w:t>）</w:t>
            </w:r>
            <w:r>
              <w:rPr>
                <w:rFonts w:cs="Times New Roman"/>
              </w:rPr>
              <w:t>湿地植被重建与水下森林营造工程</w:t>
            </w:r>
          </w:p>
          <w:p w14:paraId="417D86D9">
            <w:pPr>
              <w:pStyle w:val="5"/>
              <w:jc w:val="left"/>
              <w:rPr>
                <w:rFonts w:cs="Times New Roman"/>
              </w:rPr>
            </w:pPr>
            <w:r>
              <w:rPr>
                <w:rFonts w:hint="eastAsia" w:cs="Times New Roman"/>
              </w:rPr>
              <w:t>（</w:t>
            </w:r>
            <w:r>
              <w:rPr>
                <w:rFonts w:hint="eastAsia" w:cs="Times New Roman"/>
                <w:lang w:val="en-US" w:eastAsia="zh-CN"/>
              </w:rPr>
              <w:t>2</w:t>
            </w:r>
            <w:r>
              <w:rPr>
                <w:rFonts w:hint="eastAsia" w:cs="Times New Roman"/>
              </w:rPr>
              <w:t>）</w:t>
            </w:r>
            <w:r>
              <w:rPr>
                <w:rFonts w:cs="Times New Roman"/>
              </w:rPr>
              <w:t>底泥清淤与滨岸带生态修复工程</w:t>
            </w:r>
          </w:p>
        </w:tc>
      </w:tr>
      <w:tr w14:paraId="31A65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vAlign w:val="center"/>
          </w:tcPr>
          <w:p w14:paraId="7B4C54AC">
            <w:pPr>
              <w:pStyle w:val="5"/>
              <w:jc w:val="center"/>
              <w:rPr>
                <w:rFonts w:cs="Times New Roman"/>
              </w:rPr>
            </w:pPr>
            <w:r>
              <w:rPr>
                <w:rFonts w:cs="Times New Roman"/>
              </w:rPr>
              <w:t>沼泽湿地</w:t>
            </w:r>
          </w:p>
        </w:tc>
        <w:tc>
          <w:tcPr>
            <w:tcW w:w="3448" w:type="dxa"/>
            <w:vAlign w:val="center"/>
          </w:tcPr>
          <w:p w14:paraId="3A5946F1">
            <w:pPr>
              <w:pStyle w:val="5"/>
              <w:jc w:val="center"/>
              <w:rPr>
                <w:rFonts w:cs="Times New Roman"/>
              </w:rPr>
            </w:pPr>
            <w:r>
              <w:rPr>
                <w:rFonts w:cs="Times New Roman"/>
              </w:rPr>
              <w:t>市域森林沼泽、灌丛沼泽、内陆滩涂、沼泽草地、沼泽地等</w:t>
            </w:r>
            <w:r>
              <w:rPr>
                <w:rFonts w:cs="Times New Roman"/>
              </w:rPr>
              <w:fldChar w:fldCharType="begin"/>
            </w:r>
            <w:r>
              <w:rPr>
                <w:rFonts w:cs="Times New Roman"/>
              </w:rPr>
              <w:instrText xml:space="preserve"> HYPERLINK "http://www.nanjing.gov.cn/njxx/202506/t20250627_5594698.html" \t "https://chat.deepseek.com/a/chat/s/_blank" </w:instrText>
            </w:r>
            <w:r>
              <w:rPr>
                <w:rFonts w:cs="Times New Roman"/>
              </w:rPr>
              <w:fldChar w:fldCharType="separate"/>
            </w:r>
            <w:r>
              <w:rPr>
                <w:rFonts w:cs="Times New Roman"/>
              </w:rPr>
              <w:fldChar w:fldCharType="end"/>
            </w:r>
          </w:p>
        </w:tc>
        <w:tc>
          <w:tcPr>
            <w:tcW w:w="3495" w:type="dxa"/>
            <w:vAlign w:val="center"/>
          </w:tcPr>
          <w:p w14:paraId="0E035A27">
            <w:pPr>
              <w:pStyle w:val="5"/>
              <w:jc w:val="left"/>
              <w:rPr>
                <w:rFonts w:cs="Times New Roman"/>
              </w:rPr>
            </w:pPr>
            <w:r>
              <w:rPr>
                <w:rFonts w:cs="Times New Roman"/>
              </w:rPr>
              <w:t>草本沼泽恢复工程</w:t>
            </w:r>
          </w:p>
        </w:tc>
      </w:tr>
      <w:tr w14:paraId="5CD5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vAlign w:val="center"/>
          </w:tcPr>
          <w:p w14:paraId="35DAC77C">
            <w:pPr>
              <w:pStyle w:val="5"/>
              <w:jc w:val="center"/>
              <w:rPr>
                <w:rFonts w:cs="Times New Roman"/>
              </w:rPr>
            </w:pPr>
            <w:bookmarkStart w:id="96" w:name="_Toc25440"/>
            <w:r>
              <w:rPr>
                <w:rFonts w:cs="Times New Roman"/>
              </w:rPr>
              <w:t>乡村小微湿地</w:t>
            </w:r>
          </w:p>
        </w:tc>
        <w:tc>
          <w:tcPr>
            <w:tcW w:w="3448" w:type="dxa"/>
            <w:vAlign w:val="center"/>
          </w:tcPr>
          <w:p w14:paraId="72A136D5">
            <w:pPr>
              <w:pStyle w:val="5"/>
              <w:jc w:val="center"/>
              <w:rPr>
                <w:rFonts w:cs="Times New Roman"/>
              </w:rPr>
            </w:pPr>
            <w:r>
              <w:rPr>
                <w:rFonts w:cs="Times New Roman"/>
              </w:rPr>
              <w:t>市域乡村范围内坑塘、沟渠、废弃养殖塘等小型湿地</w:t>
            </w:r>
            <w:r>
              <w:rPr>
                <w:rFonts w:cs="Times New Roman"/>
              </w:rPr>
              <w:fldChar w:fldCharType="begin"/>
            </w:r>
            <w:r>
              <w:rPr>
                <w:rFonts w:cs="Times New Roman"/>
              </w:rPr>
              <w:instrText xml:space="preserve"> HYPERLINK "https://ylj.nanjing.gov.cn/njslhylj/202601/t20260114_5765390.html" \t "https://chat.deepseek.com/a/chat/s/_blank" </w:instrText>
            </w:r>
            <w:r>
              <w:rPr>
                <w:rFonts w:cs="Times New Roman"/>
              </w:rPr>
              <w:fldChar w:fldCharType="separate"/>
            </w:r>
            <w:r>
              <w:rPr>
                <w:rFonts w:cs="Times New Roman"/>
              </w:rPr>
              <w:fldChar w:fldCharType="end"/>
            </w:r>
          </w:p>
        </w:tc>
        <w:tc>
          <w:tcPr>
            <w:tcW w:w="3495" w:type="dxa"/>
            <w:vAlign w:val="center"/>
          </w:tcPr>
          <w:p w14:paraId="7A4CEABB">
            <w:pPr>
              <w:pStyle w:val="5"/>
              <w:jc w:val="left"/>
              <w:rPr>
                <w:rFonts w:cs="Times New Roman"/>
              </w:rPr>
            </w:pPr>
            <w:r>
              <w:rPr>
                <w:rFonts w:hint="eastAsia" w:cs="Times New Roman"/>
              </w:rPr>
              <w:t>生态化改造，包括塘底清淤、边坡生态化、水生植物种植</w:t>
            </w:r>
          </w:p>
        </w:tc>
      </w:tr>
    </w:tbl>
    <w:p w14:paraId="3B985DF6">
      <w:pPr>
        <w:pStyle w:val="3"/>
        <w:spacing w:after="120"/>
        <w:rPr>
          <w:rFonts w:ascii="Times New Roman" w:hAnsi="Times New Roman" w:cs="Times New Roman"/>
        </w:rPr>
      </w:pPr>
      <w:r>
        <w:rPr>
          <w:rFonts w:ascii="Times New Roman" w:hAnsi="Times New Roman" w:cs="Times New Roman"/>
        </w:rPr>
        <w:t>7 减排量核算</w:t>
      </w:r>
      <w:bookmarkEnd w:id="91"/>
      <w:bookmarkEnd w:id="92"/>
      <w:bookmarkEnd w:id="93"/>
      <w:bookmarkEnd w:id="94"/>
      <w:bookmarkEnd w:id="95"/>
      <w:bookmarkEnd w:id="96"/>
    </w:p>
    <w:p w14:paraId="5F598407">
      <w:pPr>
        <w:outlineLvl w:val="1"/>
        <w:rPr>
          <w:rFonts w:cs="Times New Roman"/>
        </w:rPr>
      </w:pPr>
      <w:bookmarkStart w:id="97" w:name="_Toc26869"/>
      <w:r>
        <w:rPr>
          <w:rFonts w:cs="Times New Roman"/>
        </w:rPr>
        <w:t xml:space="preserve">7.1 </w:t>
      </w:r>
      <w:bookmarkStart w:id="98" w:name="_Toc154504468"/>
      <w:r>
        <w:rPr>
          <w:rFonts w:cs="Times New Roman"/>
        </w:rPr>
        <w:t>基准线情景</w:t>
      </w:r>
      <w:bookmarkEnd w:id="98"/>
      <w:r>
        <w:rPr>
          <w:rFonts w:cs="Times New Roman"/>
        </w:rPr>
        <w:t>识别</w:t>
      </w:r>
      <w:bookmarkEnd w:id="97"/>
    </w:p>
    <w:p w14:paraId="6F536FE9">
      <w:pPr>
        <w:rPr>
          <w:rFonts w:hint="default" w:cs="Times New Roman" w:eastAsiaTheme="minorEastAsia"/>
          <w:lang w:val="en-US" w:eastAsia="zh-CN"/>
        </w:rPr>
      </w:pPr>
      <w:r>
        <w:rPr>
          <w:rFonts w:cs="Times New Roman"/>
        </w:rPr>
        <w:t>指项目边界内，在未实施本湿地碳普惠项目所规定的系统性生态修复活动的情况下，</w:t>
      </w:r>
      <w:r>
        <w:rPr>
          <w:rFonts w:hint="default" w:cs="Times New Roman"/>
        </w:rPr>
        <w:t>最可能发生的碳库演变与碳排放状态。基线情景应根据项目地块在项目开始前的土地利用类型、生态退化程度和实际管理状态合理确定。</w:t>
      </w:r>
    </w:p>
    <w:p w14:paraId="6E465A26">
      <w:pPr>
        <w:rPr>
          <w:rFonts w:hint="eastAsia" w:cs="Times New Roman"/>
          <w:highlight w:val="none"/>
        </w:rPr>
      </w:pPr>
      <w:bookmarkStart w:id="99" w:name="_Toc5991"/>
      <w:r>
        <w:rPr>
          <w:rFonts w:hint="eastAsia" w:cs="Times New Roman"/>
          <w:highlight w:val="none"/>
        </w:rPr>
        <w:t>地块原始状态符合下列情形之一，无天然湿地原生植被与土壤碳库、无显著自然碳汇增量的，基准线情景下植物、土壤、水体 DOC 各碳库年度碳汇量均取值为0：</w:t>
      </w:r>
    </w:p>
    <w:p w14:paraId="6467FD74">
      <w:pPr>
        <w:numPr>
          <w:ilvl w:val="0"/>
          <w:numId w:val="1"/>
        </w:numPr>
        <w:rPr>
          <w:rFonts w:hint="eastAsia" w:cs="Times New Roman"/>
          <w:highlight w:val="none"/>
          <w:lang w:eastAsia="zh-CN"/>
        </w:rPr>
      </w:pPr>
      <w:r>
        <w:rPr>
          <w:rFonts w:hint="eastAsia" w:cs="Times New Roman"/>
          <w:highlight w:val="none"/>
          <w:lang w:eastAsia="zh-CN"/>
        </w:rPr>
        <w:t>已停止养殖活动1年以上且无恢复养殖计划的废弃鱼塘；</w:t>
      </w:r>
    </w:p>
    <w:p w14:paraId="17D8F365">
      <w:pPr>
        <w:numPr>
          <w:ilvl w:val="0"/>
          <w:numId w:val="1"/>
        </w:numPr>
        <w:rPr>
          <w:rFonts w:hint="eastAsia" w:cs="Times New Roman"/>
          <w:highlight w:val="none"/>
          <w:lang w:eastAsia="zh-CN"/>
        </w:rPr>
      </w:pPr>
      <w:r>
        <w:rPr>
          <w:rFonts w:hint="eastAsia" w:cs="Times New Roman"/>
          <w:highlight w:val="none"/>
          <w:lang w:eastAsia="zh-CN"/>
        </w:rPr>
        <w:t>已永久退出耕作、未开展系统性湿地生态修复的农田；</w:t>
      </w:r>
    </w:p>
    <w:p w14:paraId="5B6F509C">
      <w:pPr>
        <w:numPr>
          <w:ilvl w:val="0"/>
          <w:numId w:val="1"/>
        </w:numPr>
        <w:rPr>
          <w:rFonts w:hint="eastAsia" w:cs="Times New Roman"/>
          <w:highlight w:val="none"/>
          <w:lang w:eastAsia="zh-CN"/>
        </w:rPr>
      </w:pPr>
      <w:r>
        <w:rPr>
          <w:rFonts w:hint="eastAsia" w:cs="Times New Roman"/>
          <w:highlight w:val="none"/>
          <w:lang w:eastAsia="zh-CN"/>
        </w:rPr>
        <w:t>因污染或人为活动导致原生湿地植被覆盖度低于 5%、土壤有机碳含量低于南京市同类型湿地背景平均水平 50% 的退化裸地。</w:t>
      </w:r>
    </w:p>
    <w:p w14:paraId="581AAC7A">
      <w:pPr>
        <w:outlineLvl w:val="1"/>
        <w:rPr>
          <w:rFonts w:hint="eastAsia" w:cs="Times New Roman"/>
          <w:highlight w:val="none"/>
        </w:rPr>
      </w:pPr>
      <w:r>
        <w:rPr>
          <w:rFonts w:hint="eastAsia" w:cs="Times New Roman"/>
          <w:highlight w:val="none"/>
        </w:rPr>
        <w:t>本条不适用于泥炭地开采及排水导致的退化湿地。</w:t>
      </w:r>
    </w:p>
    <w:p w14:paraId="0E5D9045">
      <w:pPr>
        <w:outlineLvl w:val="1"/>
        <w:rPr>
          <w:rFonts w:hint="eastAsia" w:cs="Times New Roman"/>
          <w:highlight w:val="none"/>
        </w:rPr>
      </w:pPr>
      <w:r>
        <w:rPr>
          <w:rFonts w:hint="eastAsia" w:cs="Times New Roman"/>
          <w:highlight w:val="none"/>
        </w:rPr>
        <w:t>项目业主须提供地块原始状态的佐证材料，作为基线归零判定的核查依据，包括但不限于：</w:t>
      </w:r>
    </w:p>
    <w:p w14:paraId="3F6C74B1">
      <w:pPr>
        <w:numPr>
          <w:ilvl w:val="0"/>
          <w:numId w:val="2"/>
        </w:numPr>
        <w:outlineLvl w:val="1"/>
        <w:rPr>
          <w:rFonts w:hint="eastAsia" w:cs="Times New Roman"/>
          <w:highlight w:val="none"/>
        </w:rPr>
      </w:pPr>
      <w:r>
        <w:rPr>
          <w:rFonts w:hint="eastAsia" w:cs="Times New Roman"/>
          <w:highlight w:val="none"/>
        </w:rPr>
        <w:t>土地权属证明、项目实施前高清历史遥感影像、现场本底照片；</w:t>
      </w:r>
    </w:p>
    <w:p w14:paraId="4D07D010">
      <w:pPr>
        <w:numPr>
          <w:ilvl w:val="0"/>
          <w:numId w:val="2"/>
        </w:numPr>
        <w:outlineLvl w:val="1"/>
        <w:rPr>
          <w:rFonts w:cs="Times New Roman"/>
          <w:highlight w:val="none"/>
        </w:rPr>
      </w:pPr>
      <w:r>
        <w:rPr>
          <w:rFonts w:hint="eastAsia" w:cs="Times New Roman"/>
          <w:highlight w:val="none"/>
        </w:rPr>
        <w:t>村（居）委会或属地主管部门出具的地块利用现状证明；</w:t>
      </w:r>
    </w:p>
    <w:p w14:paraId="142E2073">
      <w:pPr>
        <w:numPr>
          <w:ilvl w:val="0"/>
          <w:numId w:val="2"/>
        </w:numPr>
        <w:outlineLvl w:val="1"/>
        <w:rPr>
          <w:rFonts w:cs="Times New Roman"/>
          <w:highlight w:val="none"/>
        </w:rPr>
      </w:pPr>
      <w:r>
        <w:rPr>
          <w:rFonts w:hint="eastAsia" w:cs="Times New Roman"/>
          <w:highlight w:val="none"/>
        </w:rPr>
        <w:t>养殖/耕作活动终止证明、本底土壤与植被调查报告。</w:t>
      </w:r>
    </w:p>
    <w:p w14:paraId="4BCC1CF2">
      <w:pPr>
        <w:outlineLvl w:val="1"/>
        <w:rPr>
          <w:rFonts w:cs="Times New Roman"/>
        </w:rPr>
      </w:pPr>
      <w:r>
        <w:rPr>
          <w:rFonts w:cs="Times New Roman"/>
        </w:rPr>
        <w:t>7.2 额外性论证</w:t>
      </w:r>
      <w:bookmarkEnd w:id="99"/>
    </w:p>
    <w:p w14:paraId="1556294C">
      <w:pPr>
        <w:rPr>
          <w:rFonts w:cs="Times New Roman"/>
        </w:rPr>
      </w:pPr>
      <w:r>
        <w:rPr>
          <w:rFonts w:cs="Times New Roman"/>
        </w:rPr>
        <w:t>额外性是指本南京市湿地碳普惠项目相较于基准线情景，能够产生额外温室气体清除效果；项目若无碳普惠收益激励，受投资、融资、技术、制度等多重障碍制约，相关湿地修复管护活动不会自发实施，项目情景碳清除量显著高于基准线情景清除量。依据《南京市碳普惠方法学开发与申报指南》要求，额外性论证分为免予论证、简化论证、完整一般论证三类分级实施。</w:t>
      </w:r>
    </w:p>
    <w:p w14:paraId="6059AA78">
      <w:pPr>
        <w:outlineLvl w:val="2"/>
      </w:pPr>
      <w:r>
        <w:t>7.2.1 免予论证</w:t>
      </w:r>
    </w:p>
    <w:p w14:paraId="1BDBA8EE">
      <w:pPr>
        <w:rPr>
          <w:rFonts w:cs="Times New Roman"/>
        </w:rPr>
      </w:pPr>
      <w:r>
        <w:rPr>
          <w:rFonts w:cs="Times New Roman"/>
        </w:rPr>
        <w:t>满足下列任一条件的公益性湿地碳汇项目，无需开展任何额外性分析论证，仅提交对应佐证材料备案即可：</w:t>
      </w:r>
    </w:p>
    <w:p w14:paraId="3FC3A77E">
      <w:pPr>
        <w:numPr>
          <w:ilvl w:val="0"/>
          <w:numId w:val="3"/>
        </w:numPr>
        <w:ind w:left="0" w:firstLine="560" w:firstLineChars="200"/>
        <w:rPr>
          <w:rFonts w:cs="Times New Roman"/>
        </w:rPr>
      </w:pPr>
      <w:r>
        <w:rPr>
          <w:rFonts w:cs="Times New Roman"/>
        </w:rPr>
        <w:t xml:space="preserve">位于国际重要湿地、省级重要湿地、市级重要湿地管控范围的生态修复项目； </w:t>
      </w:r>
    </w:p>
    <w:p w14:paraId="1D990196">
      <w:pPr>
        <w:numPr>
          <w:ilvl w:val="0"/>
          <w:numId w:val="3"/>
        </w:numPr>
        <w:ind w:left="0" w:firstLine="560" w:firstLineChars="200"/>
        <w:rPr>
          <w:rFonts w:cs="Times New Roman"/>
        </w:rPr>
      </w:pPr>
      <w:r>
        <w:rPr>
          <w:rFonts w:cs="Times New Roman"/>
        </w:rPr>
        <w:t>在饮用水水源保护区范围内开展的湿地生态修复项目</w:t>
      </w:r>
      <w:r>
        <w:rPr>
          <w:rFonts w:hint="eastAsia" w:cs="Times New Roman"/>
        </w:rPr>
        <w:t>；</w:t>
      </w:r>
    </w:p>
    <w:p w14:paraId="739B9D94">
      <w:pPr>
        <w:numPr>
          <w:ilvl w:val="0"/>
          <w:numId w:val="3"/>
        </w:numPr>
        <w:ind w:left="0" w:firstLine="560" w:firstLineChars="200"/>
        <w:rPr>
          <w:rFonts w:cs="Times New Roman"/>
        </w:rPr>
      </w:pPr>
      <w:r>
        <w:rPr>
          <w:rFonts w:cs="Times New Roman"/>
        </w:rPr>
        <w:t xml:space="preserve"> 属于市、区（县）级以上政府主导的公益性</w:t>
      </w:r>
      <w:r>
        <w:rPr>
          <w:rFonts w:hint="eastAsia" w:cs="Times New Roman"/>
          <w:lang w:eastAsia="zh-CN"/>
        </w:rPr>
        <w:t>湿地保护修复</w:t>
      </w:r>
      <w:r>
        <w:rPr>
          <w:rFonts w:cs="Times New Roman"/>
        </w:rPr>
        <w:t>工程项目。</w:t>
      </w:r>
    </w:p>
    <w:p w14:paraId="6883FEEB">
      <w:pPr>
        <w:outlineLvl w:val="2"/>
      </w:pPr>
      <w:r>
        <w:t xml:space="preserve">7.2.2 </w:t>
      </w:r>
      <w:r>
        <w:rPr>
          <w:rFonts w:hint="eastAsia"/>
        </w:rPr>
        <w:t>简化</w:t>
      </w:r>
      <w:r>
        <w:t>论证</w:t>
      </w:r>
    </w:p>
    <w:p w14:paraId="74820A17">
      <w:pPr>
        <w:rPr>
          <w:highlight w:val="none"/>
        </w:rPr>
      </w:pPr>
      <w:r>
        <w:t>适用于</w:t>
      </w:r>
      <w:r>
        <w:rPr>
          <w:rFonts w:hint="eastAsia"/>
        </w:rPr>
        <w:t>乡村</w:t>
      </w:r>
      <w:r>
        <w:t>小微湿地项目，无需完整全套多维度深度分析</w:t>
      </w:r>
      <w:r>
        <w:rPr>
          <w:rFonts w:hint="eastAsia"/>
        </w:rPr>
        <w:t>。</w:t>
      </w:r>
      <w:r>
        <w:t>简化论证方式下，可选择一般论证框架内的投资分析、障碍分析、普遍实践分析、替代情景识别中的一项或多项开展，并根据实际情况进行简</w:t>
      </w:r>
      <w:r>
        <w:rPr>
          <w:highlight w:val="none"/>
        </w:rPr>
        <w:t>要论证；无需编制完整财务测算报告，但项目业主应在项目设计文件中说明选择简化论证的理由及其适用性。同时满足全部适用条件：</w:t>
      </w:r>
    </w:p>
    <w:p w14:paraId="69BAD44B">
      <w:pPr>
        <w:numPr>
          <w:ilvl w:val="0"/>
          <w:numId w:val="4"/>
        </w:numPr>
        <w:ind w:left="0" w:firstLine="560" w:firstLineChars="200"/>
        <w:rPr>
          <w:rFonts w:cs="Times New Roman"/>
          <w:highlight w:val="none"/>
        </w:rPr>
      </w:pPr>
      <w:r>
        <w:rPr>
          <w:rFonts w:hint="eastAsia" w:cs="Times New Roman"/>
          <w:highlight w:val="none"/>
        </w:rPr>
        <w:t>项目为单块面积0.1~8hm²的村集体坑塘、沟渠、洼地类小微湿地；以小微湿地群形式合并申报的项目，群内每块湿地单块面积均不超过8hm²，且合并总面积符合本方法学2.1节规定；</w:t>
      </w:r>
    </w:p>
    <w:p w14:paraId="2484981E">
      <w:pPr>
        <w:numPr>
          <w:ilvl w:val="0"/>
          <w:numId w:val="4"/>
        </w:numPr>
        <w:ind w:left="0" w:firstLine="560" w:firstLineChars="200"/>
        <w:rPr>
          <w:rFonts w:cs="Times New Roman"/>
        </w:rPr>
      </w:pPr>
      <w:r>
        <w:rPr>
          <w:rFonts w:cs="Times New Roman"/>
        </w:rPr>
        <w:t>实施主体为村集体、社区合作社，无企业市场化运营；</w:t>
      </w:r>
    </w:p>
    <w:p w14:paraId="30D7E81C">
      <w:pPr>
        <w:numPr>
          <w:ilvl w:val="0"/>
          <w:numId w:val="4"/>
        </w:numPr>
        <w:ind w:left="0" w:firstLine="560" w:firstLineChars="200"/>
        <w:rPr>
          <w:rFonts w:cs="Times New Roman"/>
        </w:rPr>
      </w:pPr>
      <w:r>
        <w:rPr>
          <w:rFonts w:cs="Times New Roman"/>
        </w:rPr>
        <w:t>项目无养殖、苗木、文旅等经营性产业，仅依靠财政补助与碳普惠收益覆盖管护成本；</w:t>
      </w:r>
    </w:p>
    <w:p w14:paraId="38FD1A9A">
      <w:pPr>
        <w:numPr>
          <w:ilvl w:val="0"/>
          <w:numId w:val="4"/>
        </w:numPr>
        <w:ind w:left="0" w:firstLine="560" w:firstLineChars="200"/>
        <w:rPr>
          <w:rFonts w:cs="Times New Roman"/>
        </w:rPr>
      </w:pPr>
      <w:r>
        <w:rPr>
          <w:rFonts w:cs="Times New Roman"/>
        </w:rPr>
        <w:t xml:space="preserve">地块为废弃低效坑塘、退化洼地，无耕地、规模化养殖、商业开发等高价值替代利用途径。 </w:t>
      </w:r>
    </w:p>
    <w:p w14:paraId="7E7EABA6">
      <w:pPr>
        <w:outlineLvl w:val="2"/>
      </w:pPr>
      <w:r>
        <w:t>7.2.</w:t>
      </w:r>
      <w:r>
        <w:rPr>
          <w:rFonts w:hint="eastAsia"/>
        </w:rPr>
        <w:t>3</w:t>
      </w:r>
      <w:r>
        <w:t xml:space="preserve"> 一般论证</w:t>
      </w:r>
    </w:p>
    <w:p w14:paraId="5C8BED00">
      <w:r>
        <w:t>其他湿地碳汇项目须按照本条规定对项目额外性进行一般论证。一般论证应从以下方面开展：</w:t>
      </w:r>
    </w:p>
    <w:p w14:paraId="7F0FEFD7">
      <w:r>
        <w:t>（1）投资分析</w:t>
      </w:r>
    </w:p>
    <w:p w14:paraId="2170F8F4">
      <w:r>
        <w:t>湿地生态修复项目通常具有以下投资特征：①初期投入大，包括地形重塑、水系连通、底质改良、植被种植等工程费用；②直接经济回报低，湿地修复本身不产生可直接市场化的产品；③投资回收期长，湿地碳汇的积累和生态效益的显现需要较长时间。在缺乏碳普惠减排量收益激励的情况下，社会资本缺乏投资湿地生态修复项目的内在动力。</w:t>
      </w:r>
    </w:p>
    <w:p w14:paraId="060B6736">
      <w:r>
        <w:t>（2）障碍分析</w:t>
      </w:r>
    </w:p>
    <w:p w14:paraId="7E83296D">
      <w:r>
        <w:t>从以下一个或多个方面分析项目面临的障碍，说明碳普惠减排量收益对项目克服这些障碍的必要性：</w:t>
      </w:r>
    </w:p>
    <w:p w14:paraId="08D93E40">
      <w:r>
        <w:t>a）投资障碍：湿地生态修复项目初期投入大、直接经济回报低、投资回收期长，在缺乏碳汇收益激励的情况下难以吸引社会资本投入；</w:t>
      </w:r>
    </w:p>
    <w:p w14:paraId="1135D646">
      <w:r>
        <w:t>b）技术障碍：湿地植被恢复、水系连通、生境改造等技术要求高，本地技术力量不足，需要引入专业技术支持，增加了项目实施难度和成本；</w:t>
      </w:r>
    </w:p>
    <w:p w14:paraId="5969F7AC">
      <w:r>
        <w:t>c）制度障碍：湿地修复涉及土地（水域）权属、用途管制等多方面制度约束，项目协调成本高、实施周期长，需要额外的激励机制推动；</w:t>
      </w:r>
    </w:p>
    <w:p w14:paraId="514F5CD2">
      <w:r>
        <w:t>d）生态风险障碍：湿地修复存在外来物种入侵、生态系统不稳定等风险，项目需要投入额外的监测和管护成本以防控风险。</w:t>
      </w:r>
    </w:p>
    <w:p w14:paraId="6CA8CE3C">
      <w:r>
        <w:t>（3）普遍实践分析</w:t>
      </w:r>
    </w:p>
    <w:p w14:paraId="22FCCDDB">
      <w:r>
        <w:t>论证在同一区域、同类自然条件下，在没有碳普惠减排量收益激励的情况下，项目所采用的湿地生态修复活动（如湿地植被重建、退渔（耕）还湿、底泥清淤与滨岸带生态修复等）是否属于普遍实践。若不属于普遍实践，则说明项目具有额外性。</w:t>
      </w:r>
    </w:p>
    <w:p w14:paraId="5772205A">
      <w:r>
        <w:t>（4）替代情景识别</w:t>
      </w:r>
    </w:p>
    <w:p w14:paraId="504FF5B6">
      <w:r>
        <w:t>识别在不实施本项目的条件下，项目边界内最可能发生的替代情景，包括维持现状、其他类型的土地利用方式等，并论证本项目情景下的温室气体清除量高于各替代情景。</w:t>
      </w:r>
    </w:p>
    <w:p w14:paraId="269218DE">
      <w:r>
        <w:t>（5）是否符合法律法规强制要求</w:t>
      </w:r>
    </w:p>
    <w:p w14:paraId="4DD0B6A4">
      <w:r>
        <w:t>论证本项目是否为履行国家、江苏省及南京市法律法规强制性要求所必须开展的活动。若属于强制性要求范围内的活动，则</w:t>
      </w:r>
      <w:r>
        <w:rPr>
          <w:rFonts w:hint="eastAsia"/>
          <w:lang w:eastAsia="zh-CN"/>
        </w:rPr>
        <w:t>需</w:t>
      </w:r>
      <w:r>
        <w:t>进一步论证在满足强制性要求的基础上，本项目是否实现了额外的减排效果</w:t>
      </w:r>
      <w:r>
        <w:rPr>
          <w:rFonts w:hint="eastAsia"/>
        </w:rPr>
        <w:t>。</w:t>
      </w:r>
    </w:p>
    <w:p w14:paraId="0FD9D911">
      <w:r>
        <w:t>（6）同类项目首例分析</w:t>
      </w:r>
    </w:p>
    <w:p w14:paraId="13CC41D7">
      <w:r>
        <w:t>论证本项目是否为南京市同类湿地中首个或首批开展碳普惠开发的项目。若项目属于同类湿地生态修复项目中率先开展碳普惠开发的，可作为支持额外性的重要依据。项目业主应提供南京市同类湿地碳普惠项目开发情况的调研说明，论证本项目的示范引领作用。</w:t>
      </w:r>
    </w:p>
    <w:p w14:paraId="5AFBA20B">
      <w:pPr>
        <w:outlineLvl w:val="1"/>
        <w:rPr>
          <w:highlight w:val="none"/>
        </w:rPr>
      </w:pPr>
      <w:bookmarkStart w:id="100" w:name="_Toc1711"/>
      <w:r>
        <w:rPr>
          <w:highlight w:val="none"/>
        </w:rPr>
        <w:t xml:space="preserve">7.3 </w:t>
      </w:r>
      <w:bookmarkEnd w:id="100"/>
      <w:r>
        <w:rPr>
          <w:highlight w:val="none"/>
        </w:rPr>
        <w:t>基准线情景碳汇与排放量核算</w:t>
      </w:r>
    </w:p>
    <w:p w14:paraId="0284727E">
      <w:pPr>
        <w:rPr>
          <w:highlight w:val="none"/>
        </w:rPr>
      </w:pPr>
      <w:r>
        <w:rPr>
          <w:highlight w:val="none"/>
        </w:rPr>
        <w:t>基准线情景下的温室气体净排放需同时考虑湿地碳汇（碳清除）和温室气体排放两个方面。</w:t>
      </w:r>
    </w:p>
    <w:p w14:paraId="2E28EDDE">
      <w:pPr>
        <w:outlineLvl w:val="2"/>
      </w:pPr>
      <w:bookmarkStart w:id="101" w:name="OLE_LINK22"/>
      <w:bookmarkStart w:id="102" w:name="_Toc231854801"/>
      <w:r>
        <w:rPr>
          <w:rFonts w:hint="eastAsia"/>
        </w:rPr>
        <w:t>7.</w:t>
      </w:r>
      <w:r>
        <w:t>3</w:t>
      </w:r>
      <w:r>
        <w:rPr>
          <w:rFonts w:hint="eastAsia"/>
        </w:rPr>
        <w:t>.1 基线碳汇量</w:t>
      </w:r>
      <w:bookmarkEnd w:id="101"/>
      <w:bookmarkEnd w:id="102"/>
    </w:p>
    <w:p w14:paraId="733A29ED">
      <w:r>
        <w:t>基线碳汇量，是指在基线情景下项目边界内各碳库的碳储量变化量之和</w:t>
      </w:r>
      <w:r>
        <w:rPr>
          <w:rFonts w:hint="eastAsia"/>
        </w:rPr>
        <w:t>，</w:t>
      </w:r>
      <w:r>
        <w:t>包括植被碳库、土壤有机碳库和水体溶解有机碳库。</w:t>
      </w:r>
    </w:p>
    <w:p w14:paraId="2C6E011B">
      <w:r>
        <w:rPr>
          <w:rFonts w:hint="eastAsia"/>
        </w:rPr>
        <w:t>总基线碳汇量计算公式</w:t>
      </w:r>
      <w:r>
        <w:t>如下</w:t>
      </w:r>
      <w:r>
        <w:rPr>
          <w:rFonts w:hint="eastAsia"/>
        </w:rPr>
        <w:t>：</w:t>
      </w:r>
    </w:p>
    <w:p w14:paraId="132D40C7">
      <w:pPr>
        <w:jc w:val="right"/>
      </w:pPr>
      <w:bookmarkStart w:id="103" w:name="OLE_LINK43"/>
      <w:bookmarkStart w:id="104" w:name="OLE_LINK23"/>
      <w:bookmarkStart w:id="105" w:name="OLE_LINK67"/>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t</m:t>
            </m:r>
            <w:bookmarkEnd w:id="103"/>
            <m:ctrlPr>
              <w:rPr>
                <w:rFonts w:ascii="Cambria Math" w:hAnsi="Cambria Math"/>
              </w:rPr>
            </m:ctrlPr>
          </m:sub>
        </m:sSub>
        <m:r>
          <m:rPr>
            <m:sty m:val="p"/>
          </m:rPr>
          <w:rPr>
            <w:rFonts w:ascii="Cambria Math" w:hAnsi="Cambria Math"/>
          </w:rPr>
          <m:t>=</m:t>
        </m:r>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BSL,DOC,</m:t>
            </m:r>
            <m:r>
              <m:rPr>
                <m:sty m:val="p"/>
              </m:rPr>
              <w:rPr>
                <w:rFonts w:hint="eastAsia" w:ascii="Cambria Math" w:hAnsi="Cambria Math"/>
              </w:rPr>
              <m:t>t</m:t>
            </m:r>
            <m:ctrlPr>
              <w:rPr>
                <w:rFonts w:ascii="Cambria Math" w:hAnsi="Cambria Math"/>
              </w:rPr>
            </m:ctrlPr>
          </m:sub>
        </m:sSub>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hAnsi="Cambria Math"/>
        </w:rPr>
        <w:t xml:space="preserve">    </w:t>
      </w:r>
      <w:r>
        <w:rPr>
          <w:rFonts w:hint="eastAsia" w:hAnsi="Cambria Math"/>
          <w:lang w:eastAsia="zh-CN"/>
        </w:rPr>
        <w:t>(</w:t>
      </w:r>
      <w:r>
        <w:rPr>
          <w:rFonts w:hint="eastAsia" w:hAnsi="Cambria Math"/>
        </w:rPr>
        <w:t>1</w:t>
      </w:r>
      <w:r>
        <w:rPr>
          <w:rFonts w:hint="eastAsia" w:hAnsi="Cambria Math"/>
          <w:lang w:eastAsia="zh-CN"/>
        </w:rPr>
        <w:t>)</w:t>
      </w:r>
    </w:p>
    <w:bookmarkEnd w:id="104"/>
    <w:p w14:paraId="4A1ACF36">
      <w:r>
        <w:t>式中：</w:t>
      </w:r>
    </w:p>
    <w:p w14:paraId="018C17F3">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t</m:t>
            </m:r>
            <m:ctrlPr>
              <w:rPr>
                <w:rFonts w:ascii="Cambria Math" w:hAnsi="Cambria Math"/>
              </w:rPr>
            </m:ctrlPr>
          </m:sub>
        </m:sSub>
      </m:oMath>
      <w:r>
        <w:rPr>
          <w:rFonts w:hint="eastAsia"/>
        </w:rPr>
        <w:t>——第t年基线碳汇量，tCO</w:t>
      </w:r>
      <w:r>
        <w:rPr>
          <w:rFonts w:hint="eastAsia"/>
          <w:vertAlign w:val="subscript"/>
        </w:rPr>
        <w:t>2</w:t>
      </w:r>
      <w:r>
        <w:rPr>
          <w:rFonts w:hint="eastAsia"/>
        </w:rPr>
        <w:t>e/a；</w:t>
      </w:r>
    </w:p>
    <w:p w14:paraId="767F63C5">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——第t年植物基线碳汇量，tC/a；</w:t>
      </w:r>
    </w:p>
    <w:p w14:paraId="10237A00">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——第t年土壤基线碳汇量，tC/a；</w:t>
      </w:r>
    </w:p>
    <w:p w14:paraId="3C0C1390">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BSL,DOC,</m:t>
            </m:r>
            <m:r>
              <m:rPr>
                <m:sty m:val="p"/>
              </m:rPr>
              <w:rPr>
                <w:rFonts w:hint="eastAsia" w:ascii="Cambria Math" w:hAnsi="Cambria Math"/>
              </w:rPr>
              <m:t>t</m:t>
            </m:r>
            <m:ctrlPr>
              <w:rPr>
                <w:rFonts w:ascii="Cambria Math" w:hAnsi="Cambria Math"/>
              </w:rPr>
            </m:ctrlPr>
          </m:sub>
        </m:sSub>
      </m:oMath>
      <w:r>
        <w:rPr>
          <w:rFonts w:hint="eastAsia"/>
        </w:rPr>
        <w:t>——第t年水体溶解有机碳基线碳汇量，tC/a；</w:t>
      </w:r>
    </w:p>
    <w:p w14:paraId="365752AE">
      <m:oMath>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rPr>
        <w:t>——</w:t>
      </w:r>
      <w:r>
        <w:t>碳（C）转化为二氧化碳当量（</w:t>
      </w:r>
      <w:r>
        <w:rPr>
          <w:rFonts w:hint="eastAsia"/>
          <w:highlight w:val="none"/>
          <w:lang w:eastAsia="zh-CN"/>
        </w:rPr>
        <w:t>CO</w:t>
      </w:r>
      <w:r>
        <w:rPr>
          <w:rFonts w:hint="eastAsia"/>
          <w:highlight w:val="none"/>
          <w:vertAlign w:val="subscript"/>
          <w:lang w:eastAsia="zh-CN"/>
        </w:rPr>
        <w:t>2e</w:t>
      </w:r>
      <w:r>
        <w:t>）折算固定系数</w:t>
      </w:r>
      <w:r>
        <w:rPr>
          <w:rFonts w:hint="eastAsia"/>
        </w:rPr>
        <w:t>，无量纲；</w:t>
      </w:r>
    </w:p>
    <w:p w14:paraId="4F0BAF1B">
      <w:r>
        <w:rPr>
          <w:rFonts w:hint="eastAsia"/>
        </w:rPr>
        <w:t>t——自项目开始以来的年数，取值1，2，3，……，无量纲。</w:t>
      </w:r>
    </w:p>
    <w:p w14:paraId="0E498D1B">
      <w:pPr>
        <w:outlineLvl w:val="3"/>
      </w:pPr>
      <w:r>
        <w:rPr>
          <w:rFonts w:hint="eastAsia"/>
        </w:rPr>
        <w:t>7.</w:t>
      </w:r>
      <w:r>
        <w:t>3</w:t>
      </w:r>
      <w:r>
        <w:rPr>
          <w:rFonts w:hint="eastAsia"/>
        </w:rPr>
        <w:t>.1.1 植物基线碳汇量</w:t>
      </w:r>
    </w:p>
    <w:p w14:paraId="36B706AC">
      <w:r>
        <w:t>基线情景下，植物碳库主要来源于本土湿地植被的自然生长和更新，不包含人工种植。公式如下：</w:t>
      </w:r>
    </w:p>
    <w:p w14:paraId="2687C15D">
      <w:pPr>
        <w:jc w:val="right"/>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nary>
          <m:naryPr>
            <m:chr m:val="∑"/>
            <m:limLoc m:val="undOvr"/>
            <m:supHide m:val="1"/>
            <m:ctrlPr>
              <w:rPr>
                <w:rFonts w:ascii="Cambria Math" w:hAnsi="Cambria Math"/>
              </w:rPr>
            </m:ctrlPr>
          </m:naryPr>
          <m:sub>
            <m:r>
              <m:rPr>
                <m:sty m:val="p"/>
              </m:rPr>
              <w:rPr>
                <w:rFonts w:hint="eastAsia" w:ascii="Cambria Math" w:hAnsi="Cambria Math"/>
              </w:rPr>
              <m:t>l</m:t>
            </m:r>
            <m:ctrlPr>
              <w:rPr>
                <w:rFonts w:ascii="Cambria Math" w:hAnsi="Cambria Math"/>
              </w:rPr>
            </m:ctrlPr>
          </m:sub>
          <m:sup>
            <m:ctrlPr>
              <w:rPr>
                <w:rFonts w:ascii="Cambria Math" w:hAnsi="Cambria Math"/>
              </w:rPr>
            </m:ctrlPr>
          </m:sup>
          <m:e>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ctrlPr>
              <w:rPr>
                <w:rFonts w:ascii="Cambria Math" w:hAnsi="Cambria Math"/>
              </w:rPr>
            </m:ctrlPr>
          </m:e>
        </m:nary>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ascii="Cambria Math" w:hAnsi="Cambria Math"/>
              </w:rPr>
              <m:t>BSL,</m:t>
            </m:r>
            <m:r>
              <m:rPr>
                <m:sty m:val="p"/>
              </m:rPr>
              <w:rPr>
                <w:rFonts w:hint="eastAsia" w:ascii="Cambria Math" w:hAnsi="Cambria Math"/>
              </w:rPr>
              <m:t>l</m:t>
            </m:r>
            <m:ctrlPr>
              <w:rPr>
                <w:rFonts w:ascii="Cambria Math" w:hAnsi="Cambria Math"/>
              </w:rPr>
            </m:ctrlPr>
          </m:sub>
        </m:sSub>
        <m:r>
          <m:rPr>
            <m:sty m:val="p"/>
          </m:rPr>
          <w:rPr>
            <w:rFonts w:hint="eastAsia" w:ascii="Cambria Math" w:hAnsi="Cambria Math"/>
          </w:rPr>
          <m:t>）</m:t>
        </m:r>
      </m:oMath>
      <w:r>
        <w:rPr>
          <w:rFonts w:hint="eastAsia"/>
        </w:rPr>
        <w:t xml:space="preserve">               </w:t>
      </w:r>
      <w:r>
        <w:rPr>
          <w:rFonts w:hint="eastAsia"/>
          <w:lang w:eastAsia="zh-CN"/>
        </w:rPr>
        <w:t>(</w:t>
      </w:r>
      <w:r>
        <w:rPr>
          <w:rFonts w:hint="eastAsia"/>
        </w:rPr>
        <w:t>2</w:t>
      </w:r>
      <w:r>
        <w:rPr>
          <w:rFonts w:hint="eastAsia"/>
          <w:lang w:eastAsia="zh-CN"/>
        </w:rPr>
        <w:t>)</w:t>
      </w:r>
    </w:p>
    <w:p w14:paraId="4111CE33">
      <w:r>
        <w:t>式中：</w:t>
      </w:r>
    </w:p>
    <w:p w14:paraId="632043F5">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——第t年植物基线碳汇量，tC/a；</w:t>
      </w:r>
    </w:p>
    <w:p w14:paraId="67DBE824">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——第t年时，项目边界内湿地类型l的单位面积植物碳储量年变化量的基线值，</w:t>
      </w:r>
      <w:r>
        <w:t>t</w:t>
      </w:r>
      <w:r>
        <w:rPr>
          <w:rFonts w:hint="eastAsia"/>
        </w:rPr>
        <w:t>C/（hm</w:t>
      </w:r>
      <w:r>
        <w:rPr>
          <w:rFonts w:hint="eastAsia"/>
          <w:vertAlign w:val="superscript"/>
        </w:rPr>
        <w:t>2</w:t>
      </w:r>
      <w:r>
        <w:rPr>
          <w:rFonts w:hint="eastAsia"/>
        </w:rPr>
        <w:t>·a）；</w:t>
      </w:r>
    </w:p>
    <w:p w14:paraId="7A659A9F">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ascii="Cambria Math" w:hAnsi="Cambria Math"/>
              </w:rPr>
              <m:t>BSL,</m:t>
            </m:r>
            <m:r>
              <m:rPr>
                <m:sty m:val="p"/>
              </m:rPr>
              <w:rPr>
                <w:rFonts w:hint="eastAsia" w:ascii="Cambria Math" w:hAnsi="Cambria Math"/>
              </w:rPr>
              <m:t>l</m:t>
            </m:r>
            <m:ctrlPr>
              <w:rPr>
                <w:rFonts w:ascii="Cambria Math" w:hAnsi="Cambria Math"/>
              </w:rPr>
            </m:ctrlPr>
          </m:sub>
        </m:sSub>
      </m:oMath>
      <w:r>
        <w:rPr>
          <w:rFonts w:hint="eastAsia"/>
        </w:rPr>
        <w:t>——项目边界内湿地类型l的基线面积（</w:t>
      </w:r>
      <w:r>
        <w:t>计入期取本底调查值，计入期内视为恒定</w:t>
      </w:r>
      <w:r>
        <w:rPr>
          <w:rFonts w:hint="eastAsia"/>
        </w:rPr>
        <w:t>），hm</w:t>
      </w:r>
      <w:r>
        <w:rPr>
          <w:rFonts w:hint="eastAsia"/>
          <w:vertAlign w:val="superscript"/>
        </w:rPr>
        <w:t>2</w:t>
      </w:r>
      <w:r>
        <w:rPr>
          <w:rFonts w:hint="eastAsia"/>
        </w:rPr>
        <w:t>；</w:t>
      </w:r>
    </w:p>
    <w:p w14:paraId="26E9B508">
      <w:r>
        <w:t>l</w:t>
      </w:r>
      <w:r>
        <w:rPr>
          <w:rFonts w:hint="eastAsia"/>
        </w:rPr>
        <w:t>——湿地类型</w:t>
      </w:r>
      <w:r>
        <w:t>（湖泊湿地/河流湿地/</w:t>
      </w:r>
      <w:r>
        <w:rPr>
          <w:highlight w:val="none"/>
        </w:rPr>
        <w:t>沼泽湿地</w:t>
      </w:r>
      <w:r>
        <w:rPr>
          <w:rFonts w:hint="eastAsia"/>
          <w:highlight w:val="none"/>
        </w:rPr>
        <w:t>/</w:t>
      </w:r>
      <w:r>
        <w:rPr>
          <w:highlight w:val="none"/>
        </w:rPr>
        <w:t>乡村小微湿地）</w:t>
      </w:r>
      <w:r>
        <w:rPr>
          <w:rFonts w:hint="eastAsia"/>
          <w:highlight w:val="none"/>
        </w:rPr>
        <w:t>；</w:t>
      </w:r>
    </w:p>
    <w:p w14:paraId="6ED2C3B4">
      <w:r>
        <w:rPr>
          <w:rFonts w:hint="eastAsia"/>
        </w:rPr>
        <w:t>t——自项目开始以来的年数，1，2，3，……，无量纲。</w:t>
      </w:r>
    </w:p>
    <w:p w14:paraId="26AABB64">
      <w:pPr>
        <w:outlineLvl w:val="3"/>
      </w:pPr>
      <w:r>
        <w:rPr>
          <w:rFonts w:hint="eastAsia"/>
        </w:rPr>
        <w:t>7.</w:t>
      </w:r>
      <w:r>
        <w:t>3</w:t>
      </w:r>
      <w:r>
        <w:rPr>
          <w:rFonts w:hint="eastAsia"/>
        </w:rPr>
        <w:t>.1.2 土壤基线碳汇量</w:t>
      </w:r>
    </w:p>
    <w:p w14:paraId="7EE3AD7C">
      <w:r>
        <w:t>基线情景下，土壤有机碳库变化主要来源于自然凋落物分解与有机质累积的平衡。公式如下：</w:t>
      </w:r>
    </w:p>
    <w:p w14:paraId="7F837D28">
      <w:pPr>
        <w:jc w:val="right"/>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nary>
          <m:naryPr>
            <m:chr m:val="∑"/>
            <m:limLoc m:val="undOvr"/>
            <m:supHide m:val="1"/>
            <m:ctrlPr>
              <w:rPr>
                <w:rFonts w:ascii="Cambria Math" w:hAnsi="Cambria Math"/>
              </w:rPr>
            </m:ctrlPr>
          </m:naryPr>
          <m:sub>
            <m:r>
              <m:rPr>
                <m:sty m:val="p"/>
              </m:rPr>
              <w:rPr>
                <w:rFonts w:hint="eastAsia" w:ascii="Cambria Math" w:hAnsi="Cambria Math"/>
              </w:rPr>
              <m:t>l</m:t>
            </m:r>
            <m:ctrlPr>
              <w:rPr>
                <w:rFonts w:ascii="Cambria Math" w:hAnsi="Cambria Math"/>
              </w:rPr>
            </m:ctrlPr>
          </m:sub>
          <m:sup>
            <m:ctrlPr>
              <w:rPr>
                <w:rFonts w:ascii="Cambria Math" w:hAnsi="Cambria Math"/>
              </w:rPr>
            </m:ctrlPr>
          </m:sup>
          <m:e>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ctrlPr>
              <w:rPr>
                <w:rFonts w:ascii="Cambria Math" w:hAnsi="Cambria Math"/>
              </w:rPr>
            </m:ctrlPr>
          </m:e>
        </m:nary>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ascii="Cambria Math" w:hAnsi="Cambria Math"/>
              </w:rPr>
              <m:t>BSL,</m:t>
            </m:r>
            <m:r>
              <m:rPr>
                <m:sty m:val="p"/>
              </m:rPr>
              <w:rPr>
                <w:rFonts w:hint="eastAsia" w:ascii="Cambria Math" w:hAnsi="Cambria Math"/>
                <w:lang w:val="en-US" w:eastAsia="zh-CN"/>
              </w:rPr>
              <m:t>l</m:t>
            </m:r>
            <m:ctrlPr>
              <w:rPr>
                <w:rFonts w:ascii="Cambria Math" w:hAnsi="Cambria Math"/>
              </w:rPr>
            </m:ctrlPr>
          </m:sub>
        </m:sSub>
        <m:r>
          <m:rPr>
            <m:sty m:val="p"/>
          </m:rPr>
          <w:rPr>
            <w:rFonts w:hint="eastAsia" w:ascii="Cambria Math" w:hAnsi="Cambria Math"/>
          </w:rPr>
          <m:t>）</m:t>
        </m:r>
      </m:oMath>
      <w:r>
        <w:rPr>
          <w:rFonts w:hint="eastAsia"/>
        </w:rPr>
        <w:t xml:space="preserve">                 </w:t>
      </w:r>
      <w:r>
        <w:rPr>
          <w:rFonts w:hint="eastAsia"/>
          <w:lang w:eastAsia="zh-CN"/>
        </w:rPr>
        <w:t>(</w:t>
      </w:r>
      <w:r>
        <w:rPr>
          <w:rFonts w:hint="eastAsia"/>
        </w:rPr>
        <w:t>3</w:t>
      </w:r>
      <w:r>
        <w:rPr>
          <w:rFonts w:hint="eastAsia"/>
          <w:lang w:eastAsia="zh-CN"/>
        </w:rPr>
        <w:t>)</w:t>
      </w:r>
    </w:p>
    <w:p w14:paraId="72656555">
      <w:r>
        <w:t>式中：</w:t>
      </w:r>
    </w:p>
    <w:p w14:paraId="36ED6D2F">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——第t年项目区域土壤基线碳汇量，tC/a；</w:t>
      </w:r>
    </w:p>
    <w:p w14:paraId="4D826EED">
      <m:oMath>
        <m:sSub>
          <w:bookmarkStart w:id="106" w:name="OLE_LINK27"/>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l</m:t>
            </m:r>
            <m:r>
              <m:rPr>
                <m:sty m:val="p"/>
              </m:rPr>
              <w:rPr>
                <w:rFonts w:ascii="Cambria Math" w:hAnsi="Cambria Math"/>
              </w:rPr>
              <m:t>,</m:t>
            </m:r>
            <m:r>
              <m:rPr>
                <m:sty m:val="p"/>
              </m:rPr>
              <w:rPr>
                <w:rFonts w:hint="eastAsia" w:ascii="Cambria Math" w:hAnsi="Cambria Math"/>
              </w:rPr>
              <m:t>t</m:t>
            </m:r>
            <w:bookmarkEnd w:id="106"/>
            <m:ctrlPr>
              <w:rPr>
                <w:rFonts w:ascii="Cambria Math" w:hAnsi="Cambria Math"/>
              </w:rPr>
            </m:ctrlPr>
          </m:sub>
        </m:sSub>
      </m:oMath>
      <w:r>
        <w:rPr>
          <w:rFonts w:hint="eastAsia"/>
        </w:rPr>
        <w:t>——第t年时，项目边界内湿地类型l的单位面积土壤碳储量年变化量的基线值，</w:t>
      </w:r>
      <w:r>
        <w:t>t</w:t>
      </w:r>
      <w:r>
        <w:rPr>
          <w:rFonts w:hint="eastAsia"/>
        </w:rPr>
        <w:t>C/（hm</w:t>
      </w:r>
      <w:r>
        <w:rPr>
          <w:rFonts w:hint="eastAsia"/>
          <w:vertAlign w:val="superscript"/>
        </w:rPr>
        <w:t>2</w:t>
      </w:r>
      <w:r>
        <w:rPr>
          <w:rFonts w:hint="eastAsia"/>
        </w:rPr>
        <w:t>·a）；</w:t>
      </w:r>
    </w:p>
    <w:p w14:paraId="1FE6658C">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ascii="Cambria Math" w:hAnsi="Cambria Math"/>
              </w:rPr>
              <m:t>BSL,</m:t>
            </m:r>
            <m:r>
              <m:rPr>
                <m:sty m:val="p"/>
              </m:rPr>
              <w:rPr>
                <w:rFonts w:hint="eastAsia" w:ascii="Cambria Math" w:hAnsi="Cambria Math"/>
              </w:rPr>
              <m:t>l</m:t>
            </m:r>
            <m:ctrlPr>
              <w:rPr>
                <w:rFonts w:ascii="Cambria Math" w:hAnsi="Cambria Math"/>
              </w:rPr>
            </m:ctrlPr>
          </m:sub>
        </m:sSub>
      </m:oMath>
      <w:r>
        <w:rPr>
          <w:rFonts w:hint="eastAsia"/>
        </w:rPr>
        <w:t>——项目边界内湿地类型l的基线面积（</w:t>
      </w:r>
      <w:r>
        <w:t>计入期取本底调查值，计入期内视为恒定</w:t>
      </w:r>
      <w:r>
        <w:rPr>
          <w:rFonts w:hint="eastAsia"/>
        </w:rPr>
        <w:t>），hm</w:t>
      </w:r>
      <w:r>
        <w:rPr>
          <w:rFonts w:hint="eastAsia"/>
          <w:vertAlign w:val="superscript"/>
        </w:rPr>
        <w:t>2</w:t>
      </w:r>
      <w:r>
        <w:rPr>
          <w:rFonts w:hint="eastAsia"/>
        </w:rPr>
        <w:t>；</w:t>
      </w:r>
    </w:p>
    <w:p w14:paraId="64D27177">
      <w:r>
        <w:t>l</w:t>
      </w:r>
      <w:r>
        <w:rPr>
          <w:rFonts w:hint="eastAsia"/>
        </w:rPr>
        <w:t>——湿地类型</w:t>
      </w:r>
      <w:r>
        <w:t>（湖泊湿地/河流湿地/沼泽湿地</w:t>
      </w:r>
      <w:r>
        <w:rPr>
          <w:rFonts w:hint="eastAsia"/>
          <w:lang w:val="en-US" w:eastAsia="zh-CN"/>
        </w:rPr>
        <w:t>/乡村小微湿地</w:t>
      </w:r>
      <w:r>
        <w:t>）</w:t>
      </w:r>
      <w:r>
        <w:rPr>
          <w:rFonts w:hint="eastAsia"/>
        </w:rPr>
        <w:t>；</w:t>
      </w:r>
    </w:p>
    <w:p w14:paraId="7857D89D">
      <w:r>
        <w:rPr>
          <w:rFonts w:hint="eastAsia"/>
        </w:rPr>
        <w:t>t——自项目开始以来的年数，1，2，3，……，无量纲。</w:t>
      </w:r>
    </w:p>
    <w:p w14:paraId="5D1DFEF0">
      <w:pPr>
        <w:outlineLvl w:val="3"/>
      </w:pPr>
      <w:r>
        <w:rPr>
          <w:rFonts w:hint="eastAsia"/>
        </w:rPr>
        <w:t>7.</w:t>
      </w:r>
      <w:r>
        <w:t>3</w:t>
      </w:r>
      <w:r>
        <w:rPr>
          <w:rFonts w:hint="eastAsia"/>
        </w:rPr>
        <w:t>.1.3 水体</w:t>
      </w:r>
      <w:r>
        <w:t>溶解有机碳</w:t>
      </w:r>
      <w:r>
        <w:rPr>
          <w:rFonts w:hint="eastAsia"/>
        </w:rPr>
        <w:t>基线碳汇量</w:t>
      </w:r>
    </w:p>
    <w:p w14:paraId="62CA196C">
      <w:r>
        <w:t>基线情景下，水体</w:t>
      </w:r>
      <w:r>
        <w:rPr>
          <w:rFonts w:hint="eastAsia"/>
        </w:rPr>
        <w:t>溶解有机碳（</w:t>
      </w:r>
      <w:r>
        <w:t>DOC</w:t>
      </w:r>
      <w:r>
        <w:rPr>
          <w:rFonts w:hint="eastAsia"/>
        </w:rPr>
        <w:t>）</w:t>
      </w:r>
      <w:r>
        <w:t>浓度受自然水文过程、藻类活动和微生物分解影响，年度变化通常较小。公式如下：</w:t>
      </w:r>
    </w:p>
    <w:p w14:paraId="7E3E3513">
      <w:pPr>
        <w:jc w:val="right"/>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BSL,DOC,</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w:bookmarkStart w:id="107" w:name="OLE_LINK73"/>
          <m:sSubPr>
            <m:ctrlPr>
              <w:rPr>
                <w:rFonts w:ascii="Cambria Math" w:hAnsi="Cambria Math"/>
              </w:rPr>
            </m:ctrlPr>
          </m:sSubPr>
          <m:e>
            <m:r>
              <m:rPr>
                <m:sty m:val="p"/>
              </m:rPr>
              <w:rPr>
                <w:rFonts w:ascii="Cambria Math" w:hAnsi="Cambria Math"/>
              </w:rPr>
              <m:t>ΔDOC</m:t>
            </m:r>
            <m:ctrlPr>
              <w:rPr>
                <w:rFonts w:ascii="Cambria Math" w:hAnsi="Cambria Math"/>
              </w:rPr>
            </m:ctrlPr>
          </m:e>
          <m:sub>
            <m:r>
              <m:rPr>
                <m:sty m:val="p"/>
              </m:rPr>
              <w:rPr>
                <w:rFonts w:ascii="Cambria Math" w:hAnsi="Cambria Math"/>
              </w:rPr>
              <m:t>BSL</m:t>
            </m:r>
            <w:bookmarkEnd w:id="107"/>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V</m:t>
            </m:r>
            <m:ctrlPr>
              <w:rPr>
                <w:rFonts w:ascii="Cambria Math" w:hAnsi="Cambria Math"/>
              </w:rPr>
            </m:ctrlPr>
          </m:e>
          <m:sub>
            <m:r>
              <m:rPr>
                <m:sty m:val="p"/>
              </m:rPr>
              <w:rPr>
                <w:rFonts w:ascii="Cambria Math" w:hAnsi="Cambria Math"/>
              </w:rPr>
              <m:t>BSL,t</m:t>
            </m:r>
            <m:ctrlPr>
              <w:rPr>
                <w:rFonts w:ascii="Cambria Math" w:hAnsi="Cambria Math"/>
              </w:rPr>
            </m:ctrlPr>
          </m:sub>
        </m:sSub>
        <m:r>
          <m:rPr>
            <m:sty m:val="p"/>
          </m:rPr>
          <w:rPr>
            <w:rFonts w:ascii="Cambria Math" w:hAnsi="Cambria Math"/>
          </w:rPr>
          <m:t>×</m:t>
        </m:r>
        <m:sSup>
          <m:sSupPr>
            <m:ctrlPr>
              <w:rPr>
                <w:rFonts w:ascii="Cambria Math" w:hAnsi="Cambria Math"/>
              </w:rPr>
            </m:ctrlPr>
          </m:sSupPr>
          <m:e>
            <m:r>
              <m:rPr>
                <m:sty m:val="p"/>
              </m:rPr>
              <w:rPr>
                <w:rFonts w:ascii="Cambria Math" w:hAnsi="Cambria Math"/>
              </w:rPr>
              <m:t>10</m:t>
            </m:r>
            <m:ctrlPr>
              <w:rPr>
                <w:rFonts w:ascii="Cambria Math" w:hAnsi="Cambria Math"/>
              </w:rPr>
            </m:ctrlPr>
          </m:e>
          <m:sup>
            <m:r>
              <m:rPr>
                <m:sty m:val="p"/>
              </m:rPr>
              <w:rPr>
                <w:rFonts w:ascii="Cambria Math" w:hAnsi="Cambria Math"/>
              </w:rPr>
              <m:t>−6</m:t>
            </m:r>
            <m:ctrlPr>
              <w:rPr>
                <w:rFonts w:ascii="Cambria Math" w:hAnsi="Cambria Math"/>
              </w:rPr>
            </m:ctrlPr>
          </m:sup>
        </m:sSup>
      </m:oMath>
      <w:r>
        <w:rPr>
          <w:rFonts w:hint="eastAsia" w:hAnsi="Cambria Math"/>
        </w:rPr>
        <w:t xml:space="preserve">                  </w:t>
      </w:r>
      <w:r>
        <w:rPr>
          <w:rFonts w:hint="eastAsia" w:hAnsi="Cambria Math"/>
          <w:lang w:eastAsia="zh-CN"/>
        </w:rPr>
        <w:t>(</w:t>
      </w:r>
      <w:r>
        <w:rPr>
          <w:rFonts w:hint="eastAsia" w:hAnsi="Cambria Math"/>
        </w:rPr>
        <w:t>4</w:t>
      </w:r>
      <w:r>
        <w:rPr>
          <w:rFonts w:hint="eastAsia" w:hAnsi="Cambria Math"/>
          <w:lang w:eastAsia="zh-CN"/>
        </w:rPr>
        <w:t>)</w:t>
      </w:r>
    </w:p>
    <w:p w14:paraId="338708DF">
      <w:r>
        <w:t>式中：</w:t>
      </w:r>
    </w:p>
    <w:p w14:paraId="5E6C2D4C">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BSL,DOC,</m:t>
            </m:r>
            <m:r>
              <m:rPr>
                <m:sty m:val="p"/>
              </m:rPr>
              <w:rPr>
                <w:rFonts w:hint="eastAsia" w:ascii="Cambria Math" w:hAnsi="Cambria Math"/>
              </w:rPr>
              <m:t>t</m:t>
            </m:r>
            <m:ctrlPr>
              <w:rPr>
                <w:rFonts w:ascii="Cambria Math" w:hAnsi="Cambria Math"/>
              </w:rPr>
            </m:ctrlPr>
          </m:sub>
        </m:sSub>
      </m:oMath>
      <w:r>
        <w:rPr>
          <w:rFonts w:hint="eastAsia"/>
        </w:rPr>
        <w:t>——第t年水体</w:t>
      </w:r>
      <w:bookmarkStart w:id="108" w:name="OLE_LINK28"/>
      <w:r>
        <w:rPr>
          <w:rFonts w:hint="eastAsia"/>
        </w:rPr>
        <w:t>溶解有机碳</w:t>
      </w:r>
      <w:bookmarkEnd w:id="108"/>
      <w:r>
        <w:rPr>
          <w:rFonts w:hint="eastAsia"/>
        </w:rPr>
        <w:t>基线碳汇量，tC/a；</w:t>
      </w:r>
    </w:p>
    <w:p w14:paraId="7712B817">
      <m:oMath>
        <m:sSub>
          <m:sSubPr>
            <m:ctrlPr>
              <w:rPr>
                <w:rFonts w:ascii="Cambria Math" w:hAnsi="Cambria Math"/>
              </w:rPr>
            </m:ctrlPr>
          </m:sSubPr>
          <m:e>
            <m:r>
              <m:rPr>
                <m:sty m:val="p"/>
              </m:rPr>
              <w:rPr>
                <w:rFonts w:ascii="Cambria Math" w:hAnsi="Cambria Math"/>
              </w:rPr>
              <m:t>ΔDOC</m:t>
            </m:r>
            <m:ctrlPr>
              <w:rPr>
                <w:rFonts w:ascii="Cambria Math" w:hAnsi="Cambria Math"/>
              </w:rPr>
            </m:ctrlPr>
          </m:e>
          <m:sub>
            <m:r>
              <m:rPr>
                <m:sty m:val="p"/>
              </m:rPr>
              <w:rPr>
                <w:rFonts w:ascii="Cambria Math" w:hAnsi="Cambria Math"/>
              </w:rPr>
              <m:t>BSL</m:t>
            </m:r>
            <m:ctrlPr>
              <w:rPr>
                <w:rFonts w:ascii="Cambria Math" w:hAnsi="Cambria Math"/>
              </w:rPr>
            </m:ctrlPr>
          </m:sub>
        </m:sSub>
      </m:oMath>
      <w:r>
        <w:rPr>
          <w:rFonts w:hint="eastAsia"/>
        </w:rPr>
        <w:t>——</w:t>
      </w:r>
      <w:r>
        <w:t>基线情景下DOC浓度的年变化量（常数</w:t>
      </w:r>
      <w:r>
        <w:rPr>
          <w:rFonts w:hint="eastAsia"/>
        </w:rPr>
        <w:t>）</w:t>
      </w:r>
      <w:r>
        <w:t>，mg/</w:t>
      </w:r>
      <w:r>
        <w:rPr>
          <w:rFonts w:hint="eastAsia"/>
        </w:rPr>
        <w:t>（</w:t>
      </w:r>
      <w:r>
        <w:t>L</w:t>
      </w:r>
      <w:r>
        <w:rPr>
          <w:rFonts w:hint="eastAsia"/>
          <w:lang w:eastAsia="zh-CN"/>
        </w:rPr>
        <w:t>·</w:t>
      </w:r>
      <w:r>
        <w:rPr>
          <w:rFonts w:hint="eastAsia"/>
        </w:rPr>
        <w:t>a）；</w:t>
      </w:r>
    </w:p>
    <w:p w14:paraId="242D3162">
      <m:oMath>
        <m:sSub>
          <m:sSubPr>
            <m:ctrlPr>
              <w:rPr>
                <w:rFonts w:ascii="Cambria Math" w:hAnsi="Cambria Math"/>
              </w:rPr>
            </m:ctrlPr>
          </m:sSubPr>
          <m:e>
            <m:r>
              <m:rPr>
                <m:sty m:val="p"/>
              </m:rPr>
              <w:rPr>
                <w:rFonts w:ascii="Cambria Math" w:hAnsi="Cambria Math"/>
              </w:rPr>
              <m:t>V</m:t>
            </m:r>
            <m:ctrlPr>
              <w:rPr>
                <w:rFonts w:ascii="Cambria Math" w:hAnsi="Cambria Math"/>
              </w:rPr>
            </m:ctrlPr>
          </m:e>
          <m:sub>
            <m:r>
              <m:rPr>
                <m:sty m:val="p"/>
              </m:rPr>
              <w:rPr>
                <w:rFonts w:ascii="Cambria Math" w:hAnsi="Cambria Math"/>
              </w:rPr>
              <m:t>BSL,t</m:t>
            </m:r>
            <m:ctrlPr>
              <w:rPr>
                <w:rFonts w:ascii="Cambria Math" w:hAnsi="Cambria Math"/>
              </w:rPr>
            </m:ctrlPr>
          </m:sub>
        </m:sSub>
      </m:oMath>
      <w:r>
        <w:t>——第t年基线情景下的稳定水域体积，m</w:t>
      </w:r>
      <w:r>
        <w:rPr>
          <w:rFonts w:hint="eastAsia"/>
          <w:vertAlign w:val="superscript"/>
        </w:rPr>
        <w:t>3</w:t>
      </w:r>
      <w:r>
        <w:rPr>
          <w:rFonts w:hint="eastAsia"/>
        </w:rPr>
        <w:t>；</w:t>
      </w:r>
    </w:p>
    <w:p w14:paraId="74CC4D26">
      <w:r>
        <w:rPr>
          <w:rFonts w:hint="eastAsia"/>
        </w:rPr>
        <w:t>10</w:t>
      </w:r>
      <w:r>
        <w:rPr>
          <w:vertAlign w:val="superscript"/>
        </w:rPr>
        <w:t>-6</w:t>
      </w:r>
      <w:r>
        <w:rPr>
          <w:rFonts w:hint="eastAsia"/>
        </w:rPr>
        <w:t>——单位换算系数；</w:t>
      </w:r>
    </w:p>
    <w:p w14:paraId="5CB88EC2">
      <w:r>
        <w:rPr>
          <w:rFonts w:hint="eastAsia"/>
        </w:rPr>
        <w:t>t——自项目开始以来的年数，1，2，3，……，无量纲。</w:t>
      </w:r>
    </w:p>
    <w:p w14:paraId="2F498E4E">
      <w:pPr>
        <w:outlineLvl w:val="2"/>
      </w:pPr>
      <w:bookmarkStart w:id="109" w:name="heading_36"/>
      <w:bookmarkStart w:id="110" w:name="_Toc231854804"/>
      <w:bookmarkStart w:id="111" w:name="OLE_LINK1"/>
      <w:r>
        <w:rPr>
          <w:rFonts w:hint="eastAsia"/>
        </w:rPr>
        <w:t>7</w:t>
      </w:r>
      <w:r>
        <w:t>.</w:t>
      </w:r>
      <w:r>
        <w:rPr>
          <w:rFonts w:hint="eastAsia"/>
        </w:rPr>
        <w:t xml:space="preserve">3.2 </w:t>
      </w:r>
      <w:r>
        <w:t>基线碳排放量</w:t>
      </w:r>
      <w:bookmarkEnd w:id="109"/>
      <w:bookmarkEnd w:id="110"/>
    </w:p>
    <w:bookmarkEnd w:id="105"/>
    <w:p w14:paraId="33E51A68">
      <w:r>
        <w:rPr>
          <w:rFonts w:hint="eastAsia"/>
        </w:rPr>
        <w:t>基线碳</w:t>
      </w:r>
      <w:r>
        <w:t>排放主要包含湿地植被自然分解、土壤有机碳矿化、水体自然碳排放三类常规排放。</w:t>
      </w:r>
    </w:p>
    <w:p w14:paraId="7732D9F9">
      <w:r>
        <w:t>基线碳排放量按以下公式计算：</w:t>
      </w:r>
    </w:p>
    <w:p w14:paraId="74E12F9F">
      <w:pPr>
        <w:rPr>
          <w:rFonts w:hAnsi="Cambria Math"/>
        </w:rPr>
      </w:pPr>
      <m:oMathPara>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ascii="Cambria Math" w:hAnsi="Cambria Math"/>
                </w:rPr>
                <m:t>BSL,</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ascii="Cambria Math" w:hAnsi="Cambria Math"/>
                </w:rPr>
                <m:t>BSL</m:t>
              </m:r>
              <m:ctrlPr>
                <w:rPr>
                  <w:rFonts w:ascii="Cambria Math" w:hAnsi="Cambria Math"/>
                </w:rPr>
              </m:ctrlPr>
            </m:sub>
          </m:sSub>
          <m:r>
            <m:rPr>
              <m:sty m:val="p"/>
            </m:rPr>
            <w:rPr>
              <w:rFonts w:hint="eastAsia" w:ascii="Cambria Math" w:hAnsi="Cambria Math"/>
            </w:rPr>
            <m:t>×</m:t>
          </m:r>
          <m:r>
            <m:rPr>
              <m:sty m:val="p"/>
            </m:rPr>
            <w:rPr>
              <w:rFonts w:ascii="Cambria Math" w:hAnsi="Cambria Math"/>
            </w:rPr>
            <m:t>(</m:t>
          </m:r>
          <m:sSub>
            <w:bookmarkStart w:id="112" w:name="OLE_LINK68"/>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r>
                <m:rPr>
                  <m:sty m:val="p"/>
                </m:rPr>
                <w:rPr>
                  <w:rFonts w:ascii="Cambria Math" w:hAnsi="Cambria Math"/>
                </w:rPr>
                <m:t>,BSL</m:t>
              </m:r>
              <w:bookmarkEnd w:id="112"/>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O,BSL</m:t>
              </m:r>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ctrlPr>
                <w:rPr>
                  <w:rFonts w:ascii="Cambria Math" w:hAnsi="Cambria Math"/>
                </w:rPr>
              </m:ctrlPr>
            </m:sub>
          </m:sSub>
          <m:r>
            <m:rPr>
              <m:sty m:val="p"/>
            </m:rPr>
            <w:rPr>
              <w:rFonts w:hint="eastAsia" w:ascii="Cambria Math" w:hAnsi="Cambria Math"/>
            </w:rPr>
            <m:t>）×</m:t>
          </m:r>
          <m:sSup>
            <m:sSupPr>
              <m:ctrlPr>
                <w:rPr>
                  <w:rFonts w:ascii="Cambria Math" w:hAnsi="Cambria Math"/>
                </w:rPr>
              </m:ctrlPr>
            </m:sSupPr>
            <m:e>
              <m:r>
                <m:rPr>
                  <m:sty m:val="p"/>
                </m:rPr>
                <w:rPr>
                  <w:rFonts w:ascii="Cambria Math" w:hAnsi="Cambria Math"/>
                </w:rPr>
                <m:t>10</m:t>
              </m:r>
              <m:ctrlPr>
                <w:rPr>
                  <w:rFonts w:ascii="Cambria Math" w:hAnsi="Cambria Math"/>
                </w:rPr>
              </m:ctrlPr>
            </m:e>
            <m:sup>
              <m:r>
                <m:rPr>
                  <m:sty m:val="p"/>
                </m:rPr>
                <w:rPr>
                  <w:rFonts w:ascii="Cambria Math" w:hAnsi="Cambria Math"/>
                </w:rPr>
                <m:t>−3</m:t>
              </m:r>
              <m:ctrlPr>
                <w:rPr>
                  <w:rFonts w:ascii="Cambria Math" w:hAnsi="Cambria Math"/>
                </w:rPr>
              </m:ctrlPr>
            </m:sup>
          </m:sSup>
        </m:oMath>
      </m:oMathPara>
    </w:p>
    <w:p w14:paraId="7DECE4DD">
      <w:pPr>
        <w:jc w:val="right"/>
        <w:rPr>
          <w:rFonts w:hAnsi="Cambria Math"/>
        </w:rPr>
      </w:pPr>
      <w:r>
        <w:rPr>
          <w:rFonts w:hint="eastAsia" w:hAnsi="Cambria Math"/>
          <w:lang w:eastAsia="zh-CN"/>
        </w:rPr>
        <w:t>(</w:t>
      </w:r>
      <w:r>
        <w:rPr>
          <w:rFonts w:hint="eastAsia" w:hAnsi="Cambria Math"/>
        </w:rPr>
        <w:t>5</w:t>
      </w:r>
      <w:r>
        <w:rPr>
          <w:rFonts w:hint="eastAsia" w:hAnsi="Cambria Math"/>
          <w:lang w:eastAsia="zh-CN"/>
        </w:rPr>
        <w:t>)</w:t>
      </w:r>
    </w:p>
    <w:p w14:paraId="0414E71A">
      <w:r>
        <w:t>式中：</w:t>
      </w:r>
    </w:p>
    <w:p w14:paraId="30F28AD1">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ascii="Cambria Math" w:hAnsi="Cambria Math"/>
              </w:rPr>
              <m:t>BSL,</m:t>
            </m:r>
            <m:r>
              <m:rPr>
                <m:sty m:val="p"/>
              </m:rPr>
              <w:rPr>
                <w:rFonts w:hint="eastAsia" w:ascii="Cambria Math" w:hAnsi="Cambria Math"/>
              </w:rPr>
              <m:t>t</m:t>
            </m:r>
            <m:ctrlPr>
              <w:rPr>
                <w:rFonts w:ascii="Cambria Math" w:hAnsi="Cambria Math"/>
              </w:rPr>
            </m:ctrlPr>
          </m:sub>
        </m:sSub>
      </m:oMath>
      <w:r>
        <w:rPr>
          <w:rFonts w:hint="eastAsia"/>
        </w:rPr>
        <w:t>——第t年时的基线</w:t>
      </w:r>
      <w:r>
        <w:t>碳排放量</w:t>
      </w:r>
      <w:r>
        <w:rPr>
          <w:rFonts w:hint="eastAsia"/>
        </w:rPr>
        <w:t>，tCO</w:t>
      </w:r>
      <w:r>
        <w:rPr>
          <w:vertAlign w:val="subscript"/>
        </w:rPr>
        <w:t>2</w:t>
      </w:r>
      <w:r>
        <w:rPr>
          <w:rFonts w:hint="eastAsia"/>
        </w:rPr>
        <w:t>e/a；</w:t>
      </w:r>
    </w:p>
    <w:p w14:paraId="63C43A82">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ascii="Cambria Math" w:hAnsi="Cambria Math"/>
              </w:rPr>
              <m:t>BSL</m:t>
            </m:r>
            <m:ctrlPr>
              <w:rPr>
                <w:rFonts w:ascii="Cambria Math" w:hAnsi="Cambria Math"/>
              </w:rPr>
            </m:ctrlPr>
          </m:sub>
        </m:sSub>
      </m:oMath>
      <w:r>
        <w:rPr>
          <w:rFonts w:hint="eastAsia"/>
        </w:rPr>
        <w:t>——</w:t>
      </w:r>
      <w:r>
        <w:t>项目边界内基线湿地总面积</w:t>
      </w:r>
      <w:r>
        <w:rPr>
          <w:rFonts w:hint="eastAsia"/>
        </w:rPr>
        <w:t>，hm</w:t>
      </w:r>
      <w:r>
        <w:rPr>
          <w:rFonts w:hint="eastAsia"/>
          <w:vertAlign w:val="superscript"/>
        </w:rPr>
        <w:t>2</w:t>
      </w:r>
      <w:r>
        <w:rPr>
          <w:rFonts w:hint="eastAsia"/>
        </w:rPr>
        <w:t>；</w:t>
      </w:r>
    </w:p>
    <w:p w14:paraId="7A056B1C">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r>
              <m:rPr>
                <m:sty m:val="p"/>
              </m:rPr>
              <w:rPr>
                <w:rFonts w:ascii="Cambria Math" w:hAnsi="Cambria Math"/>
              </w:rPr>
              <m:t>,BSL</m:t>
            </m:r>
            <m:ctrlPr>
              <w:rPr>
                <w:rFonts w:ascii="Cambria Math" w:hAnsi="Cambria Math"/>
              </w:rPr>
            </m:ctrlPr>
          </m:sub>
        </m:sSub>
      </m:oMath>
      <w:r>
        <w:rPr>
          <w:rFonts w:hint="eastAsia"/>
        </w:rPr>
        <w:t>——</w:t>
      </w:r>
      <w:r>
        <w:t>基线情景下单位面积CH</w:t>
      </w:r>
      <w:r>
        <w:rPr>
          <w:rFonts w:hint="eastAsia"/>
          <w:vertAlign w:val="subscript"/>
          <w:lang w:val="en-US" w:eastAsia="zh-CN"/>
        </w:rPr>
        <w:t>4</w:t>
      </w:r>
      <w:r>
        <w:t>排放因子</w:t>
      </w:r>
      <w:r>
        <w:rPr>
          <w:rFonts w:hint="eastAsia"/>
        </w:rPr>
        <w:t>，</w:t>
      </w:r>
      <w:r>
        <w:t>kg CH</w:t>
      </w:r>
      <w:r>
        <w:rPr>
          <w:rFonts w:hint="eastAsia"/>
          <w:vertAlign w:val="subscript"/>
          <w:lang w:val="en-US" w:eastAsia="zh-CN"/>
        </w:rPr>
        <w:t>4</w:t>
      </w:r>
      <w:r>
        <w:rPr>
          <w:rFonts w:hint="eastAsia"/>
        </w:rPr>
        <w:t>/（hm</w:t>
      </w:r>
      <w:r>
        <w:rPr>
          <w:rFonts w:hint="eastAsia"/>
          <w:vertAlign w:val="superscript"/>
        </w:rPr>
        <w:t>2</w:t>
      </w:r>
      <w:r>
        <w:rPr>
          <w:rFonts w:hint="eastAsia"/>
        </w:rPr>
        <w:t>·a）；</w:t>
      </w:r>
    </w:p>
    <w:p w14:paraId="3CEB01DD">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O,BSL</m:t>
            </m:r>
            <m:ctrlPr>
              <w:rPr>
                <w:rFonts w:ascii="Cambria Math" w:hAnsi="Cambria Math"/>
              </w:rPr>
            </m:ctrlPr>
          </m:sub>
        </m:sSub>
      </m:oMath>
      <w:r>
        <w:rPr>
          <w:rFonts w:hint="eastAsia"/>
        </w:rPr>
        <w:t>——</w:t>
      </w:r>
      <w:r>
        <w:t>基线情景下单位面积</w:t>
      </w:r>
      <w:r>
        <w:rPr>
          <w:rFonts w:cs="Times New Roman"/>
        </w:rPr>
        <w:t>N</w:t>
      </w:r>
      <w:r>
        <w:rPr>
          <w:rFonts w:hint="eastAsia" w:cs="Times New Roman"/>
          <w:vertAlign w:val="subscript"/>
          <w:lang w:val="en-US" w:eastAsia="zh-CN"/>
        </w:rPr>
        <w:t>2</w:t>
      </w:r>
      <w:r>
        <w:rPr>
          <w:rFonts w:cs="Times New Roman"/>
        </w:rPr>
        <w:t>O</w:t>
      </w:r>
      <w:r>
        <w:t>排放因子</w:t>
      </w:r>
      <w:r>
        <w:rPr>
          <w:rFonts w:hint="eastAsia"/>
        </w:rPr>
        <w:t>，</w:t>
      </w:r>
      <w:r>
        <w:t xml:space="preserve">kg </w:t>
      </w:r>
      <w:r>
        <w:rPr>
          <w:rFonts w:cs="Times New Roman"/>
        </w:rPr>
        <w:t>N</w:t>
      </w:r>
      <w:r>
        <w:rPr>
          <w:rFonts w:hint="eastAsia" w:cs="Times New Roman"/>
          <w:vertAlign w:val="subscript"/>
          <w:lang w:val="en-US" w:eastAsia="zh-CN"/>
        </w:rPr>
        <w:t>2</w:t>
      </w:r>
      <w:r>
        <w:rPr>
          <w:rFonts w:cs="Times New Roman"/>
        </w:rPr>
        <w:t>O</w:t>
      </w:r>
      <w:r>
        <w:rPr>
          <w:rFonts w:hint="eastAsia"/>
        </w:rPr>
        <w:t>/（hm</w:t>
      </w:r>
      <w:r>
        <w:rPr>
          <w:rFonts w:hint="eastAsia"/>
          <w:vertAlign w:val="superscript"/>
        </w:rPr>
        <w:t>2</w:t>
      </w:r>
      <w:r>
        <w:rPr>
          <w:rFonts w:hint="eastAsia"/>
        </w:rPr>
        <w:t>·a）；</w:t>
      </w:r>
    </w:p>
    <w:p w14:paraId="1EB35C52">
      <m:oMath>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ctrlPr>
              <w:rPr>
                <w:rFonts w:ascii="Cambria Math" w:hAnsi="Cambria Math"/>
              </w:rPr>
            </m:ctrlPr>
          </m:sub>
        </m:sSub>
      </m:oMath>
      <w:bookmarkStart w:id="113" w:name="OLE_LINK34"/>
      <w:r>
        <w:rPr>
          <w:rFonts w:hint="eastAsia"/>
        </w:rPr>
        <w:t>—</w:t>
      </w:r>
      <w:r>
        <w:t>CH</w:t>
      </w:r>
      <w:r>
        <w:rPr>
          <w:rFonts w:hint="eastAsia"/>
          <w:vertAlign w:val="subscript"/>
          <w:lang w:val="en-US" w:eastAsia="zh-CN"/>
        </w:rPr>
        <w:t>4</w:t>
      </w:r>
      <w:r>
        <w:t>的全球增温潜势，取值为2</w:t>
      </w:r>
      <w:r>
        <w:rPr>
          <w:rFonts w:hint="eastAsia"/>
        </w:rPr>
        <w:t>7.9（</w:t>
      </w:r>
      <w:r>
        <w:t>IPCC 第六次评估报告</w:t>
      </w:r>
      <w:r>
        <w:rPr>
          <w:rFonts w:hint="eastAsia"/>
        </w:rPr>
        <w:t>）；</w:t>
      </w:r>
      <w:bookmarkEnd w:id="113"/>
    </w:p>
    <w:p w14:paraId="61E971E1">
      <m:oMath>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ctrlPr>
              <w:rPr>
                <w:rFonts w:ascii="Cambria Math" w:hAnsi="Cambria Math"/>
              </w:rPr>
            </m:ctrlPr>
          </m:sub>
        </m:sSub>
      </m:oMath>
      <w:r>
        <w:rPr>
          <w:rFonts w:hint="eastAsia"/>
        </w:rPr>
        <w:t>——</w:t>
      </w:r>
      <w:r>
        <w:rPr>
          <w:rFonts w:cs="Times New Roman"/>
        </w:rPr>
        <w:t>N</w:t>
      </w:r>
      <w:r>
        <w:rPr>
          <w:rFonts w:hint="eastAsia" w:cs="Times New Roman"/>
          <w:vertAlign w:val="subscript"/>
          <w:lang w:val="en-US" w:eastAsia="zh-CN"/>
        </w:rPr>
        <w:t>2</w:t>
      </w:r>
      <w:r>
        <w:rPr>
          <w:rFonts w:cs="Times New Roman"/>
        </w:rPr>
        <w:t>O</w:t>
      </w:r>
      <w:r>
        <w:t>的全球增温潜势，取值为</w:t>
      </w:r>
      <w:r>
        <w:rPr>
          <w:rFonts w:hint="eastAsia"/>
        </w:rPr>
        <w:t>273（</w:t>
      </w:r>
      <w:r>
        <w:t>IPCC 第六次评估报告</w:t>
      </w:r>
      <w:r>
        <w:rPr>
          <w:rFonts w:hint="eastAsia"/>
        </w:rPr>
        <w:t>）；</w:t>
      </w:r>
    </w:p>
    <w:p w14:paraId="53C2B880">
      <w:bookmarkStart w:id="114" w:name="OLE_LINK4"/>
      <w:r>
        <w:rPr>
          <w:rFonts w:hint="eastAsia"/>
        </w:rPr>
        <w:t>10</w:t>
      </w:r>
      <w:r>
        <w:rPr>
          <w:vertAlign w:val="superscript"/>
        </w:rPr>
        <w:t>-3</w:t>
      </w:r>
      <w:bookmarkEnd w:id="114"/>
      <w:r>
        <w:rPr>
          <w:rFonts w:hint="eastAsia"/>
        </w:rPr>
        <w:t>——</w:t>
      </w:r>
      <w:bookmarkStart w:id="115" w:name="OLE_LINK9"/>
      <w:r>
        <w:t>kg转换为t</w:t>
      </w:r>
      <w:r>
        <w:rPr>
          <w:rFonts w:hint="eastAsia"/>
        </w:rPr>
        <w:t>的</w:t>
      </w:r>
      <w:r>
        <w:t>单位换算系数</w:t>
      </w:r>
      <w:bookmarkEnd w:id="115"/>
      <w:r>
        <w:rPr>
          <w:rFonts w:hint="eastAsia"/>
        </w:rPr>
        <w:t>；</w:t>
      </w:r>
    </w:p>
    <w:p w14:paraId="702CF8B0">
      <w:pPr>
        <w:rPr>
          <w:highlight w:val="none"/>
        </w:rPr>
      </w:pPr>
      <w:r>
        <w:rPr>
          <w:rFonts w:hint="eastAsia"/>
          <w:highlight w:val="none"/>
        </w:rPr>
        <w:t>t——自项目开始以来的年数，1，2，3，……，无量纲。</w:t>
      </w:r>
    </w:p>
    <w:bookmarkEnd w:id="111"/>
    <w:p w14:paraId="1DFE5ABA">
      <w:pPr>
        <w:outlineLvl w:val="1"/>
        <w:rPr>
          <w:highlight w:val="none"/>
        </w:rPr>
      </w:pPr>
      <w:bookmarkStart w:id="116" w:name="_Toc24683"/>
      <w:r>
        <w:rPr>
          <w:highlight w:val="none"/>
        </w:rPr>
        <w:t xml:space="preserve">7.4 </w:t>
      </w:r>
      <w:bookmarkEnd w:id="116"/>
      <w:r>
        <w:rPr>
          <w:rFonts w:hint="eastAsia"/>
          <w:highlight w:val="none"/>
        </w:rPr>
        <w:t>项</w:t>
      </w:r>
      <w:r>
        <w:rPr>
          <w:highlight w:val="none"/>
        </w:rPr>
        <w:t>目情景碳汇与排放量核算</w:t>
      </w:r>
    </w:p>
    <w:p w14:paraId="41EB4712">
      <w:r>
        <w:t>项目情景下的温室气体净排放同样需同时考虑项目碳汇和项目温室气体排放两个方面。</w:t>
      </w:r>
    </w:p>
    <w:p w14:paraId="7A124B89">
      <w:pPr>
        <w:outlineLvl w:val="2"/>
      </w:pPr>
      <w:r>
        <w:t>7.4.1 项目碳汇量</w:t>
      </w:r>
    </w:p>
    <w:p w14:paraId="2AE8CA58">
      <w:r>
        <w:t>项目碳汇量是指项目情景下，湿地生态修复工程实施后项目边界内各碳库的碳储量年变化量之和。项目碳汇量按所实施的生态修复工程类型分别核算</w:t>
      </w:r>
      <w:r>
        <w:rPr>
          <w:rFonts w:hint="eastAsia"/>
        </w:rPr>
        <w:t>；</w:t>
      </w:r>
      <w:r>
        <w:t>同一区域实施多类工程时，应遵循不重复核算原则，以工程实际扰动范围叠加分析，同一地块同一碳库仅计一次，不同碳库或不同区域的贡献可叠加。</w:t>
      </w:r>
    </w:p>
    <w:p w14:paraId="3FA76A4F">
      <w:pPr>
        <w:jc w:val="right"/>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ACTUAL,</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w:bookmarkStart w:id="117" w:name="OLE_LINK29"/>
        <m:nary>
          <m:naryPr>
            <m:chr m:val="∑"/>
            <m:limLoc m:val="undOvr"/>
            <m:supHide m:val="1"/>
            <m:ctrlPr>
              <w:rPr>
                <w:rFonts w:ascii="Cambria Math" w:hAnsi="Cambria Math"/>
              </w:rPr>
            </m:ctrlPr>
          </m:naryPr>
          <m:sub>
            <m:r>
              <m:rPr>
                <m:sty m:val="p"/>
              </m:rPr>
              <w:rPr>
                <w:rFonts w:hint="eastAsia" w:ascii="Cambria Math"/>
              </w:rPr>
              <m:t>m</m:t>
            </m:r>
            <m:ctrlPr>
              <w:rPr>
                <w:rFonts w:ascii="Cambria Math" w:hAnsi="Cambria Math"/>
              </w:rPr>
            </m:ctrlPr>
          </m:sub>
          <m:sup>
            <m:ctrlPr>
              <w:rPr>
                <w:rFonts w:ascii="Cambria Math" w:hAnsi="Cambria Math"/>
              </w:rPr>
            </m:ctrlPr>
          </m:sup>
          <m:e>
            <m:r>
              <m:rPr>
                <m:sty m:val="p"/>
              </m:rPr>
              <w:rPr>
                <w:rFonts w:hint="default" w:ascii="Cambria Math" w:hAnsi="Cambria Math"/>
                <w:lang w:eastAsia="zh-CN"/>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ACTUAL,</m:t>
                </m:r>
                <m:r>
                  <m:rPr>
                    <m:sty m:val="p"/>
                  </m:rPr>
                  <w:rPr>
                    <w:rFonts w:hint="eastAsia" w:ascii="Cambria Math"/>
                  </w:rPr>
                  <m:t>m</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ctrlPr>
              <w:rPr>
                <w:rFonts w:ascii="Cambria Math" w:hAnsi="Cambria Math"/>
              </w:rPr>
            </m:ctrlPr>
          </m:e>
        </m:nary>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rPr>
              <m:t>m</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hint="default" w:ascii="Cambria Math" w:hAnsi="Cambria Math"/>
            <w:lang w:eastAsia="zh-CN"/>
          </w:rPr>
          <m:t>)</m:t>
        </m:r>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w:bookmarkEnd w:id="117"/>
            <m:ctrlPr>
              <w:rPr>
                <w:rFonts w:ascii="Cambria Math" w:hAnsi="Cambria Math"/>
              </w:rPr>
            </m:ctrlPr>
          </m:den>
        </m:f>
      </m:oMath>
      <w:r>
        <w:rPr>
          <w:rFonts w:hint="eastAsia" w:hAnsi="Cambria Math"/>
        </w:rPr>
        <w:t xml:space="preserve">             </w:t>
      </w:r>
      <w:r>
        <w:rPr>
          <w:rFonts w:hint="eastAsia" w:hAnsi="Cambria Math"/>
          <w:lang w:eastAsia="zh-CN"/>
        </w:rPr>
        <w:t>(</w:t>
      </w:r>
      <w:r>
        <w:rPr>
          <w:rFonts w:hint="eastAsia" w:hAnsi="Cambria Math"/>
        </w:rPr>
        <w:t>6</w:t>
      </w:r>
      <w:r>
        <w:rPr>
          <w:rFonts w:hint="eastAsia" w:hAnsi="Cambria Math"/>
          <w:lang w:eastAsia="zh-CN"/>
        </w:rPr>
        <w:t>)</w:t>
      </w:r>
    </w:p>
    <w:p w14:paraId="14A63876">
      <w:r>
        <w:t>式中：</w:t>
      </w:r>
    </w:p>
    <w:p w14:paraId="47D0BF96">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ACTUAL,</m:t>
            </m:r>
            <m:r>
              <m:rPr>
                <m:sty m:val="p"/>
              </m:rPr>
              <w:rPr>
                <w:rFonts w:hint="eastAsia" w:ascii="Cambria Math" w:hAnsi="Cambria Math"/>
              </w:rPr>
              <m:t>t</m:t>
            </m:r>
            <m:ctrlPr>
              <w:rPr>
                <w:rFonts w:ascii="Cambria Math" w:hAnsi="Cambria Math"/>
              </w:rPr>
            </m:ctrlPr>
          </m:sub>
        </m:sSub>
      </m:oMath>
      <w:r>
        <w:rPr>
          <w:rFonts w:hint="eastAsia"/>
        </w:rPr>
        <w:t>——</w:t>
      </w:r>
      <w:r>
        <w:t>第t年</w:t>
      </w:r>
      <w:bookmarkStart w:id="118" w:name="OLE_LINK31"/>
      <w:r>
        <w:rPr>
          <w:rFonts w:hint="eastAsia"/>
        </w:rPr>
        <w:t>时</w:t>
      </w:r>
      <w:bookmarkEnd w:id="118"/>
      <w:r>
        <w:rPr>
          <w:rFonts w:hint="eastAsia"/>
        </w:rPr>
        <w:t>的</w:t>
      </w:r>
      <w:r>
        <w:t>项目碳汇量</w:t>
      </w:r>
      <w:r>
        <w:rPr>
          <w:rFonts w:hint="eastAsia"/>
        </w:rPr>
        <w:t>，tCO</w:t>
      </w:r>
      <w:r>
        <w:rPr>
          <w:vertAlign w:val="subscript"/>
        </w:rPr>
        <w:t>2</w:t>
      </w:r>
      <w:r>
        <w:rPr>
          <w:rFonts w:hint="eastAsia"/>
        </w:rPr>
        <w:t>e/a；</w:t>
      </w:r>
    </w:p>
    <w:p w14:paraId="2E52CA97">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ACTUAL,</m:t>
            </m:r>
            <m:r>
              <m:rPr>
                <m:sty m:val="p"/>
              </m:rPr>
              <w:rPr>
                <w:rFonts w:hint="eastAsia" w:ascii="Cambria Math"/>
              </w:rPr>
              <m:t>m</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——第t年时，项目边界内湿地类型m的单位面积碳储量的年变化量，</w:t>
      </w:r>
      <w:r>
        <w:t>t</w:t>
      </w:r>
      <w:r>
        <w:rPr>
          <w:rFonts w:hint="eastAsia"/>
        </w:rPr>
        <w:t>C/（hm</w:t>
      </w:r>
      <w:r>
        <w:rPr>
          <w:rFonts w:hint="eastAsia"/>
          <w:vertAlign w:val="superscript"/>
        </w:rPr>
        <w:t>2</w:t>
      </w:r>
      <w:r>
        <w:rPr>
          <w:rFonts w:hint="eastAsia"/>
        </w:rPr>
        <w:t>·a）；</w:t>
      </w:r>
    </w:p>
    <w:p w14:paraId="3932C851">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rPr>
              <m:t>m</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——第t年时，项目边界内湿地工程类型m的实施面积，hm</w:t>
      </w:r>
      <w:r>
        <w:rPr>
          <w:rFonts w:hint="eastAsia"/>
          <w:vertAlign w:val="superscript"/>
        </w:rPr>
        <w:t>2</w:t>
      </w:r>
      <w:r>
        <w:rPr>
          <w:rFonts w:hint="eastAsia"/>
        </w:rPr>
        <w:t>；</w:t>
      </w:r>
    </w:p>
    <w:p w14:paraId="6C3B8D83">
      <m:oMath>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rPr>
        <w:t>——</w:t>
      </w:r>
      <w:r>
        <w:t>碳（C）转化为二氧化碳（CO</w:t>
      </w:r>
      <w:r>
        <w:rPr>
          <w:rFonts w:hint="eastAsia"/>
          <w:vertAlign w:val="subscript"/>
          <w:lang w:val="en-US" w:eastAsia="zh-CN"/>
        </w:rPr>
        <w:t>2</w:t>
      </w:r>
      <w:r>
        <w:t>）的当量折算固定系数</w:t>
      </w:r>
      <w:r>
        <w:rPr>
          <w:rFonts w:hint="eastAsia"/>
        </w:rPr>
        <w:t>，无量纲；</w:t>
      </w:r>
    </w:p>
    <w:p w14:paraId="43B0BC5F">
      <w:r>
        <w:t>m</w:t>
      </w:r>
      <w:r>
        <w:rPr>
          <w:rFonts w:hint="eastAsia"/>
        </w:rPr>
        <w:t>——工程类型（</w:t>
      </w:r>
      <w:r>
        <w:t>湿地植被重建、退渔还湿、底泥清淤、小微湿地修复等）</w:t>
      </w:r>
      <w:r>
        <w:rPr>
          <w:rFonts w:hint="eastAsia"/>
        </w:rPr>
        <w:t>；</w:t>
      </w:r>
    </w:p>
    <w:p w14:paraId="6E3763FF">
      <w:r>
        <w:rPr>
          <w:rFonts w:hint="eastAsia"/>
        </w:rPr>
        <w:t>t——自项目开始以来的年数，1，2，3，……，无量纲。</w:t>
      </w:r>
    </w:p>
    <w:p w14:paraId="5E042585">
      <w:pPr>
        <w:rPr>
          <w:highlight w:val="none"/>
        </w:rPr>
      </w:pPr>
      <w:r>
        <w:rPr>
          <w:highlight w:val="none"/>
        </w:rPr>
        <w:t>“十三五”至“十四五”期间，</w:t>
      </w:r>
      <w:r>
        <w:rPr>
          <w:rFonts w:hint="eastAsia"/>
          <w:highlight w:val="none"/>
        </w:rPr>
        <w:t>南京</w:t>
      </w:r>
      <w:r>
        <w:rPr>
          <w:highlight w:val="none"/>
        </w:rPr>
        <w:t>市重点实施的湿地生态修复工程</w:t>
      </w:r>
      <w:r>
        <w:rPr>
          <w:rFonts w:hint="eastAsia"/>
          <w:highlight w:val="none"/>
        </w:rPr>
        <w:t>主要包括三种类型</w:t>
      </w:r>
      <w:r>
        <w:rPr>
          <w:rFonts w:hint="eastAsia"/>
          <w:highlight w:val="none"/>
          <w:lang w:eastAsia="zh-CN"/>
        </w:rPr>
        <w:t>（</w:t>
      </w:r>
      <w:r>
        <w:rPr>
          <w:rFonts w:hint="eastAsia"/>
          <w:highlight w:val="none"/>
        </w:rPr>
        <w:t>按照湿地类型进行划分</w:t>
      </w:r>
      <w:r>
        <w:rPr>
          <w:rFonts w:hint="eastAsia"/>
          <w:highlight w:val="none"/>
          <w:lang w:eastAsia="zh-CN"/>
        </w:rPr>
        <w:t>）</w:t>
      </w:r>
      <w:r>
        <w:rPr>
          <w:highlight w:val="none"/>
        </w:rPr>
        <w:t>：</w:t>
      </w:r>
    </w:p>
    <w:p w14:paraId="60205121">
      <w:pPr>
        <w:outlineLvl w:val="3"/>
      </w:pPr>
      <w:r>
        <w:t>7.4.1</w:t>
      </w:r>
      <w:r>
        <w:rPr>
          <w:rFonts w:hint="eastAsia"/>
        </w:rPr>
        <w:t>.1</w:t>
      </w:r>
      <w:r>
        <w:t xml:space="preserve"> </w:t>
      </w:r>
      <w:r>
        <w:rPr>
          <w:rFonts w:hint="eastAsia"/>
        </w:rPr>
        <w:t>湖泊湿地</w:t>
      </w:r>
    </w:p>
    <w:p w14:paraId="3514FECA">
      <w:r>
        <w:rPr>
          <w:rFonts w:hint="eastAsia"/>
        </w:rPr>
        <w:t>（1）</w:t>
      </w:r>
      <w:r>
        <w:t>湿地植被重建与水下森林营造工程</w:t>
      </w:r>
    </w:p>
    <w:p w14:paraId="7ED1DA43">
      <w:r>
        <w:t>工程特征：在湖体或河道浅水区种植沉水植物、挺水植物和浮叶植物，构建以水生植被为主体的生态系统</w:t>
      </w:r>
      <w:r>
        <w:rPr>
          <w:rFonts w:hint="eastAsia"/>
        </w:rPr>
        <w:t>，</w:t>
      </w:r>
      <w:r>
        <w:t>碳汇增加主要来源于植被碳库的积累。</w:t>
      </w:r>
      <w:r>
        <w:rPr>
          <w:rFonts w:hint="eastAsia"/>
        </w:rPr>
        <w:t>适用于石臼湖、固城湖、金牛湖等浅水湖泊的水生植被恢复工程。此类工程碳汇量来源于人工种植的水生植被生长固碳。由于该类工程通常在项目实施后1-2年内便可形成稳定的植被覆盖，碳汇量的计算基于植被年净生物量增量。</w:t>
      </w:r>
    </w:p>
    <w:p w14:paraId="53AF466F">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①</w:t>
      </w:r>
      <w:r>
        <w:fldChar w:fldCharType="end"/>
      </w:r>
      <w:r>
        <w:rPr>
          <w:rFonts w:hint="eastAsia"/>
        </w:rPr>
        <w:t>初种植年核算（工程实施当年）</w:t>
      </w:r>
    </w:p>
    <w:p w14:paraId="062DE12D">
      <w:r>
        <w:t>工程实施当年，碳汇量来源于人工种植的水生植被干物质积累，按实际种植面积和植被年净生物量增量计算：</w:t>
      </w:r>
    </w:p>
    <w:p w14:paraId="6C16C6F8">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r>
          <m:rPr>
            <m:sty m:val="p"/>
          </m:rPr>
          <w:rPr>
            <w:rFonts w:ascii="Cambria Math" w:hAnsi="Cambria Math"/>
          </w:rPr>
          <m:t>=[</m:t>
        </m:r>
        <m:nary>
          <m:naryPr>
            <m:chr m:val="∑"/>
            <m:limLoc m:val="undOvr"/>
            <m:ctrlPr>
              <w:rPr>
                <w:rFonts w:ascii="Cambria Math" w:hAnsi="Cambria Math"/>
              </w:rPr>
            </m:ctrlPr>
          </m:naryPr>
          <m:sub>
            <m:r>
              <m:rPr>
                <m:sty m:val="p"/>
              </m:rPr>
              <w:rPr>
                <w:rFonts w:hint="eastAsia" w:ascii="Cambria Math" w:hAnsi="Cambria Math"/>
              </w:rPr>
              <m:t>k</m:t>
            </m:r>
            <m:r>
              <m:rPr>
                <m:sty m:val="p"/>
              </m:rPr>
              <w:rPr>
                <w:rFonts w:ascii="Cambria Math" w:hAnsi="Cambria Math"/>
              </w:rPr>
              <m:t>=1</m:t>
            </m:r>
            <m:ctrlPr>
              <w:rPr>
                <w:rFonts w:ascii="Cambria Math" w:hAnsi="Cambria Math"/>
              </w:rPr>
            </m:ctrlPr>
          </m:sub>
          <m:sup>
            <m:r>
              <m:rPr>
                <m:sty m:val="p"/>
              </m:rPr>
              <w:rPr>
                <w:rFonts w:hint="eastAsia" w:ascii="Cambria Math" w:hAnsi="Cambria Math"/>
              </w:rPr>
              <m:t>n</m:t>
            </m:r>
            <m:ctrlPr>
              <w:rPr>
                <w:rFonts w:ascii="Cambria Math" w:hAnsi="Cambria Math"/>
              </w:rPr>
            </m:ctrlPr>
          </m:sup>
          <m:e>
            <m:sSub>
              <m:sSubPr>
                <m:ctrlPr>
                  <w:rPr>
                    <w:rFonts w:ascii="Cambria Math" w:hAnsi="Cambria Math"/>
                  </w:rPr>
                </m:ctrlPr>
              </m:sSubPr>
              <m:e>
                <m:r>
                  <m:rPr>
                    <m:sty m:val="p"/>
                  </m:rPr>
                  <w:rPr>
                    <w:rFonts w:hint="eastAsia" w:ascii="Cambria Math" w:hAnsi="Cambria Math"/>
                  </w:rPr>
                  <m:t>（</m:t>
                </m:r>
                <m:r>
                  <m:rPr>
                    <m:sty m:val="p"/>
                  </m:rPr>
                  <w:rPr>
                    <w:rFonts w:ascii="Cambria Math" w:hAnsi="Cambria Math"/>
                  </w:rPr>
                  <m:t>B</m:t>
                </m:r>
                <m:ctrlPr>
                  <w:rPr>
                    <w:rFonts w:ascii="Cambria Math" w:hAnsi="Cambria Math"/>
                  </w:rPr>
                </m:ctrlPr>
              </m:e>
              <m:sub>
                <m:r>
                  <m:rPr>
                    <m:sty m:val="p"/>
                  </m:rPr>
                  <w:rPr>
                    <w:rFonts w:hint="eastAsia" w:ascii="Cambria Math" w:hAnsi="Cambria Math"/>
                  </w:rPr>
                  <m:t>k</m:t>
                </m:r>
                <m:r>
                  <m:rPr>
                    <m:sty m:val="p"/>
                  </m:rPr>
                  <w:rPr>
                    <w:rFonts w:ascii="Cambria Math" w:hAnsi="Cambria Math"/>
                  </w:rPr>
                  <m:t>,</m:t>
                </m:r>
                <m:r>
                  <m:rPr>
                    <m:sty m:val="p"/>
                  </m:rPr>
                  <w:rPr>
                    <w:rFonts w:hint="eastAsia" w:ascii="Cambria Math" w:hAnsi="Cambria Math"/>
                  </w:rPr>
                  <m:t>lake</m:t>
                </m:r>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CF</m:t>
                </m:r>
                <m:ctrlPr>
                  <w:rPr>
                    <w:rFonts w:ascii="Cambria Math" w:hAnsi="Cambria Math"/>
                  </w:rPr>
                </m:ctrlPr>
              </m:e>
              <m:sub>
                <m:r>
                  <m:rPr>
                    <m:sty m:val="p"/>
                  </m:rPr>
                  <w:rPr>
                    <w:rFonts w:hint="eastAsia" w:ascii="Cambria Math" w:hAnsi="Cambria Math"/>
                  </w:rPr>
                  <m:t>k</m:t>
                </m:r>
                <m:ctrlPr>
                  <w:rPr>
                    <w:rFonts w:ascii="Cambria Math" w:hAnsi="Cambria Math"/>
                  </w:rPr>
                </m:ctrlPr>
              </m:sub>
            </m:sSub>
            <m:r>
              <m:rPr>
                <m:sty m:val="p"/>
              </m:rPr>
              <w:rPr>
                <w:rFonts w:hint="eastAsia" w:ascii="Cambria Math" w:hAnsi="Cambria Math"/>
              </w:rPr>
              <m:t>）×</m:t>
            </m:r>
            <m:sSub>
              <w:bookmarkStart w:id="119" w:name="OLE_LINK41"/>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k</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w:bookmarkEnd w:id="119"/>
                    <m:ctrlPr>
                      <w:rPr>
                        <w:rFonts w:ascii="Cambria Math" w:hAnsi="Cambria Math"/>
                      </w:rPr>
                    </m:ctrlPr>
                  </m:sub>
                </m:sSub>
                <m:ctrlPr>
                  <w:rPr>
                    <w:rFonts w:ascii="Cambria Math" w:hAnsi="Cambria Math"/>
                  </w:rPr>
                </m:ctrlPr>
              </m:sub>
            </m:sSub>
            <m:r>
              <m:rPr>
                <m:sty m:val="p"/>
              </m:rPr>
              <w:rPr>
                <w:rFonts w:ascii="Cambria Math" w:hAnsi="Cambria Math"/>
              </w:rPr>
              <m:t>]</m:t>
            </m:r>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ctrlPr>
              <w:rPr>
                <w:rFonts w:ascii="Cambria Math" w:hAnsi="Cambria Math"/>
              </w:rPr>
            </m:ctrlPr>
          </m:e>
        </m:nary>
      </m:oMath>
      <w:r>
        <w:rPr>
          <w:rFonts w:hint="eastAsia" w:hAnsi="Cambria Math"/>
        </w:rPr>
        <w:t xml:space="preserve">   （7）</w:t>
      </w:r>
      <w:r>
        <w:t>式中：</w:t>
      </w:r>
    </w:p>
    <w:p w14:paraId="40DC0617">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oMath>
      <w:r>
        <w:rPr>
          <w:rFonts w:hint="eastAsia"/>
        </w:rPr>
        <w:t>——</w:t>
      </w:r>
      <w:r>
        <w:t>第</w:t>
      </w:r>
      <w:r>
        <w:rPr>
          <w:rFonts w:hint="eastAsia"/>
        </w:rPr>
        <w:t>t</w:t>
      </w:r>
      <w:r>
        <w:rPr>
          <w:vertAlign w:val="subscript"/>
        </w:rPr>
        <w:t>1</w:t>
      </w:r>
      <w:r>
        <w:t>年（工程实施当年）</w:t>
      </w:r>
      <w:r>
        <w:rPr>
          <w:rFonts w:hint="eastAsia"/>
        </w:rPr>
        <w:t>湖泊湿地水生</w:t>
      </w:r>
      <w:r>
        <w:t>植被重建工程产生的碳汇量，t</w:t>
      </w:r>
      <w:r>
        <w:rPr>
          <w:rFonts w:hint="eastAsia"/>
          <w:highlight w:val="none"/>
          <w:lang w:eastAsia="zh-CN"/>
        </w:rPr>
        <w:t>CO</w:t>
      </w:r>
      <w:r>
        <w:rPr>
          <w:rFonts w:hint="eastAsia"/>
          <w:highlight w:val="none"/>
          <w:vertAlign w:val="subscript"/>
          <w:lang w:eastAsia="zh-CN"/>
        </w:rPr>
        <w:t>2e</w:t>
      </w:r>
      <w:r>
        <w:t>/a</w:t>
      </w:r>
      <w:r>
        <w:rPr>
          <w:rFonts w:hint="eastAsia"/>
        </w:rPr>
        <w:t>；</w:t>
      </w:r>
    </w:p>
    <w:p w14:paraId="53E26CB5">
      <m:oMath>
        <m:sSub>
          <m:sSubPr>
            <m:ctrlPr>
              <w:rPr>
                <w:rFonts w:ascii="Cambria Math" w:hAnsi="Cambria Math"/>
              </w:rPr>
            </m:ctrlPr>
          </m:sSubPr>
          <m:e>
            <m:r>
              <m:rPr>
                <m:sty m:val="p"/>
              </m:rPr>
              <w:rPr>
                <w:rFonts w:ascii="Cambria Math" w:hAnsi="Cambria Math"/>
              </w:rPr>
              <m:t>B</m:t>
            </m:r>
            <m:ctrlPr>
              <w:rPr>
                <w:rFonts w:ascii="Cambria Math" w:hAnsi="Cambria Math"/>
              </w:rPr>
            </m:ctrlPr>
          </m:e>
          <m:sub>
            <m:r>
              <m:rPr>
                <m:sty m:val="p"/>
              </m:rPr>
              <w:rPr>
                <w:rFonts w:hint="eastAsia" w:ascii="Cambria Math" w:hAnsi="Cambria Math"/>
              </w:rPr>
              <m:t>k</m:t>
            </m:r>
            <m:r>
              <m:rPr>
                <m:sty m:val="p"/>
              </m:rPr>
              <w:rPr>
                <w:rFonts w:ascii="Cambria Math" w:hAnsi="Cambria Math"/>
              </w:rPr>
              <m:t>,</m:t>
            </m:r>
            <m:r>
              <m:rPr>
                <m:sty m:val="p"/>
              </m:rPr>
              <w:rPr>
                <w:rFonts w:hint="eastAsia" w:ascii="Cambria Math" w:hAnsi="Cambria Math"/>
              </w:rPr>
              <m:t>lake</m:t>
            </m:r>
            <m:ctrlPr>
              <w:rPr>
                <w:rFonts w:ascii="Cambria Math" w:hAnsi="Cambria Math"/>
              </w:rPr>
            </m:ctrlPr>
          </m:sub>
        </m:sSub>
      </m:oMath>
      <w:r>
        <w:rPr>
          <w:rFonts w:hint="eastAsia"/>
        </w:rPr>
        <w:t>——湖泊湿地</w:t>
      </w:r>
      <w:r>
        <w:t>第k类水生植物单位面积年净生物量增量</w:t>
      </w:r>
      <w:r>
        <w:rPr>
          <w:rFonts w:hint="eastAsia"/>
        </w:rPr>
        <w:t>，t.</w:t>
      </w:r>
      <w:r>
        <w:t>d.m/</w:t>
      </w:r>
      <w:r>
        <w:rPr>
          <w:rFonts w:hint="eastAsia"/>
        </w:rPr>
        <w:t>（</w:t>
      </w:r>
      <w:r>
        <w:t>hm²·a</w:t>
      </w:r>
      <w:r>
        <w:rPr>
          <w:rFonts w:hint="eastAsia"/>
        </w:rPr>
        <w:t>）；</w:t>
      </w:r>
    </w:p>
    <w:p w14:paraId="3071391E">
      <m:oMath>
        <m:sSub>
          <m:sSubPr>
            <m:ctrlPr>
              <w:rPr>
                <w:rFonts w:ascii="Cambria Math" w:hAnsi="Cambria Math"/>
              </w:rPr>
            </m:ctrlPr>
          </m:sSubPr>
          <m:e>
            <m:r>
              <m:rPr>
                <m:sty m:val="p"/>
              </m:rPr>
              <w:rPr>
                <w:rFonts w:ascii="Cambria Math" w:hAnsi="Cambria Math"/>
              </w:rPr>
              <m:t>CF</m:t>
            </m:r>
            <m:ctrlPr>
              <w:rPr>
                <w:rFonts w:ascii="Cambria Math" w:hAnsi="Cambria Math"/>
              </w:rPr>
            </m:ctrlPr>
          </m:e>
          <m:sub>
            <m:r>
              <m:rPr>
                <m:sty m:val="p"/>
              </m:rPr>
              <w:rPr>
                <w:rFonts w:hint="eastAsia" w:ascii="Cambria Math" w:hAnsi="Cambria Math"/>
              </w:rPr>
              <m:t>k</m:t>
            </m:r>
            <m:ctrlPr>
              <w:rPr>
                <w:rFonts w:ascii="Cambria Math" w:hAnsi="Cambria Math"/>
              </w:rPr>
            </m:ctrlPr>
          </m:sub>
        </m:sSub>
      </m:oMath>
      <w:r>
        <w:rPr>
          <w:rFonts w:hint="eastAsia"/>
        </w:rPr>
        <w:t>——</w:t>
      </w:r>
      <w:r>
        <w:t>第k类水生植物</w:t>
      </w:r>
      <w:r>
        <w:rPr>
          <w:rFonts w:hint="eastAsia"/>
        </w:rPr>
        <w:t>生物量</w:t>
      </w:r>
      <w:r>
        <w:t>含碳率，无量纲</w:t>
      </w:r>
      <w:r>
        <w:rPr>
          <w:rFonts w:hint="eastAsia"/>
        </w:rPr>
        <w:t>；</w:t>
      </w:r>
    </w:p>
    <w:p w14:paraId="02A8F3D1">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k</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oMath>
      <w:r>
        <w:rPr>
          <w:rFonts w:hint="eastAsia"/>
        </w:rPr>
        <w:t>——</w:t>
      </w:r>
      <w:r>
        <w:t>第</w:t>
      </w:r>
      <w:r>
        <w:rPr>
          <w:rFonts w:hint="eastAsia"/>
        </w:rPr>
        <w:t>t</w:t>
      </w:r>
      <w:r>
        <w:rPr>
          <w:vertAlign w:val="subscript"/>
        </w:rPr>
        <w:t>1</w:t>
      </w:r>
      <w:r>
        <w:t>年第k类水生植物</w:t>
      </w:r>
      <w:r>
        <w:rPr>
          <w:rFonts w:hint="eastAsia"/>
        </w:rPr>
        <w:t>实际种植面积，hm</w:t>
      </w:r>
      <w:r>
        <w:rPr>
          <w:rFonts w:hint="eastAsia"/>
          <w:vertAlign w:val="superscript"/>
        </w:rPr>
        <w:t>2</w:t>
      </w:r>
      <w:r>
        <w:rPr>
          <w:rFonts w:hint="eastAsia"/>
        </w:rPr>
        <w:t>；</w:t>
      </w:r>
    </w:p>
    <w:p w14:paraId="269E4A15">
      <w:r>
        <w:t>k</w:t>
      </w:r>
      <w:r>
        <w:rPr>
          <w:rFonts w:hint="eastAsia"/>
        </w:rPr>
        <w:t>——</w:t>
      </w:r>
      <w:r>
        <w:t>水生植物类型（挺水植物、浮叶植物、沉水植物）</w:t>
      </w:r>
      <w:r>
        <w:rPr>
          <w:rFonts w:hint="eastAsia"/>
        </w:rPr>
        <w:t>，k=1，2，3，……；</w:t>
      </w:r>
    </w:p>
    <w:p w14:paraId="218CC11A">
      <w:r>
        <w:rPr>
          <w:rFonts w:hint="eastAsia"/>
        </w:rPr>
        <w:t>n——</w:t>
      </w:r>
      <w:r>
        <w:t>水生植物</w:t>
      </w:r>
      <w:r>
        <w:rPr>
          <w:rFonts w:hint="eastAsia"/>
        </w:rPr>
        <w:t>物种数量，n=1，2，3，……。</w:t>
      </w:r>
    </w:p>
    <w:p w14:paraId="2FD8D923">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②</w:t>
      </w:r>
      <w:r>
        <w:fldChar w:fldCharType="end"/>
      </w:r>
      <w:r>
        <w:t>植被稳定期核算（工程实施后次年起）</w:t>
      </w:r>
    </w:p>
    <w:p w14:paraId="2D0EF3A0">
      <w:bookmarkStart w:id="120" w:name="OLE_LINK76"/>
      <w:r>
        <w:t>工程实施次年起，植被进入稳定生长状态，碳汇量按项目边界</w:t>
      </w:r>
      <w:r>
        <w:rPr>
          <w:rFonts w:hint="eastAsia"/>
          <w:lang w:eastAsia="zh-CN"/>
        </w:rPr>
        <w:t>内</w:t>
      </w:r>
      <w:r>
        <w:t>相邻监测周期植被碳储量的差值计算：</w:t>
      </w:r>
    </w:p>
    <w:p w14:paraId="31A507C9">
      <w:pPr>
        <w:jc w:val="right"/>
      </w:pPr>
      <m:oMath>
        <m:sSub>
          <w:bookmarkStart w:id="121" w:name="OLE_LINK79"/>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m:t>
            </m:r>
            <w:bookmarkStart w:id="122" w:name="OLE_LINK83"/>
            <m:r>
              <m:rPr>
                <m:sty m:val="p"/>
              </m:rPr>
              <w:rPr>
                <w:rFonts w:hint="eastAsia" w:ascii="Cambria Math" w:hAnsi="Cambria Math"/>
              </w:rPr>
              <m:t>ake</m:t>
            </m:r>
            <m:r>
              <m:rPr>
                <m:sty m:val="p"/>
              </m:rPr>
              <w:rPr>
                <w:rFonts w:ascii="Cambria Math" w:hAnsi="Cambria Math"/>
              </w:rPr>
              <m:t>−</m:t>
            </m:r>
            <m:r>
              <m:rPr>
                <m:sty m:val="p"/>
              </m:rPr>
              <w:rPr>
                <w:rFonts w:hint="eastAsia" w:ascii="Cambria Math" w:hAnsi="Cambria Math"/>
              </w:rPr>
              <m:t>veg</m:t>
            </m:r>
            <m:r>
              <m:rPr>
                <m:sty m:val="p"/>
              </m:rPr>
              <w:rPr>
                <w:rFonts w:ascii="Cambria Math" w:hAnsi="Cambria Math"/>
              </w:rPr>
              <m:t>,</m:t>
            </m:r>
            <w:bookmarkEnd w:id="122"/>
            <m:r>
              <m:rPr>
                <m:sty m:val="p"/>
              </m:rPr>
              <w:rPr>
                <w:rFonts w:hint="eastAsia" w:ascii="Cambria Math" w:hAnsi="Cambria Math"/>
              </w:rPr>
              <m:t>plant</m:t>
            </m:r>
            <m:r>
              <m:rPr>
                <m:sty m:val="p"/>
              </m:rPr>
              <w:rPr>
                <w:rFonts w:ascii="Cambria Math" w:hAnsi="Cambria Math"/>
              </w:rPr>
              <m:t>,Δ</m:t>
            </m:r>
            <m:r>
              <m:rPr>
                <m:sty m:val="p"/>
              </m:rPr>
              <w:rPr>
                <w:rFonts w:hint="eastAsia" w:ascii="Cambria Math" w:hAnsi="Cambria Math"/>
              </w:rPr>
              <m:t>t</m:t>
            </m:r>
            <w:bookmarkEnd w:id="121"/>
            <m:ctrlPr>
              <w:rPr>
                <w:rFonts w:ascii="Cambria Math" w:hAnsi="Cambria Math"/>
              </w:rPr>
            </m:ctrlPr>
          </m:sub>
        </m:sSub>
        <m:r>
          <m:rPr>
            <m:sty m:val="p"/>
          </m:rPr>
          <w:rPr>
            <w:rFonts w:ascii="Cambria Math" w:hAnsi="Cambria Math"/>
          </w:rPr>
          <m:t>=</m:t>
        </m:r>
        <w:bookmarkStart w:id="123" w:name="OLE_LINK78"/>
        <m:f>
          <m:fPr>
            <m:ctrlPr>
              <w:rPr>
                <w:rFonts w:ascii="Cambria Math" w:hAnsi="Cambria Math"/>
              </w:rPr>
            </m:ctrlPr>
          </m:fPr>
          <m:num>
            <m:sSub>
              <m:sSubPr>
                <m:ctrlPr>
                  <w:rPr>
                    <w:rFonts w:ascii="Cambria Math" w:hAnsi="Cambria Math"/>
                  </w:rPr>
                </m:ctrlPr>
              </m:sSubPr>
              <m:e>
                <m:r>
                  <m:rPr>
                    <m:sty m:val="p"/>
                  </m:rPr>
                  <w:rPr>
                    <w:rFonts w:ascii="Cambria Math" w:hAnsi="Cambria Math"/>
                  </w:rPr>
                  <m:t>C</m:t>
                </m:r>
                <w:bookmarkEnd w:id="123"/>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2</m:t>
                    </m:r>
                    <m:ctrlPr>
                      <w:rPr>
                        <w:rFonts w:ascii="Cambria Math" w:hAnsi="Cambria Math"/>
                      </w:rPr>
                    </m:ctrlPr>
                  </m:sub>
                </m:sSub>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C</m:t>
                </m:r>
                <m:ctrlPr>
                  <w:rPr>
                    <w:rFonts w:ascii="Cambria Math" w:hAnsi="Cambria Math"/>
                  </w:rPr>
                </m:ctrlPr>
              </m:e>
              <m:sub>
                <m:r>
                  <m:rPr>
                    <m:sty m:val="p"/>
                  </m:rPr>
                  <w:rPr>
                    <w:rFonts w:hint="eastAsia" w:ascii="Cambria Math" w:hAnsi="Cambria Math"/>
                  </w:rPr>
                  <m:t>l</m:t>
                </m:r>
                <m:r>
                  <m:rPr>
                    <m:sty m:val="p"/>
                  </m:rPr>
                  <w:rPr>
                    <w:rFonts w:ascii="Cambria Math" w:hAnsi="Cambria Math"/>
                  </w:rPr>
                  <m:t>ake−veg,</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ctrlPr>
              <w:rPr>
                <w:rFonts w:ascii="Cambria Math" w:hAnsi="Cambria Math"/>
              </w:rPr>
            </m:ctrlPr>
          </m:num>
          <m:den>
            <m:r>
              <m:rPr>
                <m:sty m:val="p"/>
              </m:rPr>
              <w:rPr>
                <w:rFonts w:ascii="Cambria Math" w:hAnsi="Cambria Math"/>
              </w:rPr>
              <m:t>Δ</m:t>
            </m:r>
            <m:r>
              <m:rPr>
                <m:sty m:val="p"/>
              </m:rPr>
              <w:rPr>
                <w:rFonts w:hint="eastAsia" w:ascii="Cambria Math" w:hAnsi="Cambria Math"/>
              </w:rPr>
              <m:t>t</m:t>
            </m:r>
            <m:ctrlPr>
              <w:rPr>
                <w:rFonts w:ascii="Cambria Math" w:hAnsi="Cambria Math"/>
              </w:rPr>
            </m:ctrlPr>
          </m:den>
        </m:f>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hAnsi="Cambria Math"/>
        </w:rPr>
        <w:t xml:space="preserve">          </w:t>
      </w:r>
      <w:r>
        <w:rPr>
          <w:rFonts w:hint="eastAsia" w:hAnsi="Cambria Math"/>
          <w:lang w:eastAsia="zh-CN"/>
        </w:rPr>
        <w:t>(</w:t>
      </w:r>
      <w:r>
        <w:rPr>
          <w:rFonts w:hint="eastAsia" w:hAnsi="Cambria Math"/>
        </w:rPr>
        <w:t>8）</w:t>
      </w:r>
    </w:p>
    <w:p w14:paraId="23286883">
      <w:r>
        <w:t>式中：</w:t>
      </w:r>
    </w:p>
    <w:p w14:paraId="603E2FCC">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,Δ</m:t>
            </m:r>
            <m:r>
              <m:rPr>
                <m:sty m:val="p"/>
              </m:rPr>
              <w:rPr>
                <w:rFonts w:hint="eastAsia" w:ascii="Cambria Math" w:hAnsi="Cambria Math"/>
              </w:rPr>
              <m:t>t</m:t>
            </m:r>
            <m:ctrlPr>
              <w:rPr>
                <w:rFonts w:ascii="Cambria Math" w:hAnsi="Cambria Math"/>
              </w:rPr>
            </m:ctrlPr>
          </m:sub>
        </m:sSub>
      </m:oMath>
      <w:r>
        <w:rPr>
          <w:rFonts w:hint="eastAsia"/>
        </w:rPr>
        <w:t>——</w:t>
      </w:r>
      <w:r>
        <w:t>植被稳定期年碳汇量，t</w:t>
      </w:r>
      <w:r>
        <w:rPr>
          <w:rFonts w:hint="eastAsia"/>
          <w:highlight w:val="none"/>
          <w:lang w:eastAsia="zh-CN"/>
        </w:rPr>
        <w:t>CO</w:t>
      </w:r>
      <w:r>
        <w:rPr>
          <w:rFonts w:hint="eastAsia"/>
          <w:highlight w:val="none"/>
          <w:vertAlign w:val="subscript"/>
          <w:lang w:eastAsia="zh-CN"/>
        </w:rPr>
        <w:t>2e</w:t>
      </w:r>
      <w:r>
        <w:t>/a</w:t>
      </w:r>
      <w:r>
        <w:rPr>
          <w:rFonts w:hint="eastAsia"/>
        </w:rPr>
        <w:t>；</w:t>
      </w:r>
    </w:p>
    <w:p w14:paraId="4CBC8684">
      <m:oMath>
        <m:sSub>
          <m:sSubPr>
            <m:ctrlPr>
              <w:rPr>
                <w:rFonts w:ascii="Cambria Math" w:hAnsi="Cambria Math"/>
              </w:rPr>
            </m:ctrlPr>
          </m:sSubPr>
          <m:e>
            <m:r>
              <m:rPr>
                <m:sty m:val="p"/>
              </m:rPr>
              <w:rPr>
                <w:rFonts w:ascii="Cambria Math" w:hAnsi="Cambria Math"/>
              </w:rPr>
              <m:t>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2</m:t>
                </m:r>
                <m:ctrlPr>
                  <w:rPr>
                    <w:rFonts w:ascii="Cambria Math" w:hAnsi="Cambria Math"/>
                  </w:rPr>
                </m:ctrlPr>
              </m:sub>
            </m:sSub>
            <m:ctrlPr>
              <w:rPr>
                <w:rFonts w:ascii="Cambria Math" w:hAnsi="Cambria Math"/>
              </w:rPr>
            </m:ctrlPr>
          </m:sub>
        </m:sSub>
      </m:oMath>
      <w:r>
        <w:rPr>
          <w:rFonts w:hint="eastAsia"/>
        </w:rPr>
        <w:t>、</w:t>
      </w:r>
      <m:oMath>
        <m:sSub>
          <w:bookmarkStart w:id="124" w:name="OLE_LINK80"/>
          <m:sSubPr>
            <m:ctrlPr>
              <w:rPr>
                <w:rFonts w:ascii="Cambria Math" w:hAnsi="Cambria Math"/>
              </w:rPr>
            </m:ctrlPr>
          </m:sSubPr>
          <m:e>
            <m:r>
              <m:rPr>
                <m:sty m:val="p"/>
              </m:rPr>
              <w:rPr>
                <w:rFonts w:ascii="Cambria Math" w:hAnsi="Cambria Math"/>
              </w:rPr>
              <m:t>C</m:t>
            </m:r>
            <m:ctrlPr>
              <w:rPr>
                <w:rFonts w:ascii="Cambria Math" w:hAnsi="Cambria Math"/>
              </w:rPr>
            </m:ctrlPr>
          </m:e>
          <m:sub>
            <m:r>
              <m:rPr>
                <m:sty m:val="p"/>
              </m:rPr>
              <w:rPr>
                <w:rFonts w:hint="eastAsia" w:ascii="Cambria Math" w:hAnsi="Cambria Math"/>
              </w:rPr>
              <m:t>l</m:t>
            </m:r>
            <m:r>
              <m:rPr>
                <m:sty m:val="p"/>
              </m:rPr>
              <w:rPr>
                <w:rFonts w:ascii="Cambria Math" w:hAnsi="Cambria Math"/>
              </w:rPr>
              <m:t>ake−veg,</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oMath>
      <w:r>
        <w:rPr>
          <w:rFonts w:hint="eastAsia"/>
        </w:rPr>
        <w:t>——监测末期</w:t>
      </w:r>
      <w:r>
        <w:t>、</w:t>
      </w:r>
      <w:r>
        <w:rPr>
          <w:rFonts w:hint="eastAsia"/>
        </w:rPr>
        <w:t>初期</w:t>
      </w:r>
      <w:r>
        <w:t>湖泊湿地植被</w:t>
      </w:r>
      <w:r>
        <w:rPr>
          <w:rFonts w:hint="eastAsia"/>
        </w:rPr>
        <w:t>总</w:t>
      </w:r>
      <w:r>
        <w:t>碳储量，tC</w:t>
      </w:r>
      <w:bookmarkEnd w:id="124"/>
      <w:r>
        <w:rPr>
          <w:rFonts w:hint="eastAsia"/>
        </w:rPr>
        <w:t>；</w:t>
      </w:r>
    </w:p>
    <w:p w14:paraId="778154E2">
      <m:oMath>
        <m:r>
          <m:rPr>
            <m:sty m:val="p"/>
          </m:rPr>
          <w:rPr>
            <w:rFonts w:ascii="Cambria Math" w:hAnsi="Cambria Math"/>
          </w:rPr>
          <m:t>Δ</m:t>
        </m:r>
        <m:r>
          <m:rPr>
            <m:sty m:val="p"/>
          </m:rPr>
          <w:rPr>
            <w:rFonts w:hint="eastAsia" w:ascii="Cambria Math" w:hAnsi="Cambria Math"/>
          </w:rPr>
          <m:t>t</m:t>
        </m:r>
      </m:oMath>
      <w:r>
        <w:rPr>
          <w:rFonts w:hint="eastAsia"/>
        </w:rPr>
        <w:t>——</w:t>
      </w:r>
      <w:r>
        <w:t>核算时间间隔，a</w:t>
      </w:r>
      <w:r>
        <w:rPr>
          <w:rFonts w:hint="eastAsia"/>
        </w:rPr>
        <w:t>。</w:t>
      </w:r>
    </w:p>
    <w:p w14:paraId="08747CF5">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outlineLvl w:val="9"/>
      </w:pPr>
      <w:bookmarkStart w:id="125" w:name="OLE_LINK85"/>
      <w:r>
        <w:rPr>
          <w:rFonts w:ascii="Times New Roman" w:hAnsi="Times New Roman" w:eastAsiaTheme="minorEastAsia" w:cstheme="minorBidi"/>
          <w:color w:val="000000" w:themeColor="text1"/>
          <w:kern w:val="2"/>
          <w:sz w:val="28"/>
          <w:szCs w:val="22"/>
          <w:lang w:val="en-US" w:eastAsia="zh-CN" w:bidi="ar-SA"/>
          <w14:textFill>
            <w14:solidFill>
              <w14:schemeClr w14:val="tx1"/>
            </w14:solidFill>
          </w14:textFill>
        </w:rPr>
        <w:t>（</w:t>
      </w:r>
      <w:r>
        <w:rPr>
          <w:rFonts w:hint="eastAsia" w:cstheme="minorBidi"/>
          <w:color w:val="000000" w:themeColor="text1"/>
          <w:kern w:val="2"/>
          <w:sz w:val="28"/>
          <w:szCs w:val="22"/>
          <w:lang w:val="en-US" w:eastAsia="zh-CN" w:bidi="ar-SA"/>
          <w14:textFill>
            <w14:solidFill>
              <w14:schemeClr w14:val="tx1"/>
            </w14:solidFill>
          </w14:textFill>
        </w:rPr>
        <w:t>2</w:t>
      </w:r>
      <w:r>
        <w:rPr>
          <w:rFonts w:ascii="Times New Roman" w:hAnsi="Times New Roman" w:eastAsiaTheme="minorEastAsia" w:cstheme="minorBidi"/>
          <w:color w:val="000000" w:themeColor="text1"/>
          <w:kern w:val="2"/>
          <w:sz w:val="28"/>
          <w:szCs w:val="22"/>
          <w:lang w:val="en-US" w:eastAsia="zh-CN" w:bidi="ar-SA"/>
          <w14:textFill>
            <w14:solidFill>
              <w14:schemeClr w14:val="tx1"/>
            </w14:solidFill>
          </w14:textFill>
        </w:rPr>
        <w:t>）</w:t>
      </w:r>
      <w:r>
        <w:t>退渔（耕）还湿与生境改造工程</w:t>
      </w:r>
    </w:p>
    <w:p w14:paraId="3BB84C3F">
      <w:pPr>
        <w:keepNext w:val="0"/>
        <w:keepLines w:val="0"/>
        <w:pageBreakBefore w:val="0"/>
        <w:widowControl w:val="0"/>
        <w:kinsoku/>
        <w:wordWrap/>
        <w:overflowPunct/>
        <w:topLinePunct w:val="0"/>
        <w:autoSpaceDE/>
        <w:autoSpaceDN/>
        <w:bidi w:val="0"/>
        <w:adjustRightInd/>
        <w:snapToGrid/>
        <w:jc w:val="both"/>
        <w:textAlignment w:val="auto"/>
        <w:outlineLvl w:val="9"/>
      </w:pPr>
      <w:r>
        <w:t>工程特征：将废弃鱼塘、养殖塘或低洼耕地改造为自然湿地，通过地形重塑、水系连通、底质改良和植被恢复等措施，恢复湿地生态功能。适用于石臼湖沿岸、固城湖湾等区域的退渔还湖工程。</w:t>
      </w:r>
    </w:p>
    <w:p w14:paraId="347AF440">
      <w:pPr>
        <w:keepNext w:val="0"/>
        <w:keepLines w:val="0"/>
        <w:pageBreakBefore w:val="0"/>
        <w:widowControl w:val="0"/>
        <w:kinsoku/>
        <w:wordWrap/>
        <w:overflowPunct/>
        <w:topLinePunct w:val="0"/>
        <w:autoSpaceDE/>
        <w:autoSpaceDN/>
        <w:bidi w:val="0"/>
        <w:adjustRightInd/>
        <w:snapToGrid/>
        <w:ind w:left="7560" w:hanging="7560" w:hangingChars="2700"/>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conversion</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−DOC,</m:t>
            </m:r>
            <m:r>
              <m:rPr>
                <m:sty m:val="p"/>
              </m:rPr>
              <w:rPr>
                <w:rFonts w:hint="eastAsia" w:ascii="Cambria Math" w:hAnsi="Cambria Math"/>
              </w:rPr>
              <m:t>t</m:t>
            </m:r>
            <m:ctrlPr>
              <w:rPr>
                <w:rFonts w:ascii="Cambria Math" w:hAnsi="Cambria Math"/>
              </w:rPr>
            </m:ctrlPr>
          </m:sub>
        </m:sSub>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hAnsi="Cambria Math"/>
        </w:rPr>
        <w:t xml:space="preserve"> </w:t>
      </w:r>
      <w:r>
        <w:rPr>
          <w:rFonts w:hint="eastAsia" w:hAnsi="Cambria Math"/>
          <w:lang w:eastAsia="zh-CN"/>
        </w:rPr>
        <w:t>(</w:t>
      </w:r>
      <w:r>
        <w:rPr>
          <w:rFonts w:hint="eastAsia" w:hAnsi="Cambria Math"/>
        </w:rPr>
        <w:t>9</w:t>
      </w:r>
      <w:r>
        <w:rPr>
          <w:rFonts w:hint="eastAsia" w:hAnsi="Cambria Math"/>
          <w:lang w:eastAsia="zh-CN"/>
        </w:rPr>
        <w:t>)</w:t>
      </w:r>
    </w:p>
    <w:p w14:paraId="0E605CCC">
      <w:pPr>
        <w:keepNext w:val="0"/>
        <w:keepLines w:val="0"/>
        <w:pageBreakBefore w:val="0"/>
        <w:widowControl w:val="0"/>
        <w:kinsoku/>
        <w:wordWrap/>
        <w:overflowPunct/>
        <w:topLinePunct w:val="0"/>
        <w:autoSpaceDE/>
        <w:autoSpaceDN/>
        <w:bidi w:val="0"/>
        <w:adjustRightInd/>
        <w:snapToGrid/>
        <w:jc w:val="both"/>
        <w:textAlignment w:val="auto"/>
        <w:outlineLvl w:val="9"/>
      </w:pPr>
      <w:r>
        <w:t>式中：</w:t>
      </w:r>
    </w:p>
    <w:p w14:paraId="33713099">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conversion</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第t年退渔（耕）还湿与生境改造工程产生的碳汇量</w:t>
      </w:r>
      <w:r>
        <w:rPr>
          <w:rFonts w:hint="eastAsia"/>
        </w:rPr>
        <w:t>，tCO</w:t>
      </w:r>
      <w:r>
        <w:rPr>
          <w:vertAlign w:val="subscript"/>
        </w:rPr>
        <w:t>2</w:t>
      </w:r>
      <w:r>
        <w:rPr>
          <w:rFonts w:hint="eastAsia"/>
        </w:rPr>
        <w:t>e/a；</w:t>
      </w:r>
    </w:p>
    <w:p w14:paraId="4CFEEF69">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第t年项目情景下</w:t>
      </w:r>
      <w:r>
        <w:rPr>
          <w:rFonts w:hint="eastAsia"/>
        </w:rPr>
        <w:t>湖泊湿地</w:t>
      </w:r>
      <w:r>
        <w:t>植物碳储量年变化量</w:t>
      </w:r>
      <w:r>
        <w:rPr>
          <w:rFonts w:hint="eastAsia"/>
        </w:rPr>
        <w:t>，tC/a；</w:t>
      </w:r>
    </w:p>
    <w:p w14:paraId="39A830F5">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第t年项目情景下</w:t>
      </w:r>
      <w:r>
        <w:rPr>
          <w:rFonts w:hint="eastAsia"/>
        </w:rPr>
        <w:t>湖泊湿地</w:t>
      </w:r>
      <w:r>
        <w:t>土壤（底泥）</w:t>
      </w:r>
      <w:r>
        <w:rPr>
          <w:rFonts w:hint="eastAsia"/>
        </w:rPr>
        <w:t>有机</w:t>
      </w:r>
      <w:r>
        <w:t>碳储量年变化量</w:t>
      </w:r>
      <w:r>
        <w:rPr>
          <w:rFonts w:hint="eastAsia"/>
        </w:rPr>
        <w:t>，tC/a；</w:t>
      </w:r>
    </w:p>
    <w:p w14:paraId="18DAF574">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−DOC,</m:t>
            </m:r>
            <m:r>
              <m:rPr>
                <m:sty m:val="p"/>
              </m:rPr>
              <w:rPr>
                <w:rFonts w:hint="eastAsia" w:ascii="Cambria Math" w:hAnsi="Cambria Math"/>
              </w:rPr>
              <m:t>t</m:t>
            </m:r>
            <m:ctrlPr>
              <w:rPr>
                <w:rFonts w:ascii="Cambria Math" w:hAnsi="Cambria Math"/>
              </w:rPr>
            </m:ctrlPr>
          </m:sub>
        </m:sSub>
      </m:oMath>
      <w:r>
        <w:rPr>
          <w:rFonts w:hint="eastAsia"/>
        </w:rPr>
        <w:t>——</w:t>
      </w:r>
      <w:r>
        <w:t>第t年项目情景下</w:t>
      </w:r>
      <w:r>
        <w:rPr>
          <w:rFonts w:hint="eastAsia"/>
        </w:rPr>
        <w:t>湖泊湿地水体溶解有机碳储量</w:t>
      </w:r>
      <w:r>
        <w:t>年变化量</w:t>
      </w:r>
      <w:r>
        <w:rPr>
          <w:rFonts w:hint="eastAsia"/>
        </w:rPr>
        <w:t>，tC/a；</w:t>
      </w:r>
    </w:p>
    <w:p w14:paraId="4E87FC7E">
      <w:pPr>
        <w:keepNext w:val="0"/>
        <w:keepLines w:val="0"/>
        <w:pageBreakBefore w:val="0"/>
        <w:widowControl w:val="0"/>
        <w:kinsoku/>
        <w:wordWrap/>
        <w:overflowPunct/>
        <w:topLinePunct w:val="0"/>
        <w:autoSpaceDE/>
        <w:autoSpaceDN/>
        <w:bidi w:val="0"/>
        <w:adjustRightInd/>
        <w:snapToGrid/>
        <w:jc w:val="both"/>
        <w:textAlignment w:val="auto"/>
        <w:outlineLvl w:val="9"/>
      </w:pPr>
      <m:oMath>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rPr>
        <w:t>——</w:t>
      </w:r>
      <w:r>
        <w:t>碳（C）转化为二氧化碳（</w:t>
      </w:r>
      <w:r>
        <w:rPr>
          <w:rFonts w:cs="Times New Roman"/>
        </w:rPr>
        <w:t>CO</w:t>
      </w:r>
      <w:r>
        <w:rPr>
          <w:rFonts w:hint="eastAsia" w:cs="Times New Roman"/>
          <w:vertAlign w:val="subscript"/>
          <w:lang w:val="en-US" w:eastAsia="zh-CN"/>
        </w:rPr>
        <w:t>2</w:t>
      </w:r>
      <w:r>
        <w:t>）的当量折算固定系数</w:t>
      </w:r>
      <w:r>
        <w:rPr>
          <w:rFonts w:hint="eastAsia"/>
        </w:rPr>
        <w:t>，无量纲；</w:t>
      </w:r>
    </w:p>
    <w:p w14:paraId="0FA6E935">
      <w:pPr>
        <w:keepNext w:val="0"/>
        <w:keepLines w:val="0"/>
        <w:pageBreakBefore w:val="0"/>
        <w:widowControl w:val="0"/>
        <w:kinsoku/>
        <w:wordWrap/>
        <w:overflowPunct/>
        <w:topLinePunct w:val="0"/>
        <w:autoSpaceDE/>
        <w:autoSpaceDN/>
        <w:bidi w:val="0"/>
        <w:adjustRightInd/>
        <w:snapToGrid/>
        <w:jc w:val="both"/>
        <w:textAlignment w:val="auto"/>
        <w:outlineLvl w:val="9"/>
      </w:pPr>
      <w:r>
        <w:rPr>
          <w:rFonts w:hint="eastAsia"/>
        </w:rPr>
        <w:t>t——自项目开始以来的年数，1，2，3，……，无量纲。</w:t>
      </w:r>
    </w:p>
    <w:p w14:paraId="14372514">
      <w:pPr>
        <w:keepNext w:val="0"/>
        <w:keepLines w:val="0"/>
        <w:pageBreakBefore w:val="0"/>
        <w:widowControl w:val="0"/>
        <w:kinsoku/>
        <w:wordWrap/>
        <w:overflowPunct/>
        <w:topLinePunct w:val="0"/>
        <w:autoSpaceDE/>
        <w:autoSpaceDN/>
        <w:bidi w:val="0"/>
        <w:adjustRightInd/>
        <w:snapToGrid/>
        <w:jc w:val="both"/>
        <w:textAlignment w:val="auto"/>
        <w:outlineLvl w:val="9"/>
      </w:pPr>
      <w:r>
        <w:rPr>
          <w:rFonts w:hint="eastAsia"/>
        </w:rPr>
        <w:t>（3）</w:t>
      </w:r>
      <w:r>
        <w:t>底泥清淤与滨岸带生态修复工程</w:t>
      </w:r>
    </w:p>
    <w:p w14:paraId="0C15C1D3">
      <w:pPr>
        <w:keepNext w:val="0"/>
        <w:keepLines w:val="0"/>
        <w:pageBreakBefore w:val="0"/>
        <w:widowControl w:val="0"/>
        <w:kinsoku/>
        <w:wordWrap/>
        <w:overflowPunct/>
        <w:topLinePunct w:val="0"/>
        <w:autoSpaceDE/>
        <w:autoSpaceDN/>
        <w:bidi w:val="0"/>
        <w:adjustRightInd/>
        <w:snapToGrid/>
        <w:jc w:val="both"/>
        <w:textAlignment w:val="auto"/>
        <w:outlineLvl w:val="9"/>
      </w:pPr>
      <w:r>
        <w:t>工程特征：实施底泥清淤以去除内源污染，同时在滨岸带恢复植被。碳汇来源包括滨岸带植被固碳和清淤后的底泥碳埋藏。</w:t>
      </w:r>
    </w:p>
    <w:p w14:paraId="1C89133C">
      <w:pPr>
        <w:keepNext w:val="0"/>
        <w:keepLines w:val="0"/>
        <w:pageBreakBefore w:val="0"/>
        <w:widowControl w:val="0"/>
        <w:kinsoku/>
        <w:wordWrap/>
        <w:overflowPunct/>
        <w:topLinePunct w:val="0"/>
        <w:autoSpaceDE/>
        <w:autoSpaceDN/>
        <w:bidi w:val="0"/>
        <w:adjustRightInd/>
        <w:snapToGrid/>
        <w:jc w:val="both"/>
        <w:textAlignment w:val="auto"/>
        <w:outlineLvl w:val="9"/>
      </w:pPr>
      <w:r>
        <w:t>适用于石臼湖、固城湖等湖滨带生态修复工程。</w:t>
      </w:r>
    </w:p>
    <w:p w14:paraId="394B8FE6">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−DOC,</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hAnsi="Cambria Math"/>
        </w:rPr>
        <w:t xml:space="preserve">                                  </w:t>
      </w:r>
      <w:r>
        <w:rPr>
          <w:rFonts w:hint="eastAsia" w:hAnsi="Cambria Math"/>
          <w:lang w:eastAsia="zh-CN"/>
        </w:rPr>
        <w:t>(</w:t>
      </w:r>
      <w:r>
        <w:rPr>
          <w:rFonts w:hint="eastAsia" w:hAnsi="Cambria Math"/>
        </w:rPr>
        <w:t>10</w:t>
      </w:r>
      <w:r>
        <w:rPr>
          <w:rFonts w:hint="eastAsia" w:hAnsi="Cambria Math"/>
          <w:lang w:eastAsia="zh-CN"/>
        </w:rPr>
        <w:t>)</w:t>
      </w:r>
    </w:p>
    <w:p w14:paraId="7C807706">
      <w:pPr>
        <w:keepNext w:val="0"/>
        <w:keepLines w:val="0"/>
        <w:pageBreakBefore w:val="0"/>
        <w:widowControl w:val="0"/>
        <w:kinsoku/>
        <w:wordWrap/>
        <w:overflowPunct/>
        <w:topLinePunct w:val="0"/>
        <w:autoSpaceDE/>
        <w:autoSpaceDN/>
        <w:bidi w:val="0"/>
        <w:adjustRightInd/>
        <w:snapToGrid/>
        <w:jc w:val="both"/>
        <w:textAlignment w:val="auto"/>
        <w:outlineLvl w:val="9"/>
      </w:pPr>
      <w:r>
        <w:t>式中：</w:t>
      </w:r>
    </w:p>
    <w:p w14:paraId="1A0165CF">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第t年底泥清淤与滨岸带生态修复工程产生的碳汇量</w:t>
      </w:r>
      <w:r>
        <w:rPr>
          <w:rFonts w:hint="eastAsia"/>
        </w:rPr>
        <w:t>，tCO</w:t>
      </w:r>
      <w:r>
        <w:rPr>
          <w:rFonts w:hint="eastAsia"/>
          <w:vertAlign w:val="subscript"/>
        </w:rPr>
        <w:t>2</w:t>
      </w:r>
      <w:r>
        <w:rPr>
          <w:rFonts w:hint="eastAsia"/>
        </w:rPr>
        <w:t>e/a；</w:t>
      </w:r>
    </w:p>
    <w:p w14:paraId="668529B2">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第t年项目情景下</w:t>
      </w:r>
      <w:r>
        <w:rPr>
          <w:rFonts w:hint="eastAsia"/>
        </w:rPr>
        <w:t>湖泊湿地</w:t>
      </w:r>
      <w:r>
        <w:t>植物碳储量年变化量</w:t>
      </w:r>
      <w:r>
        <w:rPr>
          <w:rFonts w:hint="eastAsia"/>
        </w:rPr>
        <w:t>，tC/a；</w:t>
      </w:r>
    </w:p>
    <w:p w14:paraId="3B43DBCA">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第t年项目情景下</w:t>
      </w:r>
      <w:r>
        <w:rPr>
          <w:rFonts w:hint="eastAsia"/>
        </w:rPr>
        <w:t>湖泊湿地</w:t>
      </w:r>
      <w:r>
        <w:t>土壤（底泥）碳储量年变化量</w:t>
      </w:r>
      <w:r>
        <w:rPr>
          <w:rFonts w:hint="eastAsia"/>
        </w:rPr>
        <w:t>，tC/a；</w:t>
      </w:r>
    </w:p>
    <w:p w14:paraId="0CAA2471">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−DOC,</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第t年项目情景下</w:t>
      </w:r>
      <w:r>
        <w:rPr>
          <w:rFonts w:hint="eastAsia"/>
        </w:rPr>
        <w:t>湖泊湿地水体溶解有机碳储量</w:t>
      </w:r>
      <w:r>
        <w:t>年变化量</w:t>
      </w:r>
      <w:r>
        <w:rPr>
          <w:rFonts w:hint="eastAsia"/>
        </w:rPr>
        <w:t>，tC/a；</w:t>
      </w:r>
    </w:p>
    <w:p w14:paraId="6FD1066D">
      <w:pPr>
        <w:keepNext w:val="0"/>
        <w:keepLines w:val="0"/>
        <w:pageBreakBefore w:val="0"/>
        <w:widowControl w:val="0"/>
        <w:kinsoku/>
        <w:wordWrap/>
        <w:overflowPunct/>
        <w:topLinePunct w:val="0"/>
        <w:autoSpaceDE/>
        <w:autoSpaceDN/>
        <w:bidi w:val="0"/>
        <w:adjustRightInd/>
        <w:snapToGrid/>
        <w:jc w:val="both"/>
        <w:textAlignment w:val="auto"/>
        <w:outlineLvl w:val="9"/>
      </w:pPr>
      <m:oMath>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rPr>
        <w:t>——</w:t>
      </w:r>
      <w:r>
        <w:t>碳（C）转化为二氧化碳（</w:t>
      </w:r>
      <w:r>
        <w:rPr>
          <w:rFonts w:cs="Times New Roman"/>
        </w:rPr>
        <w:t>CO</w:t>
      </w:r>
      <w:r>
        <w:rPr>
          <w:rFonts w:hint="eastAsia" w:cs="Times New Roman"/>
          <w:vertAlign w:val="subscript"/>
          <w:lang w:val="en-US" w:eastAsia="zh-CN"/>
        </w:rPr>
        <w:t>2</w:t>
      </w:r>
      <w:r>
        <w:t>）的当量折算固定系数</w:t>
      </w:r>
      <w:r>
        <w:rPr>
          <w:rFonts w:hint="eastAsia"/>
        </w:rPr>
        <w:t>，无量纲；</w:t>
      </w:r>
    </w:p>
    <w:p w14:paraId="10714C11">
      <w:pPr>
        <w:keepNext w:val="0"/>
        <w:keepLines w:val="0"/>
        <w:pageBreakBefore w:val="0"/>
        <w:widowControl w:val="0"/>
        <w:kinsoku/>
        <w:wordWrap/>
        <w:overflowPunct/>
        <w:topLinePunct w:val="0"/>
        <w:autoSpaceDE/>
        <w:autoSpaceDN/>
        <w:bidi w:val="0"/>
        <w:adjustRightInd/>
        <w:snapToGrid/>
        <w:jc w:val="both"/>
        <w:textAlignment w:val="auto"/>
        <w:outlineLvl w:val="9"/>
      </w:pPr>
      <w:r>
        <w:rPr>
          <w:rFonts w:hint="eastAsia"/>
        </w:rPr>
        <w:t>t——自项目开始以来的年数，1，2，3，……，无量纲。</w:t>
      </w:r>
    </w:p>
    <w:p w14:paraId="704DC777">
      <w:pPr>
        <w:keepNext w:val="0"/>
        <w:keepLines w:val="0"/>
        <w:pageBreakBefore w:val="0"/>
        <w:widowControl w:val="0"/>
        <w:kinsoku/>
        <w:wordWrap/>
        <w:overflowPunct/>
        <w:topLinePunct w:val="0"/>
        <w:autoSpaceDE/>
        <w:autoSpaceDN/>
        <w:bidi w:val="0"/>
        <w:adjustRightInd/>
        <w:snapToGrid/>
        <w:jc w:val="both"/>
        <w:textAlignment w:val="auto"/>
        <w:outlineLvl w:val="9"/>
      </w:pPr>
      <w:r>
        <w:rPr>
          <w:rFonts w:hint="eastAsia"/>
        </w:rPr>
        <w:t>过渡期处理：底泥清淤后第1</w:t>
      </w:r>
      <w:r>
        <w:rPr>
          <w:rFonts w:hint="eastAsia"/>
          <w:lang w:eastAsia="zh-CN"/>
        </w:rPr>
        <w:t>—</w:t>
      </w:r>
      <w:r>
        <w:rPr>
          <w:rFonts w:hint="eastAsia"/>
        </w:rPr>
        <w:t>2年，仅土壤（底泥）有机碳</w:t>
      </w: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lake</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取值为0</w:t>
      </w:r>
      <w:r>
        <w:t>，</w:t>
      </w:r>
      <w:r>
        <w:rPr>
          <w:rFonts w:hint="eastAsia"/>
        </w:rPr>
        <w:t>植被碳库、水体DOC碳库按实际监测值正常核算</w:t>
      </w:r>
      <w:r>
        <w:t>，第3年起按相邻监测周期差值公式计算。</w:t>
      </w:r>
    </w:p>
    <w:p w14:paraId="0B23F514">
      <w:pPr>
        <w:outlineLvl w:val="3"/>
      </w:pPr>
      <w:r>
        <w:rPr>
          <w:rFonts w:hint="eastAsia"/>
        </w:rPr>
        <w:t xml:space="preserve">7.4.1.2 </w:t>
      </w:r>
      <w:r>
        <w:t>河流湿地</w:t>
      </w:r>
      <w:bookmarkEnd w:id="125"/>
    </w:p>
    <w:p w14:paraId="34518750">
      <w:r>
        <w:rPr>
          <w:rFonts w:hint="eastAsia"/>
        </w:rPr>
        <w:t>（1）</w:t>
      </w:r>
      <w:r>
        <w:t>湿地植被重建与水下森林营造工程</w:t>
      </w:r>
    </w:p>
    <w:p w14:paraId="6C6E32F9">
      <w:r>
        <w:t>适用于秦淮河、滁河、石臼湖流域河道等滨岸带及浅水区的水生植被恢复工程。</w:t>
      </w:r>
    </w:p>
    <w:p w14:paraId="5AA67018">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①</w:t>
      </w:r>
      <w:r>
        <w:fldChar w:fldCharType="end"/>
      </w:r>
      <w:r>
        <w:rPr>
          <w:rFonts w:hint="eastAsia"/>
        </w:rPr>
        <w:t>初种植年核算（工程实施当年）</w:t>
      </w:r>
    </w:p>
    <w:p w14:paraId="3E272974">
      <w:r>
        <w:t>工程实施当年，碳汇量来源于人工种植的水生植被干物质积累，按实际种植面积和植被年净生物量增量计算：</w:t>
      </w:r>
    </w:p>
    <w:p w14:paraId="7F6E0DB8">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r>
          <m:rPr>
            <m:sty m:val="p"/>
          </m:rPr>
          <w:rPr>
            <w:rFonts w:ascii="Cambria Math" w:hAnsi="Cambria Math"/>
          </w:rPr>
          <m:t>=[</m:t>
        </m:r>
        <m:nary>
          <m:naryPr>
            <m:chr m:val="∑"/>
            <m:limLoc m:val="undOvr"/>
            <m:ctrlPr>
              <w:rPr>
                <w:rFonts w:ascii="Cambria Math" w:hAnsi="Cambria Math"/>
              </w:rPr>
            </m:ctrlPr>
          </m:naryPr>
          <m:sub>
            <m:r>
              <m:rPr>
                <m:sty m:val="p"/>
              </m:rPr>
              <w:rPr>
                <w:rFonts w:hint="eastAsia" w:ascii="Cambria Math" w:hAnsi="Cambria Math"/>
              </w:rPr>
              <m:t>k</m:t>
            </m:r>
            <m:r>
              <m:rPr>
                <m:sty m:val="p"/>
              </m:rPr>
              <w:rPr>
                <w:rFonts w:ascii="Cambria Math" w:hAnsi="Cambria Math"/>
              </w:rPr>
              <m:t>=1</m:t>
            </m:r>
            <m:ctrlPr>
              <w:rPr>
                <w:rFonts w:ascii="Cambria Math" w:hAnsi="Cambria Math"/>
              </w:rPr>
            </m:ctrlPr>
          </m:sub>
          <m:sup>
            <m:r>
              <m:rPr>
                <m:sty m:val="p"/>
              </m:rPr>
              <w:rPr>
                <w:rFonts w:hint="eastAsia" w:ascii="Cambria Math" w:hAnsi="Cambria Math"/>
              </w:rPr>
              <m:t>n</m:t>
            </m:r>
            <m:ctrlPr>
              <w:rPr>
                <w:rFonts w:ascii="Cambria Math" w:hAnsi="Cambria Math"/>
              </w:rPr>
            </m:ctrlPr>
          </m:sup>
          <m:e>
            <m:sSub>
              <m:sSubPr>
                <m:ctrlPr>
                  <w:rPr>
                    <w:rFonts w:ascii="Cambria Math" w:hAnsi="Cambria Math"/>
                  </w:rPr>
                </m:ctrlPr>
              </m:sSubPr>
              <m:e>
                <m:r>
                  <m:rPr>
                    <m:sty m:val="p"/>
                  </m:rPr>
                  <w:rPr>
                    <w:rFonts w:hint="eastAsia" w:ascii="Cambria Math" w:hAnsi="Cambria Math"/>
                  </w:rPr>
                  <m:t>（</m:t>
                </m:r>
                <m:r>
                  <m:rPr>
                    <m:sty m:val="p"/>
                  </m:rPr>
                  <w:rPr>
                    <w:rFonts w:ascii="Cambria Math" w:hAnsi="Cambria Math"/>
                  </w:rPr>
                  <m:t>B</m:t>
                </m:r>
                <m:ctrlPr>
                  <w:rPr>
                    <w:rFonts w:ascii="Cambria Math" w:hAnsi="Cambria Math"/>
                  </w:rPr>
                </m:ctrlPr>
              </m:e>
              <m:sub>
                <m:r>
                  <m:rPr>
                    <m:sty m:val="p"/>
                  </m:rPr>
                  <w:rPr>
                    <w:rFonts w:hint="eastAsia" w:ascii="Cambria Math" w:hAnsi="Cambria Math"/>
                  </w:rPr>
                  <m:t>k</m:t>
                </m:r>
                <m:r>
                  <m:rPr>
                    <m:sty m:val="p"/>
                  </m:rPr>
                  <w:rPr>
                    <w:rFonts w:ascii="Cambria Math" w:hAnsi="Cambria Math"/>
                  </w:rPr>
                  <m:t>,</m:t>
                </m:r>
                <m:r>
                  <m:rPr>
                    <m:sty m:val="p"/>
                  </m:rPr>
                  <w:rPr>
                    <w:rFonts w:hint="eastAsia" w:ascii="Cambria Math" w:hAnsi="Cambria Math"/>
                  </w:rPr>
                  <m:t>river</m:t>
                </m:r>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CF</m:t>
                </m:r>
                <m:ctrlPr>
                  <w:rPr>
                    <w:rFonts w:ascii="Cambria Math" w:hAnsi="Cambria Math"/>
                  </w:rPr>
                </m:ctrlPr>
              </m:e>
              <m:sub>
                <m:r>
                  <m:rPr>
                    <m:sty m:val="p"/>
                  </m:rPr>
                  <w:rPr>
                    <w:rFonts w:hint="eastAsia" w:ascii="Cambria Math" w:hAnsi="Cambria Math"/>
                  </w:rPr>
                  <m:t>k</m:t>
                </m:r>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k</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r>
              <m:rPr>
                <m:sty m:val="p"/>
              </m:rPr>
              <w:rPr>
                <w:rFonts w:ascii="Cambria Math" w:hAnsi="Cambria Math"/>
              </w:rPr>
              <m:t>]</m:t>
            </m:r>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ctrlPr>
              <w:rPr>
                <w:rFonts w:ascii="Cambria Math" w:hAnsi="Cambria Math"/>
              </w:rPr>
            </m:ctrlPr>
          </m:e>
        </m:nary>
      </m:oMath>
      <w:r>
        <w:rPr>
          <w:rFonts w:hint="eastAsia" w:hAnsi="Cambria Math"/>
        </w:rPr>
        <w:t xml:space="preserve">  </w:t>
      </w:r>
      <w:r>
        <w:rPr>
          <w:rFonts w:hint="eastAsia" w:hAnsi="Cambria Math"/>
          <w:lang w:eastAsia="zh-CN"/>
        </w:rPr>
        <w:t>(</w:t>
      </w:r>
      <w:r>
        <w:rPr>
          <w:rFonts w:hint="eastAsia" w:hAnsi="Cambria Math"/>
        </w:rPr>
        <w:t>11</w:t>
      </w:r>
      <w:r>
        <w:rPr>
          <w:rFonts w:hint="eastAsia" w:hAnsi="Cambria Math"/>
          <w:lang w:eastAsia="zh-CN"/>
        </w:rPr>
        <w:t>)</w:t>
      </w:r>
    </w:p>
    <w:p w14:paraId="3C115018">
      <w:r>
        <w:t>式中：</w:t>
      </w:r>
    </w:p>
    <w:p w14:paraId="7F3A731E">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oMath>
      <w:r>
        <w:rPr>
          <w:rFonts w:hint="eastAsia"/>
        </w:rPr>
        <w:t>——</w:t>
      </w:r>
      <w:r>
        <w:t>第t</w:t>
      </w:r>
      <w:r>
        <w:rPr>
          <w:vertAlign w:val="subscript"/>
        </w:rPr>
        <w:t>1</w:t>
      </w:r>
      <w:r>
        <w:t>年（工程实施当年）</w:t>
      </w:r>
      <w:bookmarkStart w:id="126" w:name="OLE_LINK45"/>
      <w:r>
        <w:rPr>
          <w:rFonts w:hint="eastAsia"/>
        </w:rPr>
        <w:t>河流</w:t>
      </w:r>
      <w:bookmarkEnd w:id="126"/>
      <w:r>
        <w:rPr>
          <w:rFonts w:hint="eastAsia"/>
        </w:rPr>
        <w:t>湿地水生</w:t>
      </w:r>
      <w:r>
        <w:t>植被重建工程产生的碳汇量，t</w:t>
      </w:r>
      <w:r>
        <w:rPr>
          <w:rFonts w:hint="eastAsia"/>
          <w:highlight w:val="none"/>
          <w:lang w:eastAsia="zh-CN"/>
        </w:rPr>
        <w:t>CO</w:t>
      </w:r>
      <w:r>
        <w:rPr>
          <w:rFonts w:hint="eastAsia"/>
          <w:highlight w:val="none"/>
          <w:vertAlign w:val="subscript"/>
          <w:lang w:eastAsia="zh-CN"/>
        </w:rPr>
        <w:t>2e</w:t>
      </w:r>
      <w:r>
        <w:t>/a</w:t>
      </w:r>
      <w:r>
        <w:rPr>
          <w:rFonts w:hint="eastAsia"/>
        </w:rPr>
        <w:t>；</w:t>
      </w:r>
    </w:p>
    <w:p w14:paraId="005F5444">
      <m:oMath>
        <m:sSub>
          <m:sSubPr>
            <m:ctrlPr>
              <w:rPr>
                <w:rFonts w:ascii="Cambria Math" w:hAnsi="Cambria Math"/>
              </w:rPr>
            </m:ctrlPr>
          </m:sSubPr>
          <m:e>
            <m:r>
              <m:rPr>
                <m:sty m:val="p"/>
              </m:rPr>
              <w:rPr>
                <w:rFonts w:ascii="Cambria Math" w:hAnsi="Cambria Math"/>
              </w:rPr>
              <m:t>B</m:t>
            </m:r>
            <m:ctrlPr>
              <w:rPr>
                <w:rFonts w:ascii="Cambria Math" w:hAnsi="Cambria Math"/>
              </w:rPr>
            </m:ctrlPr>
          </m:e>
          <m:sub>
            <m:r>
              <m:rPr>
                <m:sty m:val="p"/>
              </m:rPr>
              <w:rPr>
                <w:rFonts w:hint="eastAsia" w:ascii="Cambria Math" w:hAnsi="Cambria Math"/>
              </w:rPr>
              <m:t>k</m:t>
            </m:r>
            <m:r>
              <m:rPr>
                <m:sty m:val="p"/>
              </m:rPr>
              <w:rPr>
                <w:rFonts w:ascii="Cambria Math" w:hAnsi="Cambria Math"/>
              </w:rPr>
              <m:t>,</m:t>
            </m:r>
            <m:r>
              <m:rPr>
                <m:sty m:val="p"/>
              </m:rPr>
              <w:rPr>
                <w:rFonts w:hint="eastAsia" w:ascii="Cambria Math" w:hAnsi="Cambria Math"/>
              </w:rPr>
              <m:t>river</m:t>
            </m:r>
            <m:ctrlPr>
              <w:rPr>
                <w:rFonts w:ascii="Cambria Math" w:hAnsi="Cambria Math"/>
              </w:rPr>
            </m:ctrlPr>
          </m:sub>
        </m:sSub>
      </m:oMath>
      <w:r>
        <w:rPr>
          <w:rFonts w:hint="eastAsia"/>
        </w:rPr>
        <w:t>——河流湿地</w:t>
      </w:r>
      <w:r>
        <w:t>第k类水生植物单位面积年净生物量增量</w:t>
      </w:r>
      <w:r>
        <w:rPr>
          <w:rFonts w:hint="eastAsia"/>
        </w:rPr>
        <w:t>，t.</w:t>
      </w:r>
      <w:r>
        <w:t>d.m/</w:t>
      </w:r>
      <w:r>
        <w:rPr>
          <w:rFonts w:hint="eastAsia"/>
        </w:rPr>
        <w:t>（</w:t>
      </w:r>
      <w:r>
        <w:t>hm²·a</w:t>
      </w:r>
      <w:r>
        <w:rPr>
          <w:rFonts w:hint="eastAsia"/>
        </w:rPr>
        <w:t>）；</w:t>
      </w:r>
    </w:p>
    <w:p w14:paraId="64306CAC">
      <m:oMath>
        <m:sSub>
          <m:sSubPr>
            <m:ctrlPr>
              <w:rPr>
                <w:rFonts w:ascii="Cambria Math" w:hAnsi="Cambria Math"/>
              </w:rPr>
            </m:ctrlPr>
          </m:sSubPr>
          <m:e>
            <m:r>
              <m:rPr>
                <m:sty m:val="p"/>
              </m:rPr>
              <w:rPr>
                <w:rFonts w:ascii="Cambria Math" w:hAnsi="Cambria Math"/>
              </w:rPr>
              <m:t>CF</m:t>
            </m:r>
            <m:ctrlPr>
              <w:rPr>
                <w:rFonts w:ascii="Cambria Math" w:hAnsi="Cambria Math"/>
              </w:rPr>
            </m:ctrlPr>
          </m:e>
          <m:sub>
            <m:r>
              <m:rPr>
                <m:sty m:val="p"/>
              </m:rPr>
              <w:rPr>
                <w:rFonts w:hint="eastAsia" w:ascii="Cambria Math" w:hAnsi="Cambria Math"/>
              </w:rPr>
              <m:t>k</m:t>
            </m:r>
            <m:ctrlPr>
              <w:rPr>
                <w:rFonts w:ascii="Cambria Math" w:hAnsi="Cambria Math"/>
              </w:rPr>
            </m:ctrlPr>
          </m:sub>
        </m:sSub>
      </m:oMath>
      <w:r>
        <w:rPr>
          <w:rFonts w:hint="eastAsia"/>
        </w:rPr>
        <w:t>——</w:t>
      </w:r>
      <w:r>
        <w:t>第k类水生植物</w:t>
      </w:r>
      <w:r>
        <w:rPr>
          <w:rFonts w:hint="eastAsia"/>
        </w:rPr>
        <w:t>生物量</w:t>
      </w:r>
      <w:r>
        <w:t>含碳率，无量纲</w:t>
      </w:r>
      <w:r>
        <w:rPr>
          <w:rFonts w:hint="eastAsia"/>
        </w:rPr>
        <w:t>；</w:t>
      </w:r>
    </w:p>
    <w:p w14:paraId="30C5F6A0">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k</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oMath>
      <w:r>
        <w:rPr>
          <w:rFonts w:hint="eastAsia"/>
        </w:rPr>
        <w:t>——</w:t>
      </w:r>
      <w:r>
        <w:t>第</w:t>
      </w:r>
      <w:r>
        <w:rPr>
          <w:rFonts w:hint="eastAsia"/>
        </w:rPr>
        <w:t>t</w:t>
      </w:r>
      <w:r>
        <w:rPr>
          <w:vertAlign w:val="subscript"/>
        </w:rPr>
        <w:t>1</w:t>
      </w:r>
      <w:r>
        <w:t>年第k类水生植物</w:t>
      </w:r>
      <w:r>
        <w:rPr>
          <w:rFonts w:hint="eastAsia"/>
        </w:rPr>
        <w:t>实际种植面积，hm</w:t>
      </w:r>
      <w:r>
        <w:rPr>
          <w:rFonts w:hint="eastAsia"/>
          <w:vertAlign w:val="superscript"/>
        </w:rPr>
        <w:t>2</w:t>
      </w:r>
      <w:r>
        <w:rPr>
          <w:rFonts w:hint="eastAsia"/>
        </w:rPr>
        <w:t>；</w:t>
      </w:r>
    </w:p>
    <w:p w14:paraId="35932ED1">
      <w:r>
        <w:t>k</w:t>
      </w:r>
      <w:r>
        <w:rPr>
          <w:rFonts w:hint="eastAsia"/>
        </w:rPr>
        <w:t>——</w:t>
      </w:r>
      <w:r>
        <w:t>水生植物类型（挺水植物、浮叶植物、沉水植物）</w:t>
      </w:r>
      <w:r>
        <w:rPr>
          <w:rFonts w:hint="eastAsia"/>
        </w:rPr>
        <w:t>，k=1，2，3，……；</w:t>
      </w:r>
    </w:p>
    <w:p w14:paraId="6A77E7D5">
      <w:r>
        <w:rPr>
          <w:rFonts w:hint="eastAsia"/>
        </w:rPr>
        <w:t>n——</w:t>
      </w:r>
      <w:r>
        <w:t>水生植物</w:t>
      </w:r>
      <w:r>
        <w:rPr>
          <w:rFonts w:hint="eastAsia"/>
        </w:rPr>
        <w:t>物种数量，n=1，2，3，……。</w:t>
      </w:r>
    </w:p>
    <w:p w14:paraId="1505C367">
      <w:bookmarkStart w:id="127" w:name="OLE_LINK86"/>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②</w:t>
      </w:r>
      <w:r>
        <w:fldChar w:fldCharType="end"/>
      </w:r>
      <w:r>
        <w:t>植被稳定期核算（工程实施后次年起）</w:t>
      </w:r>
    </w:p>
    <w:p w14:paraId="192604E9">
      <w:r>
        <w:t>工程实施次年起，植被进入稳定生长状态，碳汇量按项目边界</w:t>
      </w:r>
      <w:r>
        <w:rPr>
          <w:rFonts w:hint="eastAsia"/>
          <w:lang w:eastAsia="zh-CN"/>
        </w:rPr>
        <w:t>内</w:t>
      </w:r>
      <w:r>
        <w:t>相邻监测周期植被碳储量的差值计算：</w:t>
      </w:r>
    </w:p>
    <w:p w14:paraId="629724DA">
      <w:pPr>
        <w:jc w:val="right"/>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river−</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,Δ</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C</m:t>
                </m:r>
                <m:ctrlPr>
                  <w:rPr>
                    <w:rFonts w:ascii="Cambria Math" w:hAnsi="Cambria Math"/>
                  </w:rPr>
                </m:ctrlPr>
              </m:e>
              <m:sub>
                <m:r>
                  <m:rPr>
                    <m:sty m:val="p"/>
                  </m:rPr>
                  <w:rPr>
                    <w:rFonts w:ascii="Cambria Math" w:hAnsi="Cambria Math"/>
                  </w:rPr>
                  <m:t>river−</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2</m:t>
                    </m:r>
                    <m:ctrlPr>
                      <w:rPr>
                        <w:rFonts w:ascii="Cambria Math" w:hAnsi="Cambria Math"/>
                      </w:rPr>
                    </m:ctrlPr>
                  </m:sub>
                </m:sSub>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C</m:t>
                </m:r>
                <m:ctrlPr>
                  <w:rPr>
                    <w:rFonts w:ascii="Cambria Math" w:hAnsi="Cambria Math"/>
                  </w:rPr>
                </m:ctrlPr>
              </m:e>
              <m:sub>
                <m:r>
                  <m:rPr>
                    <m:sty m:val="p"/>
                  </m:rPr>
                  <w:rPr>
                    <w:rFonts w:ascii="Cambria Math" w:hAnsi="Cambria Math"/>
                  </w:rPr>
                  <m:t>river−veg,</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ctrlPr>
              <w:rPr>
                <w:rFonts w:ascii="Cambria Math" w:hAnsi="Cambria Math"/>
              </w:rPr>
            </m:ctrlPr>
          </m:num>
          <m:den>
            <m:r>
              <m:rPr>
                <m:sty m:val="p"/>
              </m:rPr>
              <w:rPr>
                <w:rFonts w:ascii="Cambria Math" w:hAnsi="Cambria Math"/>
              </w:rPr>
              <m:t>Δ</m:t>
            </m:r>
            <m:r>
              <m:rPr>
                <m:sty m:val="p"/>
              </m:rPr>
              <w:rPr>
                <w:rFonts w:hint="eastAsia" w:ascii="Cambria Math" w:hAnsi="Cambria Math"/>
              </w:rPr>
              <m:t>t</m:t>
            </m:r>
            <m:ctrlPr>
              <w:rPr>
                <w:rFonts w:ascii="Cambria Math" w:hAnsi="Cambria Math"/>
              </w:rPr>
            </m:ctrlPr>
          </m:den>
        </m:f>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hAnsi="Cambria Math"/>
        </w:rPr>
        <w:t xml:space="preserve">      </w:t>
      </w:r>
      <w:r>
        <w:rPr>
          <w:rFonts w:hint="eastAsia" w:hAnsi="Cambria Math"/>
          <w:lang w:eastAsia="zh-CN"/>
        </w:rPr>
        <w:t>(</w:t>
      </w:r>
      <w:r>
        <w:rPr>
          <w:rFonts w:hint="eastAsia" w:hAnsi="Cambria Math"/>
        </w:rPr>
        <w:t>12</w:t>
      </w:r>
      <w:r>
        <w:rPr>
          <w:rFonts w:hint="eastAsia" w:hAnsi="Cambria Math"/>
          <w:lang w:eastAsia="zh-CN"/>
        </w:rPr>
        <w:t>)</w:t>
      </w:r>
    </w:p>
    <w:p w14:paraId="5B6DA09A">
      <w:r>
        <w:t>式中：</w:t>
      </w:r>
    </w:p>
    <w:p w14:paraId="17B712E2">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river−</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,Δ</m:t>
            </m:r>
            <m:r>
              <m:rPr>
                <m:sty m:val="p"/>
              </m:rPr>
              <w:rPr>
                <w:rFonts w:hint="eastAsia" w:ascii="Cambria Math" w:hAnsi="Cambria Math"/>
              </w:rPr>
              <m:t>t</m:t>
            </m:r>
            <m:ctrlPr>
              <w:rPr>
                <w:rFonts w:ascii="Cambria Math" w:hAnsi="Cambria Math"/>
              </w:rPr>
            </m:ctrlPr>
          </m:sub>
        </m:sSub>
      </m:oMath>
      <w:r>
        <w:rPr>
          <w:rFonts w:hint="eastAsia"/>
        </w:rPr>
        <w:t>——</w:t>
      </w:r>
      <w:r>
        <w:t>植被稳定期年碳汇量，t</w:t>
      </w:r>
      <w:r>
        <w:rPr>
          <w:rFonts w:hint="eastAsia"/>
          <w:highlight w:val="none"/>
          <w:lang w:eastAsia="zh-CN"/>
        </w:rPr>
        <w:t>CO</w:t>
      </w:r>
      <w:r>
        <w:rPr>
          <w:rFonts w:hint="eastAsia"/>
          <w:highlight w:val="none"/>
          <w:vertAlign w:val="subscript"/>
          <w:lang w:eastAsia="zh-CN"/>
        </w:rPr>
        <w:t>2e</w:t>
      </w:r>
      <w:r>
        <w:t>/a</w:t>
      </w:r>
      <w:r>
        <w:rPr>
          <w:rFonts w:hint="eastAsia"/>
        </w:rPr>
        <w:t>；</w:t>
      </w:r>
    </w:p>
    <w:p w14:paraId="655C20E5">
      <m:oMath>
        <m:sSub>
          <m:sSubPr>
            <m:ctrlPr>
              <w:rPr>
                <w:rFonts w:ascii="Cambria Math" w:hAnsi="Cambria Math"/>
              </w:rPr>
            </m:ctrlPr>
          </m:sSubPr>
          <m:e>
            <m:r>
              <m:rPr>
                <m:sty m:val="p"/>
              </m:rPr>
              <w:rPr>
                <w:rFonts w:ascii="Cambria Math" w:hAnsi="Cambria Math"/>
              </w:rPr>
              <m:t>C</m:t>
            </m:r>
            <m:ctrlPr>
              <w:rPr>
                <w:rFonts w:ascii="Cambria Math" w:hAnsi="Cambria Math"/>
              </w:rPr>
            </m:ctrlPr>
          </m:e>
          <m:sub>
            <m:r>
              <m:rPr>
                <m:sty m:val="p"/>
              </m:rPr>
              <w:rPr>
                <w:rFonts w:ascii="Cambria Math" w:hAnsi="Cambria Math"/>
              </w:rPr>
              <m:t>river−</m:t>
            </m:r>
            <m:r>
              <m:rPr>
                <m:sty m:val="p"/>
              </m:rPr>
              <w:rPr>
                <w:rFonts w:hint="eastAsia" w:ascii="Cambria Math" w:hAnsi="Cambria Math"/>
              </w:rPr>
              <m:t>veg</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2</m:t>
                </m:r>
                <m:ctrlPr>
                  <w:rPr>
                    <w:rFonts w:ascii="Cambria Math" w:hAnsi="Cambria Math"/>
                  </w:rPr>
                </m:ctrlPr>
              </m:sub>
            </m:sSub>
            <m:ctrlPr>
              <w:rPr>
                <w:rFonts w:ascii="Cambria Math" w:hAnsi="Cambria Math"/>
              </w:rPr>
            </m:ctrlPr>
          </m:sub>
        </m:sSub>
      </m:oMath>
      <w:r>
        <w:rPr>
          <w:rFonts w:hint="eastAsia"/>
        </w:rPr>
        <w:t>、</w:t>
      </w:r>
      <m:oMath>
        <m:sSub>
          <m:sSubPr>
            <m:ctrlPr>
              <w:rPr>
                <w:rFonts w:ascii="Cambria Math" w:hAnsi="Cambria Math"/>
              </w:rPr>
            </m:ctrlPr>
          </m:sSubPr>
          <m:e>
            <m:r>
              <m:rPr>
                <m:sty m:val="p"/>
              </m:rPr>
              <w:rPr>
                <w:rFonts w:ascii="Cambria Math" w:hAnsi="Cambria Math"/>
              </w:rPr>
              <m:t>C</m:t>
            </m:r>
            <m:ctrlPr>
              <w:rPr>
                <w:rFonts w:ascii="Cambria Math" w:hAnsi="Cambria Math"/>
              </w:rPr>
            </m:ctrlPr>
          </m:e>
          <m:sub>
            <m:r>
              <m:rPr>
                <m:sty m:val="p"/>
              </m:rPr>
              <w:rPr>
                <w:rFonts w:ascii="Cambria Math" w:hAnsi="Cambria Math"/>
              </w:rPr>
              <m:t>river−veg,</m:t>
            </m:r>
            <m:r>
              <m:rPr>
                <m:sty m:val="p"/>
              </m:rPr>
              <w:rPr>
                <w:rFonts w:hint="eastAsia" w:ascii="Cambria Math" w:hAnsi="Cambria Math"/>
              </w:rPr>
              <m:t>plant</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oMath>
      <w:r>
        <w:rPr>
          <w:rFonts w:hint="eastAsia"/>
        </w:rPr>
        <w:t>——监测末期</w:t>
      </w:r>
      <w:r>
        <w:t>、</w:t>
      </w:r>
      <w:r>
        <w:rPr>
          <w:rFonts w:hint="eastAsia"/>
        </w:rPr>
        <w:t>初期河流</w:t>
      </w:r>
      <w:r>
        <w:t>湿地植被</w:t>
      </w:r>
      <w:r>
        <w:rPr>
          <w:rFonts w:hint="eastAsia"/>
        </w:rPr>
        <w:t>总</w:t>
      </w:r>
      <w:r>
        <w:t>碳储量，tC</w:t>
      </w:r>
      <w:r>
        <w:rPr>
          <w:rFonts w:hint="eastAsia"/>
        </w:rPr>
        <w:t>；</w:t>
      </w:r>
    </w:p>
    <w:p w14:paraId="1A66E542">
      <m:oMath>
        <m:r>
          <m:rPr>
            <m:sty m:val="p"/>
          </m:rPr>
          <w:rPr>
            <w:rFonts w:ascii="Cambria Math" w:hAnsi="Cambria Math"/>
          </w:rPr>
          <m:t>Δ</m:t>
        </m:r>
        <m:r>
          <m:rPr>
            <m:sty m:val="p"/>
          </m:rPr>
          <w:rPr>
            <w:rFonts w:hint="eastAsia" w:ascii="Cambria Math" w:hAnsi="Cambria Math"/>
          </w:rPr>
          <m:t>t</m:t>
        </m:r>
      </m:oMath>
      <w:r>
        <w:rPr>
          <w:rFonts w:hint="eastAsia"/>
        </w:rPr>
        <w:t>——</w:t>
      </w:r>
      <w:r>
        <w:t>核算时间间隔，a</w:t>
      </w:r>
      <w:r>
        <w:rPr>
          <w:rFonts w:hint="eastAsia"/>
        </w:rPr>
        <w:t>。</w:t>
      </w:r>
    </w:p>
    <w:p w14:paraId="428B096A">
      <w:pPr>
        <w:keepNext w:val="0"/>
        <w:keepLines w:val="0"/>
        <w:pageBreakBefore w:val="0"/>
        <w:widowControl w:val="0"/>
        <w:numPr>
          <w:ilvl w:val="0"/>
          <w:numId w:val="5"/>
        </w:numPr>
        <w:kinsoku/>
        <w:wordWrap/>
        <w:overflowPunct/>
        <w:topLinePunct w:val="0"/>
        <w:autoSpaceDE/>
        <w:autoSpaceDN/>
        <w:bidi w:val="0"/>
        <w:adjustRightInd/>
        <w:snapToGrid/>
        <w:jc w:val="both"/>
        <w:textAlignment w:val="auto"/>
        <w:outlineLvl w:val="9"/>
      </w:pPr>
      <w:r>
        <w:t>底泥清淤与滨岸带生态修复工程</w:t>
      </w:r>
    </w:p>
    <w:p w14:paraId="0D7AA5CA">
      <w:pPr>
        <w:keepNext w:val="0"/>
        <w:keepLines w:val="0"/>
        <w:pageBreakBefore w:val="0"/>
        <w:widowControl w:val="0"/>
        <w:kinsoku/>
        <w:wordWrap/>
        <w:overflowPunct/>
        <w:topLinePunct w:val="0"/>
        <w:autoSpaceDE/>
        <w:autoSpaceDN/>
        <w:bidi w:val="0"/>
        <w:adjustRightInd/>
        <w:snapToGrid/>
        <w:jc w:val="both"/>
        <w:textAlignment w:val="auto"/>
        <w:outlineLvl w:val="9"/>
      </w:pPr>
      <w:r>
        <w:t>适用于秦淮河流域、滁河流域等河道滨岸带生态修复工程。</w:t>
      </w:r>
    </w:p>
    <w:p w14:paraId="7BD838F0">
      <w:pPr>
        <w:keepNext w:val="0"/>
        <w:keepLines w:val="0"/>
        <w:pageBreakBefore w:val="0"/>
        <w:widowControl w:val="0"/>
        <w:kinsoku/>
        <w:wordWrap/>
        <w:overflowPunct/>
        <w:topLinePunct w:val="0"/>
        <w:autoSpaceDE/>
        <w:autoSpaceDN/>
        <w:bidi w:val="0"/>
        <w:adjustRightInd/>
        <w:snapToGrid/>
        <w:jc w:val="both"/>
        <w:textAlignment w:val="auto"/>
        <w:outlineLvl w:val="9"/>
        <w:rPr>
          <w:rFonts w:hAnsi="Cambria Math"/>
        </w:rPr>
      </w:pPr>
      <m:oMathPara>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−DOC,</m:t>
              </m:r>
              <m:r>
                <m:rPr>
                  <m:sty m:val="p"/>
                </m:rPr>
                <w:rPr>
                  <w:rFonts w:hint="eastAsia" w:ascii="Cambria Math" w:hAnsi="Cambria Math"/>
                </w:rPr>
                <m:t>t</m:t>
              </m:r>
              <m:ctrlPr>
                <w:rPr>
                  <w:rFonts w:ascii="Cambria Math" w:hAnsi="Cambria Math"/>
                </w:rPr>
              </m:ctrlPr>
            </m:sub>
          </m:sSub>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m:oMathPara>
    </w:p>
    <w:p w14:paraId="554E5F28">
      <w:pPr>
        <w:keepNext w:val="0"/>
        <w:keepLines w:val="0"/>
        <w:pageBreakBefore w:val="0"/>
        <w:widowControl w:val="0"/>
        <w:kinsoku/>
        <w:wordWrap/>
        <w:overflowPunct/>
        <w:topLinePunct w:val="0"/>
        <w:autoSpaceDE/>
        <w:autoSpaceDN/>
        <w:bidi w:val="0"/>
        <w:adjustRightInd/>
        <w:snapToGrid/>
        <w:jc w:val="both"/>
        <w:textAlignment w:val="auto"/>
        <w:outlineLvl w:val="9"/>
        <w:rPr>
          <w:rFonts w:cs="Times New Roman"/>
        </w:rPr>
      </w:pPr>
      <w:r>
        <w:rPr>
          <w:rFonts w:hint="eastAsia" w:cs="Times New Roman"/>
          <w:lang w:eastAsia="zh-CN"/>
        </w:rPr>
        <w:t>(</w:t>
      </w:r>
      <w:r>
        <w:rPr>
          <w:rFonts w:hint="eastAsia" w:cs="Times New Roman"/>
        </w:rPr>
        <w:t>13</w:t>
      </w:r>
      <w:r>
        <w:rPr>
          <w:rFonts w:hint="eastAsia" w:cs="Times New Roman"/>
          <w:lang w:eastAsia="zh-CN"/>
        </w:rPr>
        <w:t>)</w:t>
      </w:r>
    </w:p>
    <w:p w14:paraId="52AE77BC">
      <w:pPr>
        <w:keepNext w:val="0"/>
        <w:keepLines w:val="0"/>
        <w:pageBreakBefore w:val="0"/>
        <w:widowControl w:val="0"/>
        <w:kinsoku/>
        <w:wordWrap/>
        <w:overflowPunct/>
        <w:topLinePunct w:val="0"/>
        <w:autoSpaceDE/>
        <w:autoSpaceDN/>
        <w:bidi w:val="0"/>
        <w:adjustRightInd/>
        <w:snapToGrid/>
        <w:jc w:val="both"/>
        <w:textAlignment w:val="auto"/>
        <w:outlineLvl w:val="9"/>
      </w:pPr>
      <w:bookmarkStart w:id="128" w:name="OLE_LINK90"/>
      <w:r>
        <w:t>式中：</w:t>
      </w:r>
    </w:p>
    <w:p w14:paraId="5B7E0F82">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bank</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第t年底泥清淤与滨岸带生态修复工程产生的碳汇量</w:t>
      </w:r>
      <w:r>
        <w:rPr>
          <w:rFonts w:hint="eastAsia"/>
        </w:rPr>
        <w:t>，tCO</w:t>
      </w:r>
      <w:r>
        <w:rPr>
          <w:rFonts w:hint="eastAsia"/>
          <w:vertAlign w:val="subscript"/>
        </w:rPr>
        <w:t>2</w:t>
      </w:r>
      <w:r>
        <w:rPr>
          <w:rFonts w:hint="eastAsia"/>
        </w:rPr>
        <w:t>e/a；</w:t>
      </w:r>
    </w:p>
    <w:p w14:paraId="0699F981">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第t年项目情景下河流湿地植物碳储量年变化量</w:t>
      </w:r>
      <w:r>
        <w:rPr>
          <w:rFonts w:hint="eastAsia"/>
        </w:rPr>
        <w:t>，tC/a；</w:t>
      </w:r>
    </w:p>
    <w:p w14:paraId="6FE72EA7">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第t年项目情景下</w:t>
      </w:r>
      <w:bookmarkStart w:id="129" w:name="OLE_LINK88"/>
      <w:r>
        <w:t>河流湿地</w:t>
      </w:r>
      <w:bookmarkEnd w:id="129"/>
      <w:r>
        <w:t>土壤（底泥）</w:t>
      </w:r>
      <w:r>
        <w:rPr>
          <w:rFonts w:hint="eastAsia"/>
        </w:rPr>
        <w:t>有机</w:t>
      </w:r>
      <w:r>
        <w:t>碳储量年变化量</w:t>
      </w:r>
      <w:r>
        <w:rPr>
          <w:rFonts w:hint="eastAsia"/>
        </w:rPr>
        <w:t>，tC/a；</w:t>
      </w:r>
    </w:p>
    <w:bookmarkEnd w:id="128"/>
    <w:p w14:paraId="02719C92">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−DOC,</m:t>
            </m:r>
            <m:r>
              <m:rPr>
                <m:sty m:val="p"/>
              </m:rPr>
              <w:rPr>
                <w:rFonts w:hint="eastAsia" w:ascii="Cambria Math" w:hAnsi="Cambria Math"/>
              </w:rPr>
              <m:t>t</m:t>
            </m:r>
            <m:ctrlPr>
              <w:rPr>
                <w:rFonts w:ascii="Cambria Math" w:hAnsi="Cambria Math"/>
              </w:rPr>
            </m:ctrlPr>
          </m:sub>
        </m:sSub>
      </m:oMath>
      <w:r>
        <w:rPr>
          <w:rFonts w:hint="eastAsia"/>
        </w:rPr>
        <w:t>——</w:t>
      </w:r>
      <w:r>
        <w:t>第t年项目情景下河流湿地</w:t>
      </w:r>
      <w:r>
        <w:rPr>
          <w:rFonts w:hint="eastAsia"/>
        </w:rPr>
        <w:t>水体溶解有机碳储量</w:t>
      </w:r>
      <w:r>
        <w:t>年变化量</w:t>
      </w:r>
      <w:r>
        <w:rPr>
          <w:rFonts w:hint="eastAsia"/>
        </w:rPr>
        <w:t>，tC/a；</w:t>
      </w:r>
    </w:p>
    <w:p w14:paraId="139965E9">
      <w:pPr>
        <w:keepNext w:val="0"/>
        <w:keepLines w:val="0"/>
        <w:pageBreakBefore w:val="0"/>
        <w:widowControl w:val="0"/>
        <w:kinsoku/>
        <w:wordWrap/>
        <w:overflowPunct/>
        <w:topLinePunct w:val="0"/>
        <w:autoSpaceDE/>
        <w:autoSpaceDN/>
        <w:bidi w:val="0"/>
        <w:adjustRightInd/>
        <w:snapToGrid/>
        <w:jc w:val="both"/>
        <w:textAlignment w:val="auto"/>
        <w:outlineLvl w:val="9"/>
      </w:pPr>
      <m:oMath>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rPr>
        <w:t>——</w:t>
      </w:r>
      <w:r>
        <w:t>碳（C）转化为二氧化碳（</w:t>
      </w:r>
      <w:r>
        <w:rPr>
          <w:rFonts w:cs="Times New Roman"/>
        </w:rPr>
        <w:t>CO</w:t>
      </w:r>
      <w:r>
        <w:rPr>
          <w:rFonts w:hint="eastAsia" w:cs="Times New Roman"/>
          <w:vertAlign w:val="subscript"/>
          <w:lang w:val="en-US" w:eastAsia="zh-CN"/>
        </w:rPr>
        <w:t>2</w:t>
      </w:r>
      <w:r>
        <w:t>）的当量折算固定系数</w:t>
      </w:r>
      <w:r>
        <w:rPr>
          <w:rFonts w:hint="eastAsia"/>
        </w:rPr>
        <w:t>，无量纲；</w:t>
      </w:r>
    </w:p>
    <w:p w14:paraId="7D8846D6">
      <w:pPr>
        <w:keepNext w:val="0"/>
        <w:keepLines w:val="0"/>
        <w:pageBreakBefore w:val="0"/>
        <w:widowControl w:val="0"/>
        <w:kinsoku/>
        <w:wordWrap/>
        <w:overflowPunct/>
        <w:topLinePunct w:val="0"/>
        <w:autoSpaceDE/>
        <w:autoSpaceDN/>
        <w:bidi w:val="0"/>
        <w:adjustRightInd/>
        <w:snapToGrid/>
        <w:jc w:val="both"/>
        <w:textAlignment w:val="auto"/>
        <w:outlineLvl w:val="9"/>
      </w:pPr>
      <w:r>
        <w:rPr>
          <w:rFonts w:hint="eastAsia"/>
        </w:rPr>
        <w:t>t——自项目开始以来的年数，1，2，3，……，无量纲。</w:t>
      </w:r>
    </w:p>
    <w:p w14:paraId="07CAD9D8">
      <w:pPr>
        <w:keepNext w:val="0"/>
        <w:keepLines w:val="0"/>
        <w:pageBreakBefore w:val="0"/>
        <w:widowControl w:val="0"/>
        <w:kinsoku/>
        <w:wordWrap/>
        <w:overflowPunct/>
        <w:topLinePunct w:val="0"/>
        <w:autoSpaceDE/>
        <w:autoSpaceDN/>
        <w:bidi w:val="0"/>
        <w:adjustRightInd/>
        <w:snapToGrid/>
        <w:jc w:val="both"/>
        <w:textAlignment w:val="auto"/>
        <w:outlineLvl w:val="9"/>
      </w:pPr>
      <w:bookmarkStart w:id="130" w:name="OLE_LINK3"/>
      <w:r>
        <w:rPr>
          <w:rFonts w:hint="eastAsia"/>
        </w:rPr>
        <w:t>过渡期处理：河流底泥清淤后，第1</w:t>
      </w:r>
      <w:r>
        <w:rPr>
          <w:rFonts w:hint="eastAsia"/>
          <w:lang w:eastAsia="zh-CN"/>
        </w:rPr>
        <w:t>—</w:t>
      </w:r>
      <w:r>
        <w:rPr>
          <w:rFonts w:hint="eastAsia"/>
        </w:rPr>
        <w:t>2年</w:t>
      </w: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取值为0，</w:t>
      </w:r>
      <w:bookmarkEnd w:id="130"/>
      <w:r>
        <w:t>第3年起按相邻监测周期土壤有机碳储量的差值</w:t>
      </w:r>
      <w:r>
        <w:rPr>
          <w:rFonts w:hint="eastAsia"/>
        </w:rPr>
        <w:t>核算：</w:t>
      </w:r>
    </w:p>
    <w:p w14:paraId="2B5A07A8">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f>
          <w:bookmarkStart w:id="131" w:name="OLE_LINK89"/>
          <m:fPr>
            <m:ctrlPr>
              <w:rPr>
                <w:rFonts w:ascii="Cambria Math" w:hAnsi="Cambria Math"/>
              </w:rPr>
            </m:ctrlPr>
          </m:fPr>
          <m:num>
            <m:sSub>
              <m:sSubPr>
                <m:ctrlPr>
                  <w:rPr>
                    <w:rFonts w:ascii="Cambria Math" w:hAnsi="Cambria Math"/>
                  </w:rPr>
                </m:ctrlPr>
              </m:sSubPr>
              <m:e>
                <m:r>
                  <m:rPr>
                    <m:sty m:val="p"/>
                  </m:rPr>
                  <w:rPr>
                    <w:rFonts w:ascii="Cambria Math" w:hAnsi="Cambria Math"/>
                  </w:rPr>
                  <m:t>SOC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post</m:t>
                </m:r>
                <m:r>
                  <m:rPr>
                    <m:sty m:val="p"/>
                  </m:rPr>
                  <w:rPr>
                    <w:rFonts w:ascii="Cambria Math" w:hAnsi="Cambria Math"/>
                  </w:rPr>
                  <m:t>,</m:t>
                </m:r>
                <m:r>
                  <m:rPr>
                    <m:sty m:val="p"/>
                  </m:rPr>
                  <w:rPr>
                    <w:rFonts w:hint="eastAsia" w:ascii="Cambria Math" w:hAnsi="Cambria Math"/>
                  </w:rPr>
                  <m:t>t</m:t>
                </m:r>
                <w:bookmarkEnd w:id="131"/>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SOC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post</m:t>
                </m:r>
                <m:r>
                  <m:rPr>
                    <m:sty m:val="p"/>
                  </m:rPr>
                  <w:rPr>
                    <w:rFonts w:ascii="Cambria Math" w:hAnsi="Cambria Math"/>
                  </w:rPr>
                  <m:t>,</m:t>
                </m:r>
                <m:r>
                  <m:rPr>
                    <m:sty m:val="p"/>
                  </m:rPr>
                  <w:rPr>
                    <w:rFonts w:hint="default" w:ascii="Cambria Math" w:hAnsi="Cambria Math"/>
                    <w:lang w:val="en-US" w:eastAsia="zh-CN"/>
                  </w:rPr>
                  <m:t>2</m:t>
                </m:r>
                <m:ctrlPr>
                  <w:rPr>
                    <w:rFonts w:ascii="Cambria Math" w:hAnsi="Cambria Math"/>
                  </w:rPr>
                </m:ctrlPr>
              </m:sub>
            </m:sSub>
            <m:ctrlPr>
              <w:rPr>
                <w:rFonts w:ascii="Cambria Math" w:hAnsi="Cambria Math"/>
              </w:rPr>
            </m:ctrlPr>
          </m:num>
          <m:den>
            <m:r>
              <m:rPr>
                <m:sty m:val="p"/>
              </m:rPr>
              <w:rPr>
                <w:rFonts w:hint="eastAsia" w:ascii="Cambria Math" w:hAnsi="Cambria Math"/>
              </w:rPr>
              <m:t>t</m:t>
            </m:r>
            <m:r>
              <m:rPr>
                <m:sty m:val="p"/>
              </m:rPr>
              <w:rPr>
                <w:rFonts w:ascii="Cambria Math" w:hAnsi="Cambria Math"/>
              </w:rPr>
              <m:t>−2</m:t>
            </m:r>
            <m:ctrlPr>
              <w:rPr>
                <w:rFonts w:ascii="Cambria Math" w:hAnsi="Cambria Math"/>
              </w:rPr>
            </m:ctrlPr>
          </m:den>
        </m:f>
      </m:oMath>
      <w:r>
        <w:rPr>
          <w:rFonts w:hint="eastAsia" w:hAnsi="Cambria Math"/>
        </w:rPr>
        <w:t xml:space="preserve">                   </w:t>
      </w:r>
      <w:r>
        <w:rPr>
          <w:rFonts w:hint="eastAsia" w:hAnsi="Cambria Math"/>
          <w:lang w:eastAsia="zh-CN"/>
        </w:rPr>
        <w:t>(</w:t>
      </w:r>
      <w:r>
        <w:rPr>
          <w:rFonts w:hint="eastAsia" w:hAnsi="Cambria Math"/>
        </w:rPr>
        <w:t>14</w:t>
      </w:r>
      <w:r>
        <w:rPr>
          <w:rFonts w:hint="eastAsia" w:hAnsi="Cambria Math"/>
          <w:lang w:eastAsia="zh-CN"/>
        </w:rPr>
        <w:t>)</w:t>
      </w:r>
    </w:p>
    <w:p w14:paraId="5D04F96A">
      <w:pPr>
        <w:keepNext w:val="0"/>
        <w:keepLines w:val="0"/>
        <w:pageBreakBefore w:val="0"/>
        <w:widowControl w:val="0"/>
        <w:kinsoku/>
        <w:wordWrap/>
        <w:overflowPunct/>
        <w:topLinePunct w:val="0"/>
        <w:autoSpaceDE/>
        <w:autoSpaceDN/>
        <w:bidi w:val="0"/>
        <w:adjustRightInd/>
        <w:snapToGrid/>
        <w:jc w:val="both"/>
        <w:textAlignment w:val="auto"/>
        <w:outlineLvl w:val="9"/>
      </w:pPr>
      <w:r>
        <w:t>式中：</w:t>
      </w:r>
    </w:p>
    <w:p w14:paraId="7F9FAC88">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第t年时</w:t>
      </w:r>
      <w:r>
        <w:rPr>
          <w:rFonts w:hint="eastAsia"/>
        </w:rPr>
        <w:t>，</w:t>
      </w:r>
      <w:r>
        <w:t>项目情景下河流湿地土壤（底泥）碳储量年变化量</w:t>
      </w:r>
      <w:r>
        <w:rPr>
          <w:rFonts w:hint="eastAsia"/>
        </w:rPr>
        <w:t>，tC/a；</w:t>
      </w:r>
    </w:p>
    <w:p w14:paraId="72AB2C6F">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SOC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post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清淤后第t年（t≥3）滨岸带0–60cm土壤有机碳总储量，tC</w:t>
      </w:r>
      <w:r>
        <w:rPr>
          <w:rFonts w:hint="eastAsia"/>
        </w:rPr>
        <w:t>；</w:t>
      </w:r>
    </w:p>
    <w:p w14:paraId="260480C5">
      <w:pPr>
        <w:keepNext w:val="0"/>
        <w:keepLines w:val="0"/>
        <w:pageBreakBefore w:val="0"/>
        <w:widowControl w:val="0"/>
        <w:kinsoku/>
        <w:wordWrap/>
        <w:overflowPunct/>
        <w:topLinePunct w:val="0"/>
        <w:autoSpaceDE/>
        <w:autoSpaceDN/>
        <w:bidi w:val="0"/>
        <w:adjustRightInd/>
        <w:snapToGrid/>
        <w:jc w:val="both"/>
        <w:textAlignment w:val="auto"/>
        <w:outlineLvl w:val="9"/>
      </w:pPr>
      <m:oMath>
        <m:sSub>
          <m:sSubPr>
            <m:ctrlPr>
              <w:rPr>
                <w:rFonts w:ascii="Cambria Math" w:hAnsi="Cambria Math"/>
              </w:rPr>
            </m:ctrlPr>
          </m:sSubPr>
          <m:e>
            <m:r>
              <m:rPr>
                <m:sty m:val="p"/>
              </m:rPr>
              <w:rPr>
                <w:rFonts w:ascii="Cambria Math" w:hAnsi="Cambria Math"/>
              </w:rPr>
              <m:t>SOC</m:t>
            </m:r>
            <m:ctrlPr>
              <w:rPr>
                <w:rFonts w:ascii="Cambria Math" w:hAnsi="Cambria Math"/>
              </w:rPr>
            </m:ctrlPr>
          </m:e>
          <m:sub>
            <m:r>
              <m:rPr>
                <m:sty m:val="p"/>
              </m:rPr>
              <w:rPr>
                <w:rFonts w:hint="eastAsia" w:ascii="Cambria Math" w:hAnsi="Cambria Math"/>
              </w:rPr>
              <m:t>river</m:t>
            </m:r>
            <m:r>
              <m:rPr>
                <m:sty m:val="p"/>
              </m:rPr>
              <w:rPr>
                <w:rFonts w:ascii="Cambria Math" w:hAnsi="Cambria Math"/>
              </w:rPr>
              <m:t>−</m:t>
            </m:r>
            <m:r>
              <m:rPr>
                <m:sty m:val="p"/>
              </m:rPr>
              <w:rPr>
                <w:rFonts w:hint="eastAsia" w:ascii="Cambria Math" w:hAnsi="Cambria Math"/>
              </w:rPr>
              <m:t>post</m:t>
            </m:r>
            <m:r>
              <m:rPr>
                <m:sty m:val="p"/>
              </m:rPr>
              <w:rPr>
                <w:rFonts w:ascii="Cambria Math" w:hAnsi="Cambria Math"/>
              </w:rPr>
              <m:t>,0</m:t>
            </m:r>
            <m:ctrlPr>
              <w:rPr>
                <w:rFonts w:ascii="Cambria Math" w:hAnsi="Cambria Math"/>
              </w:rPr>
            </m:ctrlPr>
          </m:sub>
        </m:sSub>
      </m:oMath>
      <w:r>
        <w:rPr>
          <w:rFonts w:hint="eastAsia"/>
        </w:rPr>
        <w:t>——</w:t>
      </w:r>
      <w:r>
        <w:t>过渡期结束（第2年末）的参照碳储量，tC</w:t>
      </w:r>
      <w:r>
        <w:rPr>
          <w:rFonts w:hint="eastAsia"/>
        </w:rPr>
        <w:t>；</w:t>
      </w:r>
    </w:p>
    <w:p w14:paraId="52A5B7D3">
      <w:pPr>
        <w:keepNext w:val="0"/>
        <w:keepLines w:val="0"/>
        <w:pageBreakBefore w:val="0"/>
        <w:widowControl w:val="0"/>
        <w:kinsoku/>
        <w:wordWrap/>
        <w:overflowPunct/>
        <w:topLinePunct w:val="0"/>
        <w:autoSpaceDE/>
        <w:autoSpaceDN/>
        <w:bidi w:val="0"/>
        <w:adjustRightInd/>
        <w:snapToGrid/>
        <w:ind w:left="560" w:leftChars="200" w:firstLine="0" w:firstLineChars="0"/>
        <w:jc w:val="both"/>
        <w:textAlignment w:val="auto"/>
        <w:outlineLvl w:val="9"/>
      </w:pPr>
      <w:r>
        <w:t>t</w:t>
      </w:r>
      <w:r>
        <w:rPr>
          <w:rFonts w:hint="eastAsia"/>
        </w:rPr>
        <w:t>-2</w:t>
      </w:r>
      <w:r>
        <w:t>——自过渡期结束以来的年数，a。</w:t>
      </w:r>
    </w:p>
    <w:bookmarkEnd w:id="120"/>
    <w:bookmarkEnd w:id="127"/>
    <w:p w14:paraId="08F3CE26">
      <w:pPr>
        <w:outlineLvl w:val="3"/>
      </w:pPr>
      <w:r>
        <w:rPr>
          <w:rFonts w:hint="eastAsia"/>
        </w:rPr>
        <w:t xml:space="preserve">7.4.1.3 </w:t>
      </w:r>
      <w:r>
        <w:t>沼泽湿地</w:t>
      </w:r>
    </w:p>
    <w:p w14:paraId="0C382A6D">
      <w:r>
        <w:t>适用于池杉湖、溧水河湿地等区域内的草本沼泽恢复工程。</w:t>
      </w:r>
    </w:p>
    <w:p w14:paraId="61C047ED">
      <w:pPr>
        <w:jc w:val="left"/>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mars</m:t>
            </m:r>
            <m:r>
              <m:rPr>
                <m:sty m:val="p"/>
              </m:rPr>
              <w:rPr>
                <w:rFonts w:ascii="Cambria Math" w:hAnsi="Cambria Math"/>
              </w:rPr>
              <m:t>h−</m:t>
            </m:r>
            <m:r>
              <m:rPr>
                <m:sty m:val="p"/>
              </m:rPr>
              <w:rPr>
                <w:rFonts w:hint="eastAsia" w:ascii="Cambria Math" w:hAnsi="Cambria Math"/>
              </w:rPr>
              <m:t>conversion</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mars</m:t>
            </m:r>
            <m:r>
              <m:rPr>
                <m:sty m:val="p"/>
              </m:rPr>
              <w:rPr>
                <w:rFonts w:ascii="Cambria Math" w:hAnsi="Cambria Math"/>
              </w:rPr>
              <m:t>h−</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mars</m:t>
            </m:r>
            <m:r>
              <m:rPr>
                <m:sty m:val="p"/>
              </m:rPr>
              <w:rPr>
                <w:rFonts w:ascii="Cambria Math" w:hAnsi="Cambria Math"/>
              </w:rPr>
              <m:t>h−</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mars</m:t>
            </m:r>
            <m:r>
              <m:rPr>
                <m:sty m:val="p"/>
              </m:rPr>
              <w:rPr>
                <w:rFonts w:ascii="Cambria Math" w:hAnsi="Cambria Math"/>
              </w:rPr>
              <m:t>h−DOC,</m:t>
            </m:r>
            <m:r>
              <m:rPr>
                <m:sty m:val="p"/>
              </m:rPr>
              <w:rPr>
                <w:rFonts w:hint="eastAsia" w:ascii="Cambria Math" w:hAnsi="Cambria Math"/>
              </w:rPr>
              <m:t>t</m:t>
            </m:r>
            <m:ctrlPr>
              <w:rPr>
                <w:rFonts w:ascii="Cambria Math" w:hAnsi="Cambria Math"/>
              </w:rPr>
            </m:ctrlPr>
          </m:sub>
        </m:sSub>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hAnsi="Cambria Math"/>
        </w:rPr>
        <w:t xml:space="preserve">                                      </w:t>
      </w:r>
      <w:r>
        <w:rPr>
          <w:rFonts w:hint="eastAsia" w:hAnsi="Cambria Math"/>
          <w:lang w:eastAsia="zh-CN"/>
        </w:rPr>
        <w:t>(</w:t>
      </w:r>
      <w:r>
        <w:rPr>
          <w:rFonts w:hint="eastAsia" w:hAnsi="Cambria Math"/>
        </w:rPr>
        <w:t>15</w:t>
      </w:r>
      <w:r>
        <w:rPr>
          <w:rFonts w:hint="eastAsia" w:hAnsi="Cambria Math"/>
          <w:lang w:eastAsia="zh-CN"/>
        </w:rPr>
        <w:t>)</w:t>
      </w:r>
    </w:p>
    <w:p w14:paraId="28942F02">
      <w:r>
        <w:t>式中：</w:t>
      </w:r>
    </w:p>
    <w:p w14:paraId="57DC2662">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mars</m:t>
            </m:r>
            <m:r>
              <m:rPr>
                <m:sty m:val="p"/>
              </m:rPr>
              <w:rPr>
                <w:rFonts w:ascii="Cambria Math" w:hAnsi="Cambria Math"/>
              </w:rPr>
              <m:t>h−</m:t>
            </m:r>
            <m:r>
              <m:rPr>
                <m:sty m:val="p"/>
              </m:rPr>
              <w:rPr>
                <w:rFonts w:hint="eastAsia" w:ascii="Cambria Math" w:hAnsi="Cambria Math"/>
              </w:rPr>
              <m:t>conversion</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第t年退渔（耕）还湿与生境改造工程产生的碳汇量</w:t>
      </w:r>
      <w:r>
        <w:rPr>
          <w:rFonts w:hint="eastAsia"/>
        </w:rPr>
        <w:t>，tCO</w:t>
      </w:r>
      <w:r>
        <w:rPr>
          <w:rFonts w:hint="eastAsia"/>
          <w:vertAlign w:val="subscript"/>
        </w:rPr>
        <w:t>2</w:t>
      </w:r>
      <w:r>
        <w:rPr>
          <w:rFonts w:hint="eastAsia"/>
        </w:rPr>
        <w:t>e/a；</w:t>
      </w:r>
    </w:p>
    <w:p w14:paraId="33B96275">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mars</m:t>
            </m:r>
            <m:r>
              <m:rPr>
                <m:sty m:val="p"/>
              </m:rPr>
              <w:rPr>
                <w:rFonts w:ascii="Cambria Math" w:hAnsi="Cambria Math"/>
              </w:rPr>
              <m:t>h−</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 t 年时</w:t>
      </w:r>
      <w:r>
        <w:rPr>
          <w:rFonts w:hint="eastAsia"/>
        </w:rPr>
        <w:t>，</w:t>
      </w:r>
      <w:r>
        <w:t>项目情景下沼泽湿地植物碳储量年变化量</w:t>
      </w:r>
      <w:r>
        <w:rPr>
          <w:rFonts w:hint="eastAsia"/>
        </w:rPr>
        <w:t>，tC/a；</w:t>
      </w:r>
    </w:p>
    <w:p w14:paraId="6A02E8B6">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mars</m:t>
            </m:r>
            <m:r>
              <m:rPr>
                <m:sty m:val="p"/>
              </m:rPr>
              <w:rPr>
                <w:rFonts w:ascii="Cambria Math" w:hAnsi="Cambria Math"/>
              </w:rPr>
              <m:t>h−</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第t年时</w:t>
      </w:r>
      <w:r>
        <w:rPr>
          <w:rFonts w:hint="eastAsia"/>
        </w:rPr>
        <w:t>，</w:t>
      </w:r>
      <w:r>
        <w:t>项目情景下沼泽湿地土壤（底泥）</w:t>
      </w:r>
      <w:r>
        <w:rPr>
          <w:rFonts w:hint="eastAsia"/>
        </w:rPr>
        <w:t>有机</w:t>
      </w:r>
      <w:r>
        <w:t>碳储量年变化量</w:t>
      </w:r>
      <w:r>
        <w:rPr>
          <w:rFonts w:hint="eastAsia"/>
        </w:rPr>
        <w:t>，tC/a；</w:t>
      </w:r>
    </w:p>
    <w:p w14:paraId="0CA66F87">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mars</m:t>
            </m:r>
            <m:r>
              <m:rPr>
                <m:sty m:val="p"/>
              </m:rPr>
              <w:rPr>
                <w:rFonts w:ascii="Cambria Math" w:hAnsi="Cambria Math"/>
              </w:rPr>
              <m:t>h−DOC,</m:t>
            </m:r>
            <m:r>
              <m:rPr>
                <m:sty m:val="p"/>
              </m:rPr>
              <w:rPr>
                <w:rFonts w:hint="eastAsia" w:ascii="Cambria Math" w:hAnsi="Cambria Math"/>
              </w:rPr>
              <m:t>t</m:t>
            </m:r>
            <m:ctrlPr>
              <w:rPr>
                <w:rFonts w:ascii="Cambria Math" w:hAnsi="Cambria Math"/>
              </w:rPr>
            </m:ctrlPr>
          </m:sub>
        </m:sSub>
      </m:oMath>
      <w:r>
        <w:rPr>
          <w:rFonts w:hint="eastAsia"/>
        </w:rPr>
        <w:t>——</w:t>
      </w:r>
      <w:r>
        <w:t>第t年时</w:t>
      </w:r>
      <w:r>
        <w:rPr>
          <w:rFonts w:hint="eastAsia"/>
        </w:rPr>
        <w:t>，</w:t>
      </w:r>
      <w:r>
        <w:t>项目情景下沼泽湿地</w:t>
      </w:r>
      <w:r>
        <w:rPr>
          <w:rFonts w:hint="eastAsia"/>
        </w:rPr>
        <w:t>水体溶解有机碳储量</w:t>
      </w:r>
      <w:r>
        <w:t>年变化量</w:t>
      </w:r>
      <w:r>
        <w:rPr>
          <w:rFonts w:hint="eastAsia"/>
        </w:rPr>
        <w:t>，tC/a；</w:t>
      </w:r>
    </w:p>
    <w:p w14:paraId="6811469D">
      <m:oMath>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rPr>
        <w:t>——</w:t>
      </w:r>
      <w:r>
        <w:t>碳（C）转化为二氧化碳（</w:t>
      </w:r>
      <w:r>
        <w:rPr>
          <w:rFonts w:cs="Times New Roman"/>
        </w:rPr>
        <w:t>CO</w:t>
      </w:r>
      <w:r>
        <w:rPr>
          <w:rFonts w:hint="eastAsia" w:cs="Times New Roman"/>
          <w:vertAlign w:val="subscript"/>
          <w:lang w:val="en-US" w:eastAsia="zh-CN"/>
        </w:rPr>
        <w:t>2</w:t>
      </w:r>
      <w:r>
        <w:t>）的当量折算固定系数</w:t>
      </w:r>
      <w:r>
        <w:rPr>
          <w:rFonts w:hint="eastAsia"/>
        </w:rPr>
        <w:t>，无量纲；</w:t>
      </w:r>
    </w:p>
    <w:p w14:paraId="79CED431">
      <w:r>
        <w:rPr>
          <w:rFonts w:hint="eastAsia"/>
        </w:rPr>
        <w:t>t——自项目开始以来的年数，1，2，3，……，无量纲。</w:t>
      </w:r>
    </w:p>
    <w:p w14:paraId="787A9596">
      <w:pPr>
        <w:outlineLvl w:val="3"/>
      </w:pPr>
      <w:r>
        <w:rPr>
          <w:rFonts w:hint="eastAsia"/>
        </w:rPr>
        <w:t>7.4.1.4 乡村小微湿地</w:t>
      </w:r>
    </w:p>
    <w:p w14:paraId="11C99A93">
      <w:r>
        <w:rPr>
          <w:rFonts w:hint="eastAsia"/>
        </w:rPr>
        <w:t>工程特征：对乡村坑塘、沟渠、废弃养殖塘等小型湿地进行生态化改造，包括塘底清淤、边坡生态化、水生植物种植等。碳汇来源以植被碳库和表层土壤碳库为主，</w:t>
      </w:r>
      <w:r>
        <w:t>水体DOC碳库因体量极小，可忽略不计。</w:t>
      </w:r>
    </w:p>
    <w:p w14:paraId="7E3BAF46">
      <w:pPr>
        <w:jc w:val="right"/>
      </w:p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micro</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micro</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micro</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hint="eastAsia" w:ascii="Cambria Math" w:hAnsi="Cambria Math"/>
          </w:rPr>
          <m:t>）×</m:t>
        </m:r>
        <m:f>
          <m:fPr>
            <m:ctrlPr>
              <w:rPr>
                <w:rFonts w:ascii="Cambria Math" w:hAnsi="Cambria Math"/>
              </w:rPr>
            </m:ctrlPr>
          </m:fPr>
          <m:num>
            <m:r>
              <m:rPr>
                <m:sty m:val="p"/>
              </m:rPr>
              <w:rPr>
                <w:rFonts w:ascii="Cambria Math" w:hAnsi="Cambria Math"/>
              </w:rPr>
              <m:t>44</m:t>
            </m:r>
            <m:ctrlPr>
              <w:rPr>
                <w:rFonts w:ascii="Cambria Math" w:hAnsi="Cambria Math"/>
              </w:rPr>
            </m:ctrlPr>
          </m:num>
          <m:den>
            <m:r>
              <m:rPr>
                <m:sty m:val="p"/>
              </m:rPr>
              <w:rPr>
                <w:rFonts w:ascii="Cambria Math" w:hAnsi="Cambria Math"/>
              </w:rPr>
              <m:t>12</m:t>
            </m:r>
            <m:ctrlPr>
              <w:rPr>
                <w:rFonts w:ascii="Cambria Math" w:hAnsi="Cambria Math"/>
              </w:rPr>
            </m:ctrlPr>
          </m:den>
        </m:f>
      </m:oMath>
      <w:r>
        <w:rPr>
          <w:rFonts w:hint="eastAsia" w:hAnsi="Cambria Math"/>
        </w:rPr>
        <w:t xml:space="preserve">        </w:t>
      </w:r>
      <w:r>
        <w:rPr>
          <w:rFonts w:hint="eastAsia" w:hAnsi="Cambria Math"/>
          <w:lang w:eastAsia="zh-CN"/>
        </w:rPr>
        <w:t>(</w:t>
      </w:r>
      <w:r>
        <w:rPr>
          <w:rFonts w:hint="eastAsia" w:hAnsi="Cambria Math"/>
        </w:rPr>
        <w:t>16</w:t>
      </w:r>
      <w:r>
        <w:rPr>
          <w:rFonts w:hint="eastAsia" w:hAnsi="Cambria Math"/>
          <w:lang w:eastAsia="zh-CN"/>
        </w:rPr>
        <w:t>)</w:t>
      </w:r>
    </w:p>
    <w:p w14:paraId="52C00145">
      <w:r>
        <w:t>式中：</w:t>
      </w:r>
    </w:p>
    <w:p w14:paraId="2AFDA330">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micro</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第t年时</w:t>
      </w:r>
      <w:r>
        <w:rPr>
          <w:rFonts w:hint="eastAsia"/>
        </w:rPr>
        <w:t>，</w:t>
      </w:r>
      <w:r>
        <w:t>项目情景下乡村小微湿地修复工程碳汇量</w:t>
      </w:r>
      <w:r>
        <w:rPr>
          <w:rFonts w:hint="eastAsia"/>
        </w:rPr>
        <w:t>，tCO</w:t>
      </w:r>
      <w:r>
        <w:rPr>
          <w:vertAlign w:val="subscript"/>
        </w:rPr>
        <w:t>2</w:t>
      </w:r>
      <w:r>
        <w:rPr>
          <w:rFonts w:hint="eastAsia"/>
        </w:rPr>
        <w:t>e/a；</w:t>
      </w:r>
    </w:p>
    <w:p w14:paraId="5F6A2A39">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micro</m:t>
            </m:r>
            <m:r>
              <m:rPr>
                <m:sty m:val="p"/>
              </m:rPr>
              <w:rPr>
                <w:rFonts w:ascii="Cambria Math" w:hAnsi="Cambria Math"/>
              </w:rPr>
              <m:t>−</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第t年小微湿地水生及湿生植物碳储量年变化量，</w:t>
      </w:r>
      <w:r>
        <w:rPr>
          <w:rFonts w:hint="eastAsia"/>
        </w:rPr>
        <w:t>tC/a；</w:t>
      </w:r>
    </w:p>
    <w:p w14:paraId="06E2B8FB">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hint="eastAsia" w:ascii="Cambria Math" w:hAnsi="Cambria Math"/>
              </w:rPr>
              <m:t>micro</m:t>
            </m:r>
            <m:r>
              <m:rPr>
                <m:sty m:val="p"/>
              </m:rPr>
              <w:rPr>
                <w:rFonts w:ascii="Cambria Math" w:hAnsi="Cambria Math"/>
              </w:rPr>
              <m:t>−</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第t年小微湿地</w:t>
      </w:r>
      <w:r>
        <w:rPr>
          <w:rFonts w:hint="eastAsia"/>
        </w:rPr>
        <w:t>土壤</w:t>
      </w:r>
      <w:r>
        <w:t>有机碳年变化量，</w:t>
      </w:r>
      <w:r>
        <w:rPr>
          <w:rFonts w:hint="eastAsia"/>
        </w:rPr>
        <w:t>tC/a；</w:t>
      </w:r>
    </w:p>
    <w:p w14:paraId="42DF3AB8">
      <w:r>
        <w:rPr>
          <w:rFonts w:hint="eastAsia"/>
        </w:rPr>
        <w:t>t——自项目开始以来的年数，1，2，3，……，无量纲。</w:t>
      </w:r>
    </w:p>
    <w:p w14:paraId="08DC6DE7">
      <w:pPr>
        <w:outlineLvl w:val="2"/>
      </w:pPr>
      <w:r>
        <w:rPr>
          <w:rFonts w:hint="eastAsia"/>
        </w:rPr>
        <w:t xml:space="preserve">7.4.2 </w:t>
      </w:r>
      <w:r>
        <w:t>项目实际碳排放量</w:t>
      </w:r>
    </w:p>
    <w:p w14:paraId="0B70EE38">
      <w:r>
        <w:t>项目实际碳排放量是指项目情景下，湿地生态修复、植被恢复和常态化管护过程中产生的年度温室气体排放量。根据本方法学适用的项目类型特征，并基于保守性和简化核算原则，主要核算</w:t>
      </w:r>
      <w:r>
        <w:rPr>
          <w:rFonts w:hint="eastAsia"/>
        </w:rPr>
        <w:t>是</w:t>
      </w:r>
      <w:r>
        <w:t>因土壤扰动和水体管理引发的CH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排放。项目活动中涉及的监测设备、管护机械、车辆船舶等燃烧化石燃料产生的排放，因排放量小且核算成本高，统一忽略不计</w:t>
      </w:r>
      <w:r>
        <w:rPr>
          <w:rFonts w:hint="eastAsia"/>
        </w:rPr>
        <w:t>。</w:t>
      </w:r>
    </w:p>
    <w:p w14:paraId="066F8FC5">
      <w:r>
        <w:t>项目实际碳排放量按以下公式计算：</w:t>
      </w:r>
    </w:p>
    <w:p w14:paraId="00EB3F9A">
      <w:pPr>
        <w:jc w:val="right"/>
      </w:pPr>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ascii="Cambria Math" w:hAnsi="Cambria Math"/>
              </w:rPr>
              <m:t>ACTUAL,</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w:bookmarkStart w:id="132" w:name="OLE_LINK14"/>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hint="eastAsia" w:ascii="Cambria Math" w:hAnsi="Cambria Math"/>
              </w:rPr>
              <m:t>water</m:t>
            </m:r>
            <m:r>
              <m:rPr>
                <m:sty m:val="p"/>
              </m:rPr>
              <w:rPr>
                <w:rFonts w:ascii="Cambria Math" w:hAnsi="Cambria Math"/>
              </w:rPr>
              <m:t>,</m:t>
            </m:r>
            <m:r>
              <m:rPr>
                <m:sty m:val="p"/>
              </m:rPr>
              <w:rPr>
                <w:rFonts w:hint="eastAsia" w:ascii="Cambria Math" w:hAnsi="Cambria Math"/>
              </w:rPr>
              <m:t>t</m:t>
            </m:r>
            <w:bookmarkEnd w:id="132"/>
            <m:ctrlPr>
              <w:rPr>
                <w:rFonts w:ascii="Cambria Math" w:hAnsi="Cambria Math"/>
              </w:rPr>
            </m:ctrlPr>
          </m:sub>
        </m:sSub>
      </m:oMath>
      <w:r>
        <w:rPr>
          <w:rFonts w:hint="eastAsia" w:hAnsi="Cambria Math"/>
        </w:rPr>
        <w:t xml:space="preserve">                          </w:t>
      </w:r>
      <w:r>
        <w:rPr>
          <w:rFonts w:hint="eastAsia" w:hAnsi="Cambria Math"/>
          <w:lang w:eastAsia="zh-CN"/>
        </w:rPr>
        <w:t>(</w:t>
      </w:r>
      <w:r>
        <w:rPr>
          <w:rFonts w:hint="eastAsia" w:hAnsi="Cambria Math"/>
        </w:rPr>
        <w:t>17</w:t>
      </w:r>
      <w:r>
        <w:rPr>
          <w:rFonts w:hint="eastAsia" w:hAnsi="Cambria Math"/>
          <w:lang w:eastAsia="zh-CN"/>
        </w:rPr>
        <w:t>)</w:t>
      </w:r>
    </w:p>
    <w:p w14:paraId="5BF3B1EA">
      <w:r>
        <w:t>式中：</w:t>
      </w:r>
    </w:p>
    <w:p w14:paraId="2EFD35FA">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ascii="Cambria Math" w:hAnsi="Cambria Math"/>
              </w:rPr>
              <m:t>ACTUAL,</m:t>
            </m:r>
            <m:r>
              <m:rPr>
                <m:sty m:val="p"/>
              </m:rPr>
              <w:rPr>
                <w:rFonts w:hint="eastAsia" w:ascii="Cambria Math" w:hAnsi="Cambria Math"/>
              </w:rPr>
              <m:t>t</m:t>
            </m:r>
            <m:ctrlPr>
              <w:rPr>
                <w:rFonts w:ascii="Cambria Math" w:hAnsi="Cambria Math"/>
              </w:rPr>
            </m:ctrlPr>
          </m:sub>
        </m:sSub>
      </m:oMath>
      <w:r>
        <w:rPr>
          <w:rFonts w:hint="eastAsia"/>
        </w:rPr>
        <w:t>——</w:t>
      </w:r>
      <w:r>
        <w:t>第t年时项目实际碳排放量</w:t>
      </w:r>
      <w:r>
        <w:rPr>
          <w:rFonts w:hint="eastAsia"/>
        </w:rPr>
        <w:t>，tCO</w:t>
      </w:r>
      <w:r>
        <w:rPr>
          <w:vertAlign w:val="subscript"/>
        </w:rPr>
        <w:t>2</w:t>
      </w:r>
      <w:r>
        <w:rPr>
          <w:rFonts w:hint="eastAsia"/>
        </w:rPr>
        <w:t>e/a；</w:t>
      </w:r>
    </w:p>
    <w:p w14:paraId="430C8034">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第t年土壤扰动产生的CH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排放量，t</w:t>
      </w:r>
      <w:r>
        <w:rPr>
          <w:rFonts w:hint="eastAsia"/>
          <w:highlight w:val="none"/>
          <w:lang w:eastAsia="zh-CN"/>
        </w:rPr>
        <w:t>CO</w:t>
      </w:r>
      <w:r>
        <w:rPr>
          <w:rFonts w:hint="eastAsia"/>
          <w:highlight w:val="none"/>
          <w:vertAlign w:val="subscript"/>
          <w:lang w:eastAsia="zh-CN"/>
        </w:rPr>
        <w:t>2e</w:t>
      </w:r>
      <w:r>
        <w:t>/a</w:t>
      </w:r>
      <w:r>
        <w:rPr>
          <w:rFonts w:hint="eastAsia"/>
        </w:rPr>
        <w:t>；</w:t>
      </w:r>
    </w:p>
    <w:p w14:paraId="519F1033">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hint="eastAsia" w:ascii="Cambria Math" w:hAnsi="Cambria Math"/>
              </w:rPr>
              <m:t>water</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第t年水体管理产生的CH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排放量，t</w:t>
      </w:r>
      <w:r>
        <w:rPr>
          <w:rFonts w:hint="eastAsia"/>
          <w:highlight w:val="none"/>
          <w:lang w:eastAsia="zh-CN"/>
        </w:rPr>
        <w:t>CO</w:t>
      </w:r>
      <w:r>
        <w:rPr>
          <w:rFonts w:hint="eastAsia"/>
          <w:highlight w:val="none"/>
          <w:vertAlign w:val="subscript"/>
          <w:lang w:eastAsia="zh-CN"/>
        </w:rPr>
        <w:t>2e</w:t>
      </w:r>
      <w:r>
        <w:t>/a</w:t>
      </w:r>
      <w:r>
        <w:rPr>
          <w:rFonts w:hint="eastAsia"/>
        </w:rPr>
        <w:t>。</w:t>
      </w:r>
    </w:p>
    <w:p w14:paraId="5E3D4F0A">
      <w:pPr>
        <w:outlineLvl w:val="3"/>
      </w:pPr>
      <w:bookmarkStart w:id="133" w:name="_Toc231854807"/>
      <w:bookmarkStart w:id="134" w:name="OLE_LINK35"/>
      <w:r>
        <w:rPr>
          <w:rFonts w:hint="eastAsia"/>
        </w:rPr>
        <w:t xml:space="preserve">7.4.2.1 </w:t>
      </w:r>
      <w:r>
        <w:t>土壤扰动排放</w:t>
      </w:r>
      <w:bookmarkEnd w:id="133"/>
    </w:p>
    <w:bookmarkEnd w:id="134"/>
    <w:p w14:paraId="710E1CA7">
      <w:r>
        <w:t>土壤扰动排放主要来自湿地恢复过程中整地、翻耕、基质改良等活动引起的CH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排放。计算公式如下：</w:t>
      </w:r>
    </w:p>
    <w:p w14:paraId="456E33B2">
      <w:pPr>
        <w:jc w:val="right"/>
      </w:pPr>
      <m:oMath>
        <m:sSub>
          <w:bookmarkStart w:id="135" w:name="OLE_LINK36"/>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disturb</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sSub>
          <m:sSubPr>
            <m:ctrlPr>
              <w:rPr>
                <w:rFonts w:ascii="Cambria Math" w:hAnsi="Cambria Math"/>
              </w:rPr>
            </m:ctrlPr>
          </m:sSubPr>
          <m:e>
            <m:r>
              <m:rPr>
                <m:sty m:val="p"/>
              </m:rPr>
              <w:rPr>
                <w:rFonts w:hint="eastAsia" w:ascii="Cambria Math" w:hAnsi="Cambria Math"/>
              </w:rPr>
              <m:t>×（</m:t>
            </m:r>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r>
              <m:rPr>
                <m:sty m:val="p"/>
              </m:rPr>
              <w:rPr>
                <w:rFonts w:ascii="Cambria Math" w:hAnsi="Cambria Math"/>
              </w:rPr>
              <m:t>,</m:t>
            </m:r>
            <m:r>
              <m:rPr>
                <m:sty m:val="p"/>
              </m:rPr>
              <w:rPr>
                <w:rFonts w:hint="eastAsia" w:ascii="Cambria Math" w:hAnsi="Cambria Math"/>
              </w:rPr>
              <m:t>soil</m:t>
            </m:r>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ctrlPr>
              <w:rPr>
                <w:rFonts w:ascii="Cambria Math" w:hAnsi="Cambria Math"/>
              </w:rPr>
            </m:ctrlPr>
          </m:sub>
        </m:sSub>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r>
              <m:rPr>
                <m:sty m:val="p"/>
              </m:rPr>
              <w:rPr>
                <w:rFonts w:hint="eastAsia" w:ascii="Cambria Math" w:hAnsi="Cambria Math"/>
              </w:rPr>
              <m:t>soil</m:t>
            </m:r>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ctrlPr>
              <w:rPr>
                <w:rFonts w:ascii="Cambria Math" w:hAnsi="Cambria Math"/>
              </w:rPr>
            </m:ctrlPr>
          </m:sub>
        </m:sSub>
        <m:r>
          <m:rPr>
            <m:sty m:val="p"/>
          </m:rPr>
          <w:rPr>
            <w:rFonts w:ascii="Cambria Math" w:hAnsi="Cambria Math"/>
          </w:rPr>
          <m:t>)</m:t>
        </m:r>
        <m:r>
          <m:rPr>
            <m:sty m:val="p"/>
          </m:rPr>
          <w:rPr>
            <w:rFonts w:hint="eastAsia" w:ascii="Cambria Math" w:hAnsi="Cambria Math"/>
          </w:rPr>
          <m:t>×</m:t>
        </m:r>
        <m:sSup>
          <m:sSupPr>
            <m:ctrlPr>
              <w:rPr>
                <w:rFonts w:ascii="Cambria Math" w:hAnsi="Cambria Math"/>
              </w:rPr>
            </m:ctrlPr>
          </m:sSupPr>
          <m:e>
            <m:r>
              <m:rPr>
                <m:sty m:val="p"/>
              </m:rPr>
              <w:rPr>
                <w:rFonts w:ascii="Cambria Math" w:hAnsi="Cambria Math"/>
              </w:rPr>
              <m:t>10</m:t>
            </m:r>
            <m:ctrlPr>
              <w:rPr>
                <w:rFonts w:ascii="Cambria Math" w:hAnsi="Cambria Math"/>
              </w:rPr>
            </m:ctrlPr>
          </m:e>
          <m:sup>
            <m:r>
              <m:rPr>
                <m:sty m:val="p"/>
              </m:rPr>
              <w:rPr>
                <w:rFonts w:ascii="Cambria Math" w:hAnsi="Cambria Math"/>
              </w:rPr>
              <m:t>−3</m:t>
            </m:r>
            <m:ctrlPr>
              <w:rPr>
                <w:rFonts w:ascii="Cambria Math" w:hAnsi="Cambria Math"/>
              </w:rPr>
            </m:ctrlPr>
          </m:sup>
        </m:sSup>
      </m:oMath>
      <w:r>
        <w:rPr>
          <w:rFonts w:hint="eastAsia" w:hAnsi="Cambria Math"/>
        </w:rPr>
        <w:t xml:space="preserve">                       </w:t>
      </w:r>
      <w:r>
        <w:rPr>
          <w:rFonts w:hint="eastAsia" w:hAnsi="Cambria Math"/>
          <w:lang w:eastAsia="zh-CN"/>
        </w:rPr>
        <w:t>(</w:t>
      </w:r>
      <w:r>
        <w:rPr>
          <w:rFonts w:hint="eastAsia" w:hAnsi="Cambria Math"/>
        </w:rPr>
        <w:t>18</w:t>
      </w:r>
      <w:r>
        <w:rPr>
          <w:rFonts w:hint="eastAsia" w:hAnsi="Cambria Math"/>
          <w:lang w:eastAsia="zh-CN"/>
        </w:rPr>
        <w:t>)</w:t>
      </w:r>
    </w:p>
    <w:p w14:paraId="2FC2056A">
      <w:r>
        <w:t>式中：</w:t>
      </w:r>
    </w:p>
    <w:p w14:paraId="41566D81">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bookmarkStart w:id="136" w:name="OLE_LINK32"/>
      <w:r>
        <w:rPr>
          <w:rFonts w:hint="eastAsia"/>
        </w:rPr>
        <w:t>——</w:t>
      </w:r>
      <w:r>
        <w:t>第t年土壤扰动产生的CH</w:t>
      </w:r>
      <w:r>
        <w:rPr>
          <w:rFonts w:hint="eastAsia"/>
          <w:vertAlign w:val="subscript"/>
          <w:lang w:val="en-US" w:eastAsia="zh-CN"/>
        </w:rPr>
        <w:t>4</w:t>
      </w:r>
      <w:r>
        <w:t>和N</w:t>
      </w:r>
      <w:r>
        <w:rPr>
          <w:rFonts w:hint="eastAsia"/>
          <w:vertAlign w:val="subscript"/>
          <w:lang w:val="en-US" w:eastAsia="zh-CN"/>
        </w:rPr>
        <w:t>2</w:t>
      </w:r>
      <w:r>
        <w:t>O排放量，tCO</w:t>
      </w:r>
      <w:r>
        <w:rPr>
          <w:rFonts w:hint="eastAsia"/>
          <w:vertAlign w:val="subscript"/>
          <w:lang w:val="en-US" w:eastAsia="zh-CN"/>
        </w:rPr>
        <w:t>2</w:t>
      </w:r>
      <w:r>
        <w:rPr>
          <w:vertAlign w:val="subscript"/>
        </w:rPr>
        <w:t>e</w:t>
      </w:r>
      <w:r>
        <w:t>/a</w:t>
      </w:r>
      <w:r>
        <w:rPr>
          <w:rFonts w:hint="eastAsia"/>
        </w:rPr>
        <w:t>；</w:t>
      </w:r>
      <w:bookmarkEnd w:id="136"/>
    </w:p>
    <w:p w14:paraId="2BB3B7F8">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disturb</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bookmarkStart w:id="137" w:name="OLE_LINK33"/>
      <w:r>
        <w:rPr>
          <w:rFonts w:hint="eastAsia"/>
        </w:rPr>
        <w:t>——</w:t>
      </w:r>
      <w:bookmarkEnd w:id="137"/>
      <w:r>
        <w:t>第t年受到土壤扰动的面积，hm²</w:t>
      </w:r>
      <w:r>
        <w:rPr>
          <w:rFonts w:hint="eastAsia"/>
        </w:rPr>
        <w:t>；</w:t>
      </w:r>
    </w:p>
    <w:p w14:paraId="28A57139">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r>
              <m:rPr>
                <m:sty m:val="p"/>
              </m:rPr>
              <w:rPr>
                <w:rFonts w:ascii="Cambria Math" w:hAnsi="Cambria Math"/>
              </w:rPr>
              <m:t>,</m:t>
            </m:r>
            <m:r>
              <m:rPr>
                <m:sty m:val="p"/>
              </m:rPr>
              <w:rPr>
                <w:rFonts w:hint="eastAsia" w:ascii="Cambria Math" w:hAnsi="Cambria Math"/>
              </w:rPr>
              <m:t>soil</m:t>
            </m:r>
            <m:ctrlPr>
              <w:rPr>
                <w:rFonts w:ascii="Cambria Math" w:hAnsi="Cambria Math"/>
              </w:rPr>
            </m:ctrlPr>
          </m:sub>
        </m:sSub>
      </m:oMath>
      <w:r>
        <w:t>——湿地土壤扰动产生的CH</w:t>
      </w:r>
      <w:r>
        <w:rPr>
          <w:rFonts w:hint="eastAsia"/>
          <w:vertAlign w:val="subscript"/>
          <w:lang w:val="en-US" w:eastAsia="zh-CN"/>
        </w:rPr>
        <w:t>4</w:t>
      </w:r>
      <w:r>
        <w:t>排放因子，kg CH</w:t>
      </w:r>
      <w:r>
        <w:rPr>
          <w:rFonts w:hint="eastAsia"/>
          <w:vertAlign w:val="subscript"/>
          <w:lang w:val="en-US" w:eastAsia="zh-CN"/>
        </w:rPr>
        <w:t>4</w:t>
      </w:r>
      <w:r>
        <w:t>/(hm²·a)</w:t>
      </w:r>
      <w:r>
        <w:rPr>
          <w:rFonts w:hint="eastAsia"/>
        </w:rPr>
        <w:t>；</w:t>
      </w:r>
    </w:p>
    <w:p w14:paraId="6DF56029">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r>
              <m:rPr>
                <m:sty m:val="p"/>
              </m:rPr>
              <w:rPr>
                <w:rFonts w:hint="eastAsia" w:ascii="Cambria Math" w:hAnsi="Cambria Math"/>
              </w:rPr>
              <m:t>soil</m:t>
            </m:r>
            <m:ctrlPr>
              <w:rPr>
                <w:rFonts w:ascii="Cambria Math" w:hAnsi="Cambria Math"/>
              </w:rPr>
            </m:ctrlPr>
          </m:sub>
        </m:sSub>
      </m:oMath>
      <w:r>
        <w:t>——湿地土壤扰动产生的N</w:t>
      </w:r>
      <w:r>
        <w:rPr>
          <w:rFonts w:hint="eastAsia"/>
          <w:vertAlign w:val="subscript"/>
          <w:lang w:val="en-US" w:eastAsia="zh-CN"/>
        </w:rPr>
        <w:t>2</w:t>
      </w:r>
      <w:r>
        <w:t xml:space="preserve">O排放因子，kg </w:t>
      </w:r>
      <w:r>
        <w:rPr>
          <w:rFonts w:cs="Times New Roman"/>
        </w:rPr>
        <w:t>N</w:t>
      </w:r>
      <w:r>
        <w:rPr>
          <w:rFonts w:hint="eastAsia" w:cs="Times New Roman"/>
          <w:vertAlign w:val="subscript"/>
          <w:lang w:val="en-US" w:eastAsia="zh-CN"/>
        </w:rPr>
        <w:t>2</w:t>
      </w:r>
      <w:r>
        <w:rPr>
          <w:rFonts w:cs="Times New Roman"/>
        </w:rPr>
        <w:t>O</w:t>
      </w:r>
      <w:r>
        <w:t>/(hm²·a)</w:t>
      </w:r>
      <w:r>
        <w:rPr>
          <w:rFonts w:hint="eastAsia"/>
        </w:rPr>
        <w:t>；</w:t>
      </w:r>
    </w:p>
    <w:p w14:paraId="7976F788">
      <m:oMath>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ctrlPr>
              <w:rPr>
                <w:rFonts w:ascii="Cambria Math" w:hAnsi="Cambria Math"/>
              </w:rPr>
            </m:ctrlPr>
          </m:sub>
        </m:sSub>
      </m:oMath>
      <w:r>
        <w:t>——CH</w:t>
      </w:r>
      <w:r>
        <w:rPr>
          <w:rFonts w:hint="eastAsia"/>
          <w:vertAlign w:val="subscript"/>
          <w:lang w:val="en-US" w:eastAsia="zh-CN"/>
        </w:rPr>
        <w:t>4</w:t>
      </w:r>
      <w:r>
        <w:t>的全球增温潜势，取值为2</w:t>
      </w:r>
      <w:r>
        <w:rPr>
          <w:rFonts w:hint="eastAsia"/>
        </w:rPr>
        <w:t>7.9（</w:t>
      </w:r>
      <w:r>
        <w:t>IPCC 第六次评估报告</w:t>
      </w:r>
      <w:r>
        <w:rPr>
          <w:rFonts w:hint="eastAsia"/>
        </w:rPr>
        <w:t>）；</w:t>
      </w:r>
    </w:p>
    <w:p w14:paraId="6403194F">
      <m:oMath>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ctrlPr>
              <w:rPr>
                <w:rFonts w:ascii="Cambria Math" w:hAnsi="Cambria Math"/>
              </w:rPr>
            </m:ctrlPr>
          </m:sub>
        </m:sSub>
      </m:oMath>
      <w:r>
        <w:t>——</w:t>
      </w:r>
      <w:r>
        <w:rPr>
          <w:rFonts w:cs="Times New Roman"/>
        </w:rPr>
        <w:t>N</w:t>
      </w:r>
      <w:r>
        <w:rPr>
          <w:rFonts w:hint="eastAsia" w:cs="Times New Roman"/>
          <w:vertAlign w:val="subscript"/>
          <w:lang w:val="en-US" w:eastAsia="zh-CN"/>
        </w:rPr>
        <w:t>2</w:t>
      </w:r>
      <w:r>
        <w:rPr>
          <w:rFonts w:cs="Times New Roman"/>
        </w:rPr>
        <w:t>O</w:t>
      </w:r>
      <w:r>
        <w:t>的全球增温潜势，取值为</w:t>
      </w:r>
      <w:r>
        <w:rPr>
          <w:rFonts w:hint="eastAsia"/>
        </w:rPr>
        <w:t>273（</w:t>
      </w:r>
      <w:r>
        <w:t>IPCC 第六次评估报告</w:t>
      </w:r>
      <w:r>
        <w:rPr>
          <w:rFonts w:hint="eastAsia"/>
        </w:rPr>
        <w:t>）；</w:t>
      </w:r>
    </w:p>
    <w:p w14:paraId="65EEE41B">
      <w:bookmarkStart w:id="138" w:name="OLE_LINK2"/>
      <w:r>
        <w:rPr>
          <w:rFonts w:hint="eastAsia"/>
        </w:rPr>
        <w:t>10</w:t>
      </w:r>
      <w:r>
        <w:rPr>
          <w:vertAlign w:val="superscript"/>
        </w:rPr>
        <w:t>-3</w:t>
      </w:r>
      <w:r>
        <w:rPr>
          <w:rFonts w:hint="eastAsia"/>
        </w:rPr>
        <w:t>——</w:t>
      </w:r>
      <w:r>
        <w:t>kg转换为t</w:t>
      </w:r>
      <w:r>
        <w:rPr>
          <w:rFonts w:hint="eastAsia"/>
        </w:rPr>
        <w:t>的</w:t>
      </w:r>
      <w:r>
        <w:t>单位换算系数</w:t>
      </w:r>
      <w:r>
        <w:rPr>
          <w:rFonts w:hint="eastAsia"/>
        </w:rPr>
        <w:t>；</w:t>
      </w:r>
    </w:p>
    <w:bookmarkEnd w:id="138"/>
    <w:p w14:paraId="18B1DC0B">
      <w:r>
        <w:rPr>
          <w:rFonts w:hint="eastAsia"/>
        </w:rPr>
        <w:t>t——自项目开始以来的年数，1，2，3，……，无量纲。</w:t>
      </w:r>
    </w:p>
    <w:bookmarkEnd w:id="135"/>
    <w:p w14:paraId="7A534B9D">
      <w:pPr>
        <w:outlineLvl w:val="3"/>
      </w:pPr>
      <w:bookmarkStart w:id="139" w:name="_Toc231854808"/>
      <w:r>
        <w:rPr>
          <w:rFonts w:hint="eastAsia"/>
        </w:rPr>
        <w:t>7.4.2.2 水体管理排放</w:t>
      </w:r>
      <w:bookmarkEnd w:id="139"/>
    </w:p>
    <w:p w14:paraId="6888BA06">
      <w:r>
        <w:rPr>
          <w:rFonts w:hint="eastAsia"/>
        </w:rPr>
        <w:t>水体管理排放主要来自湿地水位调节、水质净化等管理活动引起的额外</w:t>
      </w:r>
      <w:r>
        <w:t>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排放。计算公式如下</w:t>
      </w:r>
      <w:r>
        <w:rPr>
          <w:rFonts w:hint="eastAsia"/>
        </w:rPr>
        <w:t>：</w:t>
      </w:r>
    </w:p>
    <w:p w14:paraId="605558E9">
      <w:bookmarkStart w:id="140" w:name="OLE_LINK38"/>
      <m:oMathPara>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hint="eastAsia" w:ascii="Cambria Math" w:hAnsi="Cambria Math"/>
                </w:rPr>
                <m:t>water</m:t>
              </m:r>
              <m:r>
                <m:rPr>
                  <m:sty m:val="p"/>
                </m:rPr>
                <w:rPr>
                  <w:rFonts w:ascii="Cambria Math" w:hAnsi="Cambria Math"/>
                </w:rPr>
                <m:t>,</m:t>
              </m:r>
              <m:r>
                <m:rPr>
                  <m:sty m:val="p"/>
                </m:rPr>
                <w:rPr>
                  <w:rFonts w:hint="eastAsia" w:ascii="Cambria Math" w:hAnsi="Cambria Math"/>
                </w:rPr>
                <m:t>t</m:t>
              </m:r>
              <w:bookmarkEnd w:id="140"/>
              <m:ctrlPr>
                <w:rPr>
                  <w:rFonts w:ascii="Cambria Math" w:hAnsi="Cambria Math"/>
                </w:rPr>
              </m:ctrlP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water</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sSub>
            <m:sSubPr>
              <m:ctrlPr>
                <w:rPr>
                  <w:rFonts w:ascii="Cambria Math" w:hAnsi="Cambria Math"/>
                </w:rPr>
              </m:ctrlPr>
            </m:sSubPr>
            <m:e>
              <m:r>
                <m:rPr>
                  <m:sty m:val="p"/>
                </m:rPr>
                <w:rPr>
                  <w:rFonts w:hint="eastAsia" w:ascii="Cambria Math" w:hAnsi="Cambria Math"/>
                </w:rPr>
                <m:t>×（</m:t>
              </m:r>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r>
                <m:rPr>
                  <m:sty m:val="p"/>
                </m:rPr>
                <w:rPr>
                  <w:rFonts w:ascii="Cambria Math" w:hAnsi="Cambria Math"/>
                </w:rPr>
                <m:t>,</m:t>
              </m:r>
              <m:r>
                <m:rPr>
                  <m:sty m:val="p"/>
                </m:rPr>
                <w:rPr>
                  <w:rFonts w:hint="eastAsia" w:ascii="Cambria Math" w:hAnsi="Cambria Math"/>
                </w:rPr>
                <m:t>water</m:t>
              </m:r>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ctrlPr>
                <w:rPr>
                  <w:rFonts w:ascii="Cambria Math" w:hAnsi="Cambria Math"/>
                </w:rPr>
              </m:ctrlPr>
            </m:sub>
          </m:sSub>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r>
                <m:rPr>
                  <m:sty m:val="p"/>
                </m:rPr>
                <w:rPr>
                  <w:rFonts w:hint="eastAsia" w:ascii="Cambria Math" w:hAnsi="Cambria Math"/>
                </w:rPr>
                <m:t>water</m:t>
              </m:r>
              <m:ctrlPr>
                <w:rPr>
                  <w:rFonts w:ascii="Cambria Math" w:hAnsi="Cambria Math"/>
                </w:rPr>
              </m:ctrlPr>
            </m:sub>
          </m:sSub>
          <m:r>
            <m:rPr>
              <m:sty m:val="p"/>
            </m:rPr>
            <w:rPr>
              <w:rFonts w:hint="eastAsia" w:ascii="Cambria Math" w:hAnsi="Cambria Math"/>
            </w:rPr>
            <m:t>×</m:t>
          </m:r>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ctrlPr>
                <w:rPr>
                  <w:rFonts w:ascii="Cambria Math" w:hAnsi="Cambria Math"/>
                </w:rPr>
              </m:ctrlPr>
            </m:sub>
          </m:sSub>
          <m:r>
            <m:rPr>
              <m:sty m:val="p"/>
            </m:rPr>
            <w:rPr>
              <w:rFonts w:ascii="Cambria Math" w:hAnsi="Cambria Math"/>
            </w:rPr>
            <m:t>)</m:t>
          </m:r>
          <m:r>
            <m:rPr>
              <m:sty m:val="p"/>
            </m:rPr>
            <w:rPr>
              <w:rFonts w:hint="eastAsia" w:ascii="Cambria Math" w:hAnsi="Cambria Math"/>
            </w:rPr>
            <m:t>×</m:t>
          </m:r>
          <m:sSup>
            <m:sSupPr>
              <m:ctrlPr>
                <w:rPr>
                  <w:rFonts w:ascii="Cambria Math" w:hAnsi="Cambria Math"/>
                </w:rPr>
              </m:ctrlPr>
            </m:sSupPr>
            <m:e>
              <m:r>
                <m:rPr>
                  <m:sty m:val="p"/>
                </m:rPr>
                <w:rPr>
                  <w:rFonts w:ascii="Cambria Math" w:hAnsi="Cambria Math"/>
                </w:rPr>
                <m:t>10</m:t>
              </m:r>
              <m:ctrlPr>
                <w:rPr>
                  <w:rFonts w:ascii="Cambria Math" w:hAnsi="Cambria Math"/>
                </w:rPr>
              </m:ctrlPr>
            </m:e>
            <m:sup>
              <m:r>
                <m:rPr>
                  <m:sty m:val="p"/>
                </m:rPr>
                <w:rPr>
                  <w:rFonts w:ascii="Cambria Math" w:hAnsi="Cambria Math"/>
                </w:rPr>
                <m:t>−3</m:t>
              </m:r>
              <m:ctrlPr>
                <w:rPr>
                  <w:rFonts w:ascii="Cambria Math" w:hAnsi="Cambria Math"/>
                </w:rPr>
              </m:ctrlPr>
            </m:sup>
          </m:sSup>
        </m:oMath>
      </m:oMathPara>
    </w:p>
    <w:p w14:paraId="4540CF97">
      <w:pPr>
        <w:jc w:val="right"/>
        <w:rPr>
          <w:rFonts w:hint="eastAsia" w:eastAsiaTheme="minorEastAsia"/>
          <w:lang w:eastAsia="zh-CN"/>
        </w:rPr>
      </w:pPr>
      <w:r>
        <w:rPr>
          <w:rFonts w:hint="eastAsia"/>
          <w:lang w:eastAsia="zh-CN"/>
        </w:rPr>
        <w:t>（</w:t>
      </w:r>
      <w:r>
        <w:rPr>
          <w:rFonts w:hint="eastAsia"/>
        </w:rPr>
        <w:t>19</w:t>
      </w:r>
      <w:r>
        <w:rPr>
          <w:rFonts w:hint="eastAsia"/>
          <w:lang w:eastAsia="zh-CN"/>
        </w:rPr>
        <w:t>）</w:t>
      </w:r>
    </w:p>
    <w:p w14:paraId="6268B1BD">
      <w:r>
        <w:t>式中：</w:t>
      </w:r>
    </w:p>
    <w:p w14:paraId="6577905A">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hint="eastAsia" w:ascii="Cambria Math" w:hAnsi="Cambria Math"/>
              </w:rPr>
              <m:t>water</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第t年水体管理产生的CH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排放量，t</w:t>
      </w:r>
      <w:r>
        <w:rPr>
          <w:rFonts w:hint="eastAsia"/>
          <w:highlight w:val="none"/>
          <w:lang w:eastAsia="zh-CN"/>
        </w:rPr>
        <w:t>CO</w:t>
      </w:r>
      <w:r>
        <w:rPr>
          <w:rFonts w:hint="eastAsia"/>
          <w:highlight w:val="none"/>
          <w:vertAlign w:val="subscript"/>
          <w:lang w:eastAsia="zh-CN"/>
        </w:rPr>
        <w:t>2e</w:t>
      </w:r>
      <w:r>
        <w:t>/a</w:t>
      </w:r>
      <w:r>
        <w:rPr>
          <w:rFonts w:hint="eastAsia"/>
        </w:rPr>
        <w:t>；</w:t>
      </w:r>
    </w:p>
    <w:p w14:paraId="36E9ADBA">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water</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rPr>
          <w:rFonts w:hint="eastAsia"/>
        </w:rPr>
        <w:t>——</w:t>
      </w:r>
      <w:r>
        <w:t>第t年受管理措施影响的水域面积，hm²</w:t>
      </w:r>
      <w:r>
        <w:rPr>
          <w:rFonts w:hint="eastAsia"/>
        </w:rPr>
        <w:t>；</w:t>
      </w:r>
    </w:p>
    <w:p w14:paraId="3DBA9B07">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r>
              <m:rPr>
                <m:sty m:val="p"/>
              </m:rPr>
              <w:rPr>
                <w:rFonts w:ascii="Cambria Math" w:hAnsi="Cambria Math"/>
              </w:rPr>
              <m:t>,</m:t>
            </m:r>
            <m:r>
              <m:rPr>
                <m:sty m:val="p"/>
              </m:rPr>
              <w:rPr>
                <w:rFonts w:hint="eastAsia" w:ascii="Cambria Math" w:hAnsi="Cambria Math"/>
              </w:rPr>
              <m:t>water</m:t>
            </m:r>
            <m:ctrlPr>
              <w:rPr>
                <w:rFonts w:ascii="Cambria Math" w:hAnsi="Cambria Math"/>
              </w:rPr>
            </m:ctrlPr>
          </m:sub>
        </m:sSub>
      </m:oMath>
      <w:r>
        <w:t>——湿地水体管理产生的CH</w:t>
      </w:r>
      <w:r>
        <w:rPr>
          <w:rFonts w:hint="eastAsia"/>
          <w:vertAlign w:val="subscript"/>
          <w:lang w:val="en-US" w:eastAsia="zh-CN"/>
        </w:rPr>
        <w:t>4</w:t>
      </w:r>
      <w:r>
        <w:t>排放因子，kg CH</w:t>
      </w:r>
      <w:r>
        <w:rPr>
          <w:rFonts w:hint="eastAsia"/>
          <w:vertAlign w:val="subscript"/>
          <w:lang w:val="en-US" w:eastAsia="zh-CN"/>
        </w:rPr>
        <w:t>4</w:t>
      </w:r>
      <w:r>
        <w:t>/(hm²·a)</w:t>
      </w:r>
      <w:r>
        <w:rPr>
          <w:rFonts w:hint="eastAsia"/>
        </w:rPr>
        <w:t>；</w:t>
      </w:r>
    </w:p>
    <w:p w14:paraId="3ADA28F2">
      <m:oMath>
        <m:sSub>
          <w:bookmarkStart w:id="141" w:name="OLE_LINK37"/>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r>
              <m:rPr>
                <m:sty m:val="p"/>
              </m:rPr>
              <w:rPr>
                <w:rFonts w:hint="eastAsia" w:ascii="Cambria Math" w:hAnsi="Cambria Math"/>
              </w:rPr>
              <m:t>water</m:t>
            </m:r>
            <m:ctrlPr>
              <w:rPr>
                <w:rFonts w:ascii="Cambria Math" w:hAnsi="Cambria Math"/>
              </w:rPr>
            </m:ctrlPr>
          </m:sub>
        </m:sSub>
      </m:oMath>
      <w:r>
        <w:t>——湿地水体管理产生的</w:t>
      </w:r>
      <w:r>
        <w:rPr>
          <w:rFonts w:cs="Times New Roman"/>
        </w:rPr>
        <w:t>N</w:t>
      </w:r>
      <w:r>
        <w:rPr>
          <w:rFonts w:hint="eastAsia" w:cs="Times New Roman"/>
          <w:vertAlign w:val="subscript"/>
          <w:lang w:val="en-US" w:eastAsia="zh-CN"/>
        </w:rPr>
        <w:t>2</w:t>
      </w:r>
      <w:r>
        <w:rPr>
          <w:rFonts w:cs="Times New Roman"/>
        </w:rPr>
        <w:t>O</w:t>
      </w:r>
      <w:r>
        <w:t xml:space="preserve">排放因子，kg </w:t>
      </w:r>
      <w:r>
        <w:rPr>
          <w:rFonts w:cs="Times New Roman"/>
        </w:rPr>
        <w:t>N</w:t>
      </w:r>
      <w:r>
        <w:rPr>
          <w:rFonts w:hint="eastAsia" w:cs="Times New Roman"/>
          <w:vertAlign w:val="subscript"/>
          <w:lang w:val="en-US" w:eastAsia="zh-CN"/>
        </w:rPr>
        <w:t>2</w:t>
      </w:r>
      <w:r>
        <w:rPr>
          <w:rFonts w:cs="Times New Roman"/>
        </w:rPr>
        <w:t>O</w:t>
      </w:r>
      <w:r>
        <w:t>/(hm²·a)</w:t>
      </w:r>
      <w:r>
        <w:rPr>
          <w:rFonts w:hint="eastAsia"/>
        </w:rPr>
        <w:t>；</w:t>
      </w:r>
      <w:bookmarkEnd w:id="141"/>
    </w:p>
    <w:p w14:paraId="5E6197BD">
      <m:oMath>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ctrlPr>
              <w:rPr>
                <w:rFonts w:ascii="Cambria Math" w:hAnsi="Cambria Math"/>
              </w:rPr>
            </m:ctrlPr>
          </m:sub>
        </m:sSub>
      </m:oMath>
      <w:r>
        <w:t>——CH</w:t>
      </w:r>
      <w:r>
        <w:rPr>
          <w:rFonts w:hint="eastAsia"/>
          <w:vertAlign w:val="subscript"/>
          <w:lang w:val="en-US" w:eastAsia="zh-CN"/>
        </w:rPr>
        <w:t>4</w:t>
      </w:r>
      <w:r>
        <w:t>的全球增温潜势，取值为2</w:t>
      </w:r>
      <w:r>
        <w:rPr>
          <w:rFonts w:hint="eastAsia"/>
        </w:rPr>
        <w:t>7.9（</w:t>
      </w:r>
      <w:r>
        <w:t>IPCC 第六次评估报告</w:t>
      </w:r>
      <w:r>
        <w:rPr>
          <w:rFonts w:hint="eastAsia"/>
        </w:rPr>
        <w:t>）；</w:t>
      </w:r>
    </w:p>
    <w:p w14:paraId="70756AC2">
      <m:oMath>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ctrlPr>
              <w:rPr>
                <w:rFonts w:ascii="Cambria Math" w:hAnsi="Cambria Math"/>
              </w:rPr>
            </m:ctrlPr>
          </m:sub>
        </m:sSub>
      </m:oMath>
      <w:r>
        <w:t>——</w:t>
      </w:r>
      <w:r>
        <w:rPr>
          <w:rFonts w:cs="Times New Roman"/>
        </w:rPr>
        <w:t>N</w:t>
      </w:r>
      <w:r>
        <w:rPr>
          <w:rFonts w:hint="eastAsia" w:cs="Times New Roman"/>
          <w:vertAlign w:val="subscript"/>
          <w:lang w:val="en-US" w:eastAsia="zh-CN"/>
        </w:rPr>
        <w:t>2</w:t>
      </w:r>
      <w:r>
        <w:rPr>
          <w:rFonts w:cs="Times New Roman"/>
        </w:rPr>
        <w:t>O</w:t>
      </w:r>
      <w:r>
        <w:t>的全球增温潜势，取值为</w:t>
      </w:r>
      <w:r>
        <w:rPr>
          <w:rFonts w:hint="eastAsia"/>
        </w:rPr>
        <w:t>273（</w:t>
      </w:r>
      <w:r>
        <w:t>IPCC 第六次评估报告</w:t>
      </w:r>
      <w:r>
        <w:rPr>
          <w:rFonts w:hint="eastAsia"/>
        </w:rPr>
        <w:t>）；</w:t>
      </w:r>
    </w:p>
    <w:p w14:paraId="4389AD91">
      <w:r>
        <w:t>10</w:t>
      </w:r>
      <w:r>
        <w:rPr>
          <w:vertAlign w:val="superscript"/>
        </w:rPr>
        <w:t>-3</w:t>
      </w:r>
      <w:r>
        <w:t>——kg转换为t的单位换算系数；</w:t>
      </w:r>
    </w:p>
    <w:p w14:paraId="610726F8">
      <w:r>
        <w:rPr>
          <w:rFonts w:hint="eastAsia"/>
        </w:rPr>
        <w:t>t——自项目开始以来的年数，1，2，3，……，无量纲。</w:t>
      </w:r>
    </w:p>
    <w:p w14:paraId="6A6ED4DA">
      <w:r>
        <w:t>若项目未进行水位调节等管理活动，或管理活动对水体CH</w:t>
      </w:r>
      <w:r>
        <w:rPr>
          <w:rFonts w:hint="eastAsia"/>
          <w:vertAlign w:val="subscript"/>
          <w:lang w:val="en-US" w:eastAsia="zh-CN"/>
        </w:rPr>
        <w:t>4</w:t>
      </w:r>
      <w:r>
        <w:t>、</w:t>
      </w:r>
      <w:r>
        <w:rPr>
          <w:rFonts w:cs="Times New Roman"/>
        </w:rPr>
        <w:t>N</w:t>
      </w:r>
      <w:r>
        <w:rPr>
          <w:rFonts w:hint="eastAsia" w:cs="Times New Roman"/>
          <w:vertAlign w:val="subscript"/>
          <w:lang w:val="en-US" w:eastAsia="zh-CN"/>
        </w:rPr>
        <w:t>2</w:t>
      </w:r>
      <w:r>
        <w:rPr>
          <w:rFonts w:cs="Times New Roman"/>
        </w:rPr>
        <w:t>O</w:t>
      </w:r>
      <w:r>
        <w:t>排放影响可忽略，</w:t>
      </w:r>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hint="eastAsia" w:ascii="Cambria Math" w:hAnsi="Cambria Math"/>
              </w:rPr>
              <m:t>water</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w:r>
        <w:t>可取值为0。</w:t>
      </w:r>
    </w:p>
    <w:p w14:paraId="38E8AA74">
      <w:pPr>
        <w:outlineLvl w:val="3"/>
      </w:pPr>
      <w:bookmarkStart w:id="142" w:name="_Toc231854809"/>
      <w:r>
        <w:rPr>
          <w:rFonts w:hint="eastAsia"/>
        </w:rPr>
        <w:t xml:space="preserve">7.4.2.3 </w:t>
      </w:r>
      <w:r>
        <w:t>其他排放</w:t>
      </w:r>
      <w:bookmarkEnd w:id="142"/>
    </w:p>
    <w:p w14:paraId="50DFF643">
      <w:pPr>
        <w:rPr>
          <w:rFonts w:cs="Times New Roman"/>
        </w:rPr>
      </w:pPr>
      <w:r>
        <w:rPr>
          <w:rFonts w:hint="eastAsia"/>
        </w:rPr>
        <w:t>除上述三项外，若项目存在其他显著的温室气体排放源（如施用有机肥、生物质燃烧等），应参照国家或江苏省相关规定单独核算并计入</w:t>
      </w:r>
      <m:oMath>
        <m:sSub>
          <m:sSubPr>
            <m:ctrlPr>
              <w:rPr>
                <w:rFonts w:ascii="Cambria Math" w:hAnsi="Cambria Math"/>
              </w:rPr>
            </m:ctrlPr>
          </m:sSubPr>
          <m:e>
            <m:r>
              <m:rPr>
                <m:sty m:val="p"/>
              </m:rPr>
              <w:rPr>
                <w:rFonts w:ascii="Cambria Math" w:hAnsi="Cambria Math"/>
              </w:rPr>
              <m:t>E</m:t>
            </m:r>
            <m:ctrlPr>
              <w:rPr>
                <w:rFonts w:ascii="Cambria Math" w:hAnsi="Cambria Math"/>
              </w:rPr>
            </m:ctrlPr>
          </m:e>
          <m:sub>
            <m:r>
              <m:rPr>
                <m:sty m:val="p"/>
              </m:rPr>
              <w:rPr>
                <w:rFonts w:ascii="Cambria Math" w:hAnsi="Cambria Math"/>
              </w:rPr>
              <m:t>ACTUAL,</m:t>
            </m:r>
            <m:r>
              <m:rPr>
                <m:sty m:val="p"/>
              </m:rPr>
              <w:rPr>
                <w:rFonts w:hint="eastAsia" w:ascii="Cambria Math" w:hAnsi="Cambria Math"/>
              </w:rPr>
              <m:t>t</m:t>
            </m:r>
            <m:ctrlPr>
              <w:rPr>
                <w:rFonts w:ascii="Cambria Math" w:hAnsi="Cambria Math"/>
              </w:rPr>
            </m:ctrlPr>
          </m:sub>
        </m:sSub>
      </m:oMath>
      <w:r>
        <w:rPr>
          <w:rFonts w:hint="eastAsia"/>
        </w:rPr>
        <w:t>。排放量较小（估算值低于总排放量的1%）的排放源可忽略不计，但需在项目设计文件中说明理由。</w:t>
      </w:r>
    </w:p>
    <w:p w14:paraId="3AF7452D">
      <w:pPr>
        <w:outlineLvl w:val="1"/>
        <w:rPr>
          <w:rFonts w:cs="Times New Roman"/>
        </w:rPr>
      </w:pPr>
      <w:bookmarkStart w:id="143" w:name="_Toc22063"/>
      <w:bookmarkStart w:id="144" w:name="OLE_LINK21"/>
      <w:r>
        <w:rPr>
          <w:rFonts w:cs="Times New Roman"/>
        </w:rPr>
        <w:t>7.</w:t>
      </w:r>
      <w:r>
        <w:rPr>
          <w:rFonts w:hint="eastAsia" w:cs="Times New Roman"/>
        </w:rPr>
        <w:t>5</w:t>
      </w:r>
      <w:r>
        <w:rPr>
          <w:rFonts w:cs="Times New Roman"/>
        </w:rPr>
        <w:t xml:space="preserve"> 泄漏计算</w:t>
      </w:r>
      <w:bookmarkEnd w:id="143"/>
    </w:p>
    <w:p w14:paraId="3B25AB36">
      <w:pPr>
        <w:rPr>
          <w:rFonts w:cs="Times New Roman"/>
        </w:rPr>
      </w:pPr>
      <w:r>
        <w:rPr>
          <w:rFonts w:cs="Times New Roman"/>
        </w:rPr>
        <w:t>全域内陆湿地生态修复、常态化管护类碳普惠项目，统一规定泄漏量取值为0。仅涉及大规模土方开挖、水系大幅改造的特殊项目，应单独核算泄漏量。</w:t>
      </w:r>
    </w:p>
    <w:bookmarkEnd w:id="144"/>
    <w:p w14:paraId="2F26049E">
      <w:pPr>
        <w:outlineLvl w:val="1"/>
        <w:rPr>
          <w:rFonts w:cs="Times New Roman"/>
        </w:rPr>
      </w:pPr>
      <w:bookmarkStart w:id="145" w:name="_Toc16107"/>
      <w:r>
        <w:rPr>
          <w:rFonts w:cs="Times New Roman"/>
        </w:rPr>
        <w:t>7.</w:t>
      </w:r>
      <w:r>
        <w:rPr>
          <w:rFonts w:hint="eastAsia" w:cs="Times New Roman"/>
        </w:rPr>
        <w:t>6</w:t>
      </w:r>
      <w:r>
        <w:rPr>
          <w:rFonts w:cs="Times New Roman"/>
        </w:rPr>
        <w:t xml:space="preserve"> 减排量核算</w:t>
      </w:r>
      <w:bookmarkEnd w:id="145"/>
    </w:p>
    <w:p w14:paraId="608BFE9C">
      <w:pPr>
        <w:rPr>
          <w:rFonts w:cs="Times New Roman"/>
        </w:rPr>
      </w:pPr>
      <w:r>
        <w:rPr>
          <w:rFonts w:hint="eastAsia" w:cs="Times New Roman"/>
          <w:lang w:eastAsia="zh-CN"/>
        </w:rPr>
        <w:t>a）</w:t>
      </w:r>
      <w:r>
        <w:rPr>
          <w:rFonts w:cs="Times New Roman"/>
        </w:rPr>
        <w:t>年度可备案碳普惠减排量按以下公式计算：</w:t>
      </w:r>
    </w:p>
    <w:p w14:paraId="75B37F02">
      <w:pPr>
        <w:jc w:val="right"/>
        <w:rPr>
          <w:rFonts w:cs="Times New Roman"/>
        </w:rPr>
      </w:pPr>
      <m:oMath>
        <m:m>
          <w:bookmarkStart w:id="146" w:name="OLE_LINK44"/>
          <m:mPr>
            <m:mcs>
              <m:mc>
                <m:mcPr>
                  <m:count m:val="1"/>
                  <m:mcJc m:val="center"/>
                </m:mcPr>
              </m:mc>
            </m:mcs>
            <m:plcHide m:val="1"/>
            <m:ctrlPr>
              <w:rPr>
                <w:rFonts w:ascii="Cambria Math" w:hAnsi="Cambria Math" w:cs="Times New Roman"/>
              </w:rPr>
            </m:ctrlPr>
          </m:mPr>
          <m:mr>
            <m:e>
              <m:r>
                <m:rPr>
                  <m:nor/>
                  <m:sty m:val="p"/>
                </m:rPr>
                <w:rPr>
                  <w:rFonts w:cs="Times New Roman"/>
                  <w:b w:val="0"/>
                  <w:i w:val="0"/>
                </w:rPr>
                <m:t>E</m:t>
              </m:r>
              <m:sSub>
                <m:sSubPr>
                  <m:ctrlPr>
                    <w:rPr>
                      <w:rFonts w:ascii="Cambria Math" w:hAnsi="Cambria Math" w:cs="Times New Roman"/>
                    </w:rPr>
                  </m:ctrlPr>
                </m:sSubPr>
                <m:e>
                  <m:r>
                    <m:rPr>
                      <m:nor/>
                      <m:sty m:val="p"/>
                    </m:rPr>
                    <w:rPr>
                      <w:rFonts w:cs="Times New Roman"/>
                      <w:b w:val="0"/>
                      <w:i w:val="0"/>
                    </w:rPr>
                    <m:t>R</m:t>
                  </m:r>
                  <m:ctrlPr>
                    <w:rPr>
                      <w:rFonts w:ascii="Cambria Math" w:hAnsi="Cambria Math" w:cs="Times New Roman"/>
                    </w:rPr>
                  </m:ctrlPr>
                </m:e>
                <m:sub>
                  <m:r>
                    <m:rPr>
                      <m:nor/>
                      <m:sty m:val="p"/>
                    </m:rPr>
                    <w:rPr>
                      <w:rFonts w:cs="Times New Roman"/>
                      <w:b w:val="0"/>
                      <w:i w:val="0"/>
                    </w:rPr>
                    <m:t>t</m:t>
                  </m:r>
                  <w:bookmarkEnd w:id="146"/>
                  <m:ctrlPr>
                    <w:rPr>
                      <w:rFonts w:ascii="Cambria Math" w:hAnsi="Cambria Math" w:cs="Times New Roman"/>
                    </w:rPr>
                  </m:ctrlPr>
                </m:sub>
              </m:sSub>
              <m:r>
                <m:rPr>
                  <m:nor/>
                  <m:sty m:val="p"/>
                </m:rPr>
                <w:rPr>
                  <w:rFonts w:cs="Times New Roman"/>
                  <w:b w:val="0"/>
                  <w:i w:val="0"/>
                </w:rPr>
                <m:t>=</m:t>
              </m:r>
              <m:sSub>
                <m:sSubPr>
                  <m:ctrlPr>
                    <w:rPr>
                      <w:rFonts w:ascii="Cambria Math" w:hAnsi="Cambria Math" w:cs="Times New Roman"/>
                    </w:rPr>
                  </m:ctrlPr>
                </m:sSubPr>
                <m:e>
                  <m:r>
                    <m:rPr>
                      <m:nor/>
                      <m:sty m:val="p"/>
                    </m:rPr>
                    <w:rPr>
                      <w:rFonts w:cs="Times New Roman"/>
                      <w:b w:val="0"/>
                      <w:i w:val="0"/>
                    </w:rPr>
                    <m:t>ΔC</m:t>
                  </m:r>
                  <m:ctrlPr>
                    <w:rPr>
                      <w:rFonts w:ascii="Cambria Math" w:hAnsi="Cambria Math" w:cs="Times New Roman"/>
                    </w:rPr>
                  </m:ctrlPr>
                </m:e>
                <m:sub>
                  <m:r>
                    <m:rPr>
                      <m:nor/>
                      <m:sty m:val="p"/>
                    </m:rPr>
                    <w:rPr>
                      <w:rFonts w:cs="Times New Roman"/>
                      <w:b w:val="0"/>
                      <w:i w:val="0"/>
                    </w:rPr>
                    <m:t>ACTUAL,t</m:t>
                  </m:r>
                  <m:ctrlPr>
                    <w:rPr>
                      <w:rFonts w:ascii="Cambria Math" w:hAnsi="Cambria Math" w:cs="Times New Roman"/>
                    </w:rPr>
                  </m:ctrlPr>
                </m:sub>
              </m:sSub>
              <m:r>
                <m:rPr>
                  <m:nor/>
                  <m:sty m:val="p"/>
                </m:rPr>
                <w:rPr>
                  <w:rFonts w:cs="Times New Roman"/>
                  <w:b w:val="0"/>
                  <w:i w:val="0"/>
                </w:rPr>
                <m:t>-</m:t>
              </m:r>
              <m:sSub>
                <m:sSubPr>
                  <m:ctrlPr>
                    <w:rPr>
                      <w:rFonts w:ascii="Cambria Math" w:hAnsi="Cambria Math" w:cs="Times New Roman"/>
                    </w:rPr>
                  </m:ctrlPr>
                </m:sSubPr>
                <m:e>
                  <m:r>
                    <m:rPr>
                      <m:nor/>
                      <m:sty m:val="p"/>
                    </m:rPr>
                    <w:rPr>
                      <w:rFonts w:cs="Times New Roman"/>
                      <w:b w:val="0"/>
                      <w:i w:val="0"/>
                    </w:rPr>
                    <m:t>ΔC</m:t>
                  </m:r>
                  <m:ctrlPr>
                    <w:rPr>
                      <w:rFonts w:ascii="Cambria Math" w:hAnsi="Cambria Math" w:cs="Times New Roman"/>
                    </w:rPr>
                  </m:ctrlPr>
                </m:e>
                <m:sub>
                  <m:r>
                    <m:rPr>
                      <m:nor/>
                      <m:sty m:val="p"/>
                    </m:rPr>
                    <w:rPr>
                      <w:rFonts w:cs="Times New Roman"/>
                      <w:b w:val="0"/>
                      <w:i w:val="0"/>
                    </w:rPr>
                    <m:t>BSL,t</m:t>
                  </m:r>
                  <m:ctrlPr>
                    <w:rPr>
                      <w:rFonts w:ascii="Cambria Math" w:hAnsi="Cambria Math" w:cs="Times New Roman"/>
                    </w:rPr>
                  </m:ctrlPr>
                </m:sub>
              </m:sSub>
              <m:r>
                <m:rPr>
                  <m:nor/>
                  <m:sty m:val="p"/>
                </m:rPr>
                <w:rPr>
                  <w:rFonts w:cs="Times New Roman"/>
                  <w:b w:val="0"/>
                  <w:i w:val="0"/>
                </w:rPr>
                <m:t>-（</m:t>
              </m:r>
              <m:sSub>
                <w:bookmarkStart w:id="147" w:name="OLE_LINK39"/>
                <m:sSubPr>
                  <m:ctrlPr>
                    <w:rPr>
                      <w:rFonts w:ascii="Cambria Math" w:hAnsi="Cambria Math" w:cs="Times New Roman"/>
                    </w:rPr>
                  </m:ctrlPr>
                </m:sSubPr>
                <m:e>
                  <m:r>
                    <m:rPr>
                      <m:nor/>
                      <m:sty m:val="p"/>
                    </m:rPr>
                    <w:rPr>
                      <w:rFonts w:cs="Times New Roman"/>
                      <w:b w:val="0"/>
                      <w:i w:val="0"/>
                    </w:rPr>
                    <m:t>E</m:t>
                  </m:r>
                  <m:ctrlPr>
                    <w:rPr>
                      <w:rFonts w:ascii="Cambria Math" w:hAnsi="Cambria Math" w:cs="Times New Roman"/>
                    </w:rPr>
                  </m:ctrlPr>
                </m:e>
                <m:sub>
                  <m:r>
                    <m:rPr>
                      <m:nor/>
                      <m:sty m:val="p"/>
                    </m:rPr>
                    <w:rPr>
                      <w:rFonts w:cs="Times New Roman"/>
                      <w:b w:val="0"/>
                      <w:i w:val="0"/>
                    </w:rPr>
                    <m:t>ACTUAL,t</m:t>
                  </m:r>
                  <w:bookmarkEnd w:id="147"/>
                  <m:ctrlPr>
                    <w:rPr>
                      <w:rFonts w:ascii="Cambria Math" w:hAnsi="Cambria Math" w:cs="Times New Roman"/>
                    </w:rPr>
                  </m:ctrlPr>
                </m:sub>
              </m:sSub>
              <m:r>
                <m:rPr>
                  <m:nor/>
                  <m:sty m:val="p"/>
                </m:rPr>
                <w:rPr>
                  <w:rFonts w:cs="Times New Roman"/>
                  <w:b w:val="0"/>
                  <w:i w:val="0"/>
                </w:rPr>
                <m:t>-</m:t>
              </m:r>
              <m:sSub>
                <m:sSubPr>
                  <m:ctrlPr>
                    <w:rPr>
                      <w:rFonts w:ascii="Cambria Math" w:hAnsi="Cambria Math" w:cs="Times New Roman"/>
                    </w:rPr>
                  </m:ctrlPr>
                </m:sSubPr>
                <m:e>
                  <m:r>
                    <m:rPr>
                      <m:nor/>
                      <m:sty m:val="p"/>
                    </m:rPr>
                    <w:rPr>
                      <w:rFonts w:cs="Times New Roman"/>
                      <w:b w:val="0"/>
                      <w:i w:val="0"/>
                    </w:rPr>
                    <m:t>E</m:t>
                  </m:r>
                  <m:ctrlPr>
                    <w:rPr>
                      <w:rFonts w:ascii="Cambria Math" w:hAnsi="Cambria Math" w:cs="Times New Roman"/>
                    </w:rPr>
                  </m:ctrlPr>
                </m:e>
                <m:sub>
                  <m:r>
                    <m:rPr>
                      <m:nor/>
                      <m:sty m:val="p"/>
                    </m:rPr>
                    <w:rPr>
                      <w:rFonts w:cs="Times New Roman"/>
                      <w:b w:val="0"/>
                      <w:i w:val="0"/>
                    </w:rPr>
                    <m:t>BSL,t</m:t>
                  </m:r>
                  <m:ctrlPr>
                    <w:rPr>
                      <w:rFonts w:ascii="Cambria Math" w:hAnsi="Cambria Math" w:cs="Times New Roman"/>
                    </w:rPr>
                  </m:ctrlPr>
                </m:sub>
              </m:sSub>
              <m:r>
                <m:rPr>
                  <m:nor/>
                  <m:sty m:val="p"/>
                </m:rPr>
                <w:rPr>
                  <w:rFonts w:cs="Times New Roman"/>
                  <w:b w:val="0"/>
                  <w:i w:val="0"/>
                </w:rPr>
                <m:t>）-</m:t>
              </m:r>
              <m:sSub>
                <m:sSubPr>
                  <m:ctrlPr>
                    <w:rPr>
                      <w:rFonts w:ascii="Cambria Math" w:hAnsi="Cambria Math" w:cs="Times New Roman"/>
                    </w:rPr>
                  </m:ctrlPr>
                </m:sSubPr>
                <m:e>
                  <m:r>
                    <m:rPr>
                      <m:nor/>
                      <m:sty m:val="p"/>
                    </m:rPr>
                    <w:rPr>
                      <w:rFonts w:cs="Times New Roman"/>
                      <w:b w:val="0"/>
                      <w:i w:val="0"/>
                    </w:rPr>
                    <m:t>E</m:t>
                  </m:r>
                  <m:ctrlPr>
                    <w:rPr>
                      <w:rFonts w:ascii="Cambria Math" w:hAnsi="Cambria Math" w:cs="Times New Roman"/>
                    </w:rPr>
                  </m:ctrlPr>
                </m:e>
                <m:sub>
                  <m:r>
                    <m:rPr>
                      <m:nor/>
                      <m:sty m:val="p"/>
                    </m:rPr>
                    <w:rPr>
                      <w:rFonts w:cs="Times New Roman"/>
                      <w:b w:val="0"/>
                      <w:i w:val="0"/>
                    </w:rPr>
                    <m:t>leakage,t</m:t>
                  </m:r>
                  <m:ctrlPr>
                    <w:rPr>
                      <w:rFonts w:ascii="Cambria Math" w:hAnsi="Cambria Math" w:cs="Times New Roman"/>
                    </w:rPr>
                  </m:ctrlPr>
                </m:sub>
              </m:sSub>
              <m:ctrlPr>
                <w:rPr>
                  <w:rFonts w:ascii="Cambria Math" w:hAnsi="Cambria Math" w:cs="Times New Roman"/>
                </w:rPr>
              </m:ctrlPr>
            </m:e>
          </m:mr>
        </m:m>
      </m:oMath>
      <w:r>
        <w:rPr>
          <w:rFonts w:hint="eastAsia" w:hAnsi="Cambria Math" w:cs="Times New Roman"/>
        </w:rPr>
        <w:t xml:space="preserve"> </w:t>
      </w:r>
      <w:r>
        <w:rPr>
          <w:rFonts w:hint="eastAsia" w:hAnsi="Cambria Math" w:cs="Times New Roman"/>
          <w:lang w:eastAsia="zh-CN"/>
        </w:rPr>
        <w:t>(</w:t>
      </w:r>
      <w:r>
        <w:rPr>
          <w:rFonts w:hint="eastAsia" w:hAnsi="Cambria Math" w:cs="Times New Roman"/>
        </w:rPr>
        <w:t>20</w:t>
      </w:r>
      <w:r>
        <w:rPr>
          <w:rFonts w:hint="eastAsia" w:hAnsi="Cambria Math" w:cs="Times New Roman"/>
          <w:lang w:eastAsia="zh-CN"/>
        </w:rPr>
        <w:t>)</w:t>
      </w:r>
    </w:p>
    <w:p w14:paraId="021C75DA">
      <w:pPr>
        <w:rPr>
          <w:rFonts w:cs="Times New Roman"/>
        </w:rPr>
      </w:pPr>
      <w:r>
        <w:rPr>
          <w:rFonts w:cs="Times New Roman"/>
        </w:rPr>
        <w:t>式中：</w:t>
      </w:r>
    </w:p>
    <w:p w14:paraId="18E1E512">
      <w:pPr>
        <w:rPr>
          <w:rFonts w:cs="Times New Roman"/>
        </w:rPr>
      </w:pPr>
      <m:oMath>
        <m:r>
          <m:rPr>
            <m:nor/>
            <m:sty m:val="p"/>
          </m:rPr>
          <w:rPr>
            <w:rFonts w:cs="Times New Roman"/>
            <w:b w:val="0"/>
            <w:i w:val="0"/>
          </w:rPr>
          <m:t>E</m:t>
        </m:r>
        <m:sSub>
          <m:sSubPr>
            <m:ctrlPr>
              <w:rPr>
                <w:rFonts w:ascii="Cambria Math" w:hAnsi="Cambria Math" w:cs="Times New Roman"/>
              </w:rPr>
            </m:ctrlPr>
          </m:sSubPr>
          <m:e>
            <m:r>
              <m:rPr>
                <m:nor/>
                <m:sty m:val="p"/>
              </m:rPr>
              <w:rPr>
                <w:rFonts w:cs="Times New Roman"/>
                <w:b w:val="0"/>
                <w:i w:val="0"/>
              </w:rPr>
              <m:t>R</m:t>
            </m:r>
            <m:ctrlPr>
              <w:rPr>
                <w:rFonts w:ascii="Cambria Math" w:hAnsi="Cambria Math" w:cs="Times New Roman"/>
              </w:rPr>
            </m:ctrlPr>
          </m:e>
          <m:sub>
            <m:r>
              <m:rPr>
                <m:nor/>
                <m:sty m:val="p"/>
              </m:rPr>
              <w:rPr>
                <w:rFonts w:cs="Times New Roman"/>
                <w:b w:val="0"/>
                <w:i w:val="0"/>
              </w:rPr>
              <m:t>t</m:t>
            </m:r>
            <m:ctrlPr>
              <w:rPr>
                <w:rFonts w:ascii="Cambria Math" w:hAnsi="Cambria Math" w:cs="Times New Roman"/>
              </w:rPr>
            </m:ctrlPr>
          </m:sub>
        </m:sSub>
      </m:oMath>
      <w:r>
        <w:rPr>
          <w:rFonts w:cs="Times New Roman"/>
        </w:rPr>
        <w:t>——第t年项目产生的碳普惠减排量，t</w:t>
      </w:r>
      <w:r>
        <w:rPr>
          <w:rFonts w:hint="eastAsia"/>
          <w:highlight w:val="none"/>
          <w:lang w:eastAsia="zh-CN"/>
        </w:rPr>
        <w:t>CO</w:t>
      </w:r>
      <w:r>
        <w:rPr>
          <w:rFonts w:hint="eastAsia"/>
          <w:highlight w:val="none"/>
          <w:vertAlign w:val="subscript"/>
          <w:lang w:eastAsia="zh-CN"/>
        </w:rPr>
        <w:t>2e</w:t>
      </w:r>
      <w:r>
        <w:rPr>
          <w:rFonts w:cs="Times New Roman"/>
        </w:rPr>
        <w:t>/a；</w:t>
      </w:r>
    </w:p>
    <w:p w14:paraId="2D1D91D9">
      <w:pPr>
        <w:rPr>
          <w:rFonts w:cs="Times New Roman"/>
        </w:rPr>
      </w:pPr>
      <m:oMath>
        <m:sSub>
          <m:sSubPr>
            <m:ctrlPr>
              <w:rPr>
                <w:rFonts w:ascii="Cambria Math" w:hAnsi="Cambria Math" w:cs="Times New Roman"/>
              </w:rPr>
            </m:ctrlPr>
          </m:sSubPr>
          <m:e>
            <m:r>
              <m:rPr>
                <m:nor/>
                <m:sty m:val="p"/>
              </m:rPr>
              <w:rPr>
                <w:rFonts w:cs="Times New Roman"/>
                <w:b w:val="0"/>
                <w:i w:val="0"/>
              </w:rPr>
              <m:t>ΔC</m:t>
            </m:r>
            <m:ctrlPr>
              <w:rPr>
                <w:rFonts w:ascii="Cambria Math" w:hAnsi="Cambria Math" w:cs="Times New Roman"/>
              </w:rPr>
            </m:ctrlPr>
          </m:e>
          <m:sub>
            <m:r>
              <m:rPr>
                <m:nor/>
                <m:sty m:val="p"/>
              </m:rPr>
              <w:rPr>
                <w:rFonts w:cs="Times New Roman"/>
                <w:b w:val="0"/>
                <w:i w:val="0"/>
              </w:rPr>
              <m:t>ACTUAL,t</m:t>
            </m:r>
            <m:ctrlPr>
              <w:rPr>
                <w:rFonts w:ascii="Cambria Math" w:hAnsi="Cambria Math" w:cs="Times New Roman"/>
              </w:rPr>
            </m:ctrlPr>
          </m:sub>
        </m:sSub>
      </m:oMath>
      <w:r>
        <w:rPr>
          <w:rFonts w:cs="Times New Roman"/>
        </w:rPr>
        <w:t>——第t年时的项目碳汇量，t</w:t>
      </w:r>
      <w:r>
        <w:rPr>
          <w:rFonts w:hint="eastAsia"/>
          <w:highlight w:val="none"/>
          <w:lang w:eastAsia="zh-CN"/>
        </w:rPr>
        <w:t>CO</w:t>
      </w:r>
      <w:r>
        <w:rPr>
          <w:rFonts w:hint="eastAsia"/>
          <w:highlight w:val="none"/>
          <w:vertAlign w:val="subscript"/>
          <w:lang w:eastAsia="zh-CN"/>
        </w:rPr>
        <w:t>2e</w:t>
      </w:r>
      <w:r>
        <w:rPr>
          <w:rFonts w:cs="Times New Roman"/>
        </w:rPr>
        <w:t>/a；</w:t>
      </w:r>
    </w:p>
    <w:p w14:paraId="6271060D">
      <w:pPr>
        <w:rPr>
          <w:rFonts w:cs="Times New Roman"/>
        </w:rPr>
      </w:pPr>
      <m:oMath>
        <m:sSub>
          <m:sSubPr>
            <m:ctrlPr>
              <w:rPr>
                <w:rFonts w:ascii="Cambria Math" w:hAnsi="Cambria Math" w:cs="Times New Roman"/>
              </w:rPr>
            </m:ctrlPr>
          </m:sSubPr>
          <m:e>
            <m:r>
              <m:rPr>
                <m:nor/>
                <m:sty m:val="p"/>
              </m:rPr>
              <w:rPr>
                <w:rFonts w:cs="Times New Roman"/>
                <w:b w:val="0"/>
                <w:i w:val="0"/>
              </w:rPr>
              <m:t>ΔC</m:t>
            </m:r>
            <m:ctrlPr>
              <w:rPr>
                <w:rFonts w:ascii="Cambria Math" w:hAnsi="Cambria Math" w:cs="Times New Roman"/>
              </w:rPr>
            </m:ctrlPr>
          </m:e>
          <m:sub>
            <m:r>
              <m:rPr>
                <m:nor/>
                <m:sty m:val="p"/>
              </m:rPr>
              <w:rPr>
                <w:rFonts w:cs="Times New Roman"/>
                <w:b w:val="0"/>
                <w:i w:val="0"/>
              </w:rPr>
              <m:t>BSL,t</m:t>
            </m:r>
            <m:ctrlPr>
              <w:rPr>
                <w:rFonts w:ascii="Cambria Math" w:hAnsi="Cambria Math" w:cs="Times New Roman"/>
              </w:rPr>
            </m:ctrlPr>
          </m:sub>
        </m:sSub>
      </m:oMath>
      <w:r>
        <w:rPr>
          <w:rFonts w:cs="Times New Roman"/>
        </w:rPr>
        <w:t>——第t年时的基线碳汇量，t</w:t>
      </w:r>
      <w:r>
        <w:rPr>
          <w:rFonts w:hint="eastAsia"/>
          <w:highlight w:val="none"/>
          <w:lang w:eastAsia="zh-CN"/>
        </w:rPr>
        <w:t>CO</w:t>
      </w:r>
      <w:r>
        <w:rPr>
          <w:rFonts w:hint="eastAsia"/>
          <w:highlight w:val="none"/>
          <w:vertAlign w:val="subscript"/>
          <w:lang w:eastAsia="zh-CN"/>
        </w:rPr>
        <w:t>2e</w:t>
      </w:r>
      <w:r>
        <w:rPr>
          <w:rFonts w:cs="Times New Roman"/>
        </w:rPr>
        <w:t>/a；</w:t>
      </w:r>
    </w:p>
    <w:p w14:paraId="250200DC">
      <w:pPr>
        <w:rPr>
          <w:rFonts w:cs="Times New Roman"/>
        </w:rPr>
      </w:pPr>
      <m:oMath>
        <m:sSub>
          <m:sSubPr>
            <m:ctrlPr>
              <w:rPr>
                <w:rFonts w:ascii="Cambria Math" w:hAnsi="Cambria Math" w:cs="Times New Roman"/>
              </w:rPr>
            </m:ctrlPr>
          </m:sSubPr>
          <m:e>
            <m:r>
              <m:rPr>
                <m:nor/>
                <m:sty m:val="p"/>
              </m:rPr>
              <w:rPr>
                <w:rFonts w:cs="Times New Roman"/>
                <w:b w:val="0"/>
                <w:i w:val="0"/>
              </w:rPr>
              <m:t>E</m:t>
            </m:r>
            <m:ctrlPr>
              <w:rPr>
                <w:rFonts w:ascii="Cambria Math" w:hAnsi="Cambria Math" w:cs="Times New Roman"/>
              </w:rPr>
            </m:ctrlPr>
          </m:e>
          <m:sub>
            <m:r>
              <m:rPr>
                <m:nor/>
                <m:sty m:val="p"/>
              </m:rPr>
              <w:rPr>
                <w:rFonts w:cs="Times New Roman"/>
                <w:b w:val="0"/>
                <w:i w:val="0"/>
              </w:rPr>
              <m:t>ACTUAL,t</m:t>
            </m:r>
            <m:ctrlPr>
              <w:rPr>
                <w:rFonts w:ascii="Cambria Math" w:hAnsi="Cambria Math" w:cs="Times New Roman"/>
              </w:rPr>
            </m:ctrlPr>
          </m:sub>
        </m:sSub>
      </m:oMath>
      <w:r>
        <w:rPr>
          <w:rFonts w:cs="Times New Roman"/>
        </w:rPr>
        <w:t>——第t年项目实际碳排放量，</w:t>
      </w:r>
      <w:r>
        <w:rPr>
          <w:rFonts w:hint="eastAsia" w:cs="Times New Roman"/>
          <w:lang w:eastAsia="zh-CN"/>
        </w:rPr>
        <w:t>t</w:t>
      </w:r>
      <w:r>
        <w:rPr>
          <w:rFonts w:hint="eastAsia"/>
          <w:highlight w:val="none"/>
          <w:lang w:eastAsia="zh-CN"/>
        </w:rPr>
        <w:t>CO</w:t>
      </w:r>
      <w:r>
        <w:rPr>
          <w:rFonts w:hint="eastAsia"/>
          <w:highlight w:val="none"/>
          <w:vertAlign w:val="subscript"/>
          <w:lang w:eastAsia="zh-CN"/>
        </w:rPr>
        <w:t>2e</w:t>
      </w:r>
      <w:r>
        <w:rPr>
          <w:rFonts w:cs="Times New Roman"/>
        </w:rPr>
        <w:t>/a；</w:t>
      </w:r>
    </w:p>
    <w:p w14:paraId="58E7AD1F">
      <w:pPr>
        <w:rPr>
          <w:rFonts w:cs="Times New Roman"/>
        </w:rPr>
      </w:pPr>
      <m:oMath>
        <m:sSub>
          <m:sSubPr>
            <m:ctrlPr>
              <w:rPr>
                <w:rFonts w:ascii="Cambria Math" w:hAnsi="Cambria Math" w:cs="Times New Roman"/>
              </w:rPr>
            </m:ctrlPr>
          </m:sSubPr>
          <m:e>
            <m:r>
              <m:rPr>
                <m:nor/>
                <m:sty m:val="p"/>
              </m:rPr>
              <w:rPr>
                <w:rFonts w:cs="Times New Roman"/>
                <w:b w:val="0"/>
                <w:i w:val="0"/>
              </w:rPr>
              <m:t>E</m:t>
            </m:r>
            <m:ctrlPr>
              <w:rPr>
                <w:rFonts w:ascii="Cambria Math" w:hAnsi="Cambria Math" w:cs="Times New Roman"/>
              </w:rPr>
            </m:ctrlPr>
          </m:e>
          <m:sub>
            <m:r>
              <m:rPr>
                <m:nor/>
                <m:sty m:val="p"/>
              </m:rPr>
              <w:rPr>
                <w:rFonts w:cs="Times New Roman"/>
                <w:b w:val="0"/>
                <w:i w:val="0"/>
              </w:rPr>
              <m:t>BSL,t</m:t>
            </m:r>
            <m:ctrlPr>
              <w:rPr>
                <w:rFonts w:ascii="Cambria Math" w:hAnsi="Cambria Math" w:cs="Times New Roman"/>
              </w:rPr>
            </m:ctrlPr>
          </m:sub>
        </m:sSub>
      </m:oMath>
      <w:r>
        <w:rPr>
          <w:rFonts w:cs="Times New Roman"/>
        </w:rPr>
        <w:t>——第t年基准线碳排放量，t</w:t>
      </w:r>
      <w:r>
        <w:rPr>
          <w:rFonts w:hint="eastAsia"/>
          <w:highlight w:val="none"/>
          <w:lang w:eastAsia="zh-CN"/>
        </w:rPr>
        <w:t>CO</w:t>
      </w:r>
      <w:r>
        <w:rPr>
          <w:rFonts w:hint="eastAsia"/>
          <w:highlight w:val="none"/>
          <w:vertAlign w:val="subscript"/>
          <w:lang w:eastAsia="zh-CN"/>
        </w:rPr>
        <w:t>2e</w:t>
      </w:r>
      <w:r>
        <w:rPr>
          <w:rFonts w:cs="Times New Roman"/>
        </w:rPr>
        <w:t>/a；</w:t>
      </w:r>
    </w:p>
    <w:p w14:paraId="4AE956C0">
      <w:pPr>
        <w:rPr>
          <w:rFonts w:cs="Times New Roman"/>
        </w:rPr>
      </w:pPr>
      <m:oMath>
        <m:sSub>
          <m:sSubPr>
            <m:ctrlPr>
              <w:rPr>
                <w:rFonts w:ascii="Cambria Math" w:hAnsi="Cambria Math" w:cs="Times New Roman"/>
              </w:rPr>
            </m:ctrlPr>
          </m:sSubPr>
          <m:e>
            <m:r>
              <m:rPr>
                <m:nor/>
                <m:sty m:val="p"/>
              </m:rPr>
              <w:rPr>
                <w:rFonts w:cs="Times New Roman"/>
                <w:b w:val="0"/>
                <w:i w:val="0"/>
              </w:rPr>
              <m:t>E</m:t>
            </m:r>
            <m:ctrlPr>
              <w:rPr>
                <w:rFonts w:ascii="Cambria Math" w:hAnsi="Cambria Math" w:cs="Times New Roman"/>
              </w:rPr>
            </m:ctrlPr>
          </m:e>
          <m:sub>
            <m:r>
              <m:rPr>
                <m:nor/>
                <m:sty m:val="p"/>
              </m:rPr>
              <w:rPr>
                <w:rFonts w:cs="Times New Roman"/>
                <w:b w:val="0"/>
                <w:i w:val="0"/>
              </w:rPr>
              <m:t>leakage,t</m:t>
            </m:r>
            <m:ctrlPr>
              <w:rPr>
                <w:rFonts w:ascii="Cambria Math" w:hAnsi="Cambria Math" w:cs="Times New Roman"/>
              </w:rPr>
            </m:ctrlPr>
          </m:sub>
        </m:sSub>
      </m:oMath>
      <w:r>
        <w:rPr>
          <w:rFonts w:cs="Times New Roman"/>
        </w:rPr>
        <w:t>——第t年项目活动导致的边界外泄漏碳排放量，t</w:t>
      </w:r>
      <w:r>
        <w:rPr>
          <w:rFonts w:hint="eastAsia"/>
          <w:highlight w:val="none"/>
          <w:lang w:eastAsia="zh-CN"/>
        </w:rPr>
        <w:t>CO</w:t>
      </w:r>
      <w:r>
        <w:rPr>
          <w:rFonts w:hint="eastAsia"/>
          <w:highlight w:val="none"/>
          <w:vertAlign w:val="subscript"/>
          <w:lang w:eastAsia="zh-CN"/>
        </w:rPr>
        <w:t>2e</w:t>
      </w:r>
      <w:r>
        <w:rPr>
          <w:rFonts w:cs="Times New Roman"/>
        </w:rPr>
        <w:t>/a。</w:t>
      </w:r>
    </w:p>
    <w:p w14:paraId="139D8F93">
      <w:r>
        <w:t>湿地碳汇项目可能因自然因素（如洪涝、干旱、病虫害等）或人为干扰（如非法占用、污染、开发建设等）导致已清除的温室气体重新释放到大气中，即非持久性风险。湿地生态系统相较于森林生态系统面临更高的水文波动和人为干扰风险，因此在核算湿地碳普惠减排量时，须在公式（</w:t>
      </w:r>
      <w:r>
        <w:rPr>
          <w:rFonts w:hint="eastAsia"/>
        </w:rPr>
        <w:t>20</w:t>
      </w:r>
      <w:r>
        <w:t>）计算结果的基础上扣除非持久性风险，得到最终可备案的碳普惠净减排量：</w:t>
      </w:r>
    </w:p>
    <w:p w14:paraId="06B87CB3">
      <w:pPr>
        <w:rPr>
          <w:rFonts w:hAnsi="Cambria Math" w:cs="Times New Roman"/>
        </w:rPr>
      </w:pPr>
      <m:oMath>
        <m:r>
          <m:rPr/>
          <w:rPr>
            <w:rFonts w:ascii="Cambria Math" w:hAnsi="Cambria Math" w:cs="Times New Roman"/>
          </w:rPr>
          <m:t>E</m:t>
        </m:r>
        <m:sSubSup>
          <m:sSubSupPr>
            <m:ctrlPr>
              <w:rPr>
                <w:rFonts w:ascii="Cambria Math" w:hAnsi="Cambria Math" w:cs="Times New Roman"/>
                <w:i/>
              </w:rPr>
            </m:ctrlPr>
          </m:sSubSupPr>
          <m:e>
            <m:r>
              <m:rPr/>
              <w:rPr>
                <w:rFonts w:ascii="Cambria Math" w:hAnsi="Cambria Math" w:cs="Times New Roman"/>
              </w:rPr>
              <m:t>R</m:t>
            </m:r>
            <m:ctrlPr>
              <w:rPr>
                <w:rFonts w:ascii="Cambria Math" w:hAnsi="Cambria Math" w:cs="Times New Roman"/>
                <w:i/>
              </w:rPr>
            </m:ctrlPr>
          </m:e>
          <m:sub>
            <m:r>
              <m:rPr/>
              <w:rPr>
                <w:rFonts w:ascii="Cambria Math" w:hAnsi="Cambria Math" w:cs="Times New Roman"/>
              </w:rPr>
              <m:t>t</m:t>
            </m:r>
            <m:ctrlPr>
              <w:rPr>
                <w:rFonts w:ascii="Cambria Math" w:hAnsi="Cambria Math" w:cs="Times New Roman"/>
                <w:i/>
              </w:rPr>
            </m:ctrlPr>
          </m:sub>
          <m:sup>
            <m:r>
              <m:rPr/>
              <w:rPr>
                <w:rFonts w:ascii="Cambria Math" w:hAnsi="Cambria Math" w:cs="Times New Roman"/>
              </w:rPr>
              <m:t>net</m:t>
            </m:r>
            <m:ctrlPr>
              <w:rPr>
                <w:rFonts w:ascii="Cambria Math" w:hAnsi="Cambria Math" w:cs="Times New Roman"/>
                <w:i/>
              </w:rPr>
            </m:ctrlPr>
          </m:sup>
        </m:sSubSup>
        <m:r>
          <m:rPr/>
          <w:rPr>
            <w:rFonts w:ascii="Cambria Math" w:hAnsi="Cambria Math" w:cs="Times New Roman"/>
          </w:rPr>
          <m:t>=E</m:t>
        </m:r>
        <m:sSub>
          <m:sSubPr>
            <m:ctrlPr>
              <w:rPr>
                <w:rFonts w:ascii="Cambria Math" w:hAnsi="Cambria Math" w:cs="Times New Roman"/>
                <w:i/>
              </w:rPr>
            </m:ctrlPr>
          </m:sSubPr>
          <m:e>
            <m:r>
              <m:rPr/>
              <w:rPr>
                <w:rFonts w:ascii="Cambria Math" w:hAnsi="Cambria Math" w:cs="Times New Roman"/>
              </w:rPr>
              <m:t>R</m:t>
            </m:r>
            <m:ctrlPr>
              <w:rPr>
                <w:rFonts w:ascii="Cambria Math" w:hAnsi="Cambria Math" w:cs="Times New Roman"/>
                <w:i/>
              </w:rPr>
            </m:ctrlPr>
          </m:e>
          <m:sub>
            <m:r>
              <m:rPr/>
              <w:rPr>
                <w:rFonts w:ascii="Cambria Math" w:hAnsi="Cambria Math" w:cs="Times New Roman"/>
              </w:rPr>
              <m:t>t</m:t>
            </m:r>
            <m:ctrlPr>
              <w:rPr>
                <w:rFonts w:ascii="Cambria Math" w:hAnsi="Cambria Math" w:cs="Times New Roman"/>
                <w:i/>
              </w:rPr>
            </m:ctrlPr>
          </m:sub>
        </m:sSub>
        <m:r>
          <m:rPr>
            <m:sty m:val="p"/>
          </m:rPr>
          <w:rPr>
            <w:rFonts w:hint="eastAsia" w:ascii="Cambria Math" w:hAnsi="Cambria Math"/>
          </w:rPr>
          <m:t>×</m:t>
        </m:r>
        <m:r>
          <m:rPr>
            <m:sty m:val="p"/>
          </m:rPr>
          <w:rPr>
            <w:rFonts w:ascii="Cambria Math" w:hAnsi="Cambria Math"/>
          </w:rPr>
          <m:t>(1−</m:t>
        </m:r>
        <m:sSub>
          <m:sSubPr>
            <m:ctrlPr>
              <w:rPr>
                <w:rFonts w:ascii="Cambria Math" w:hAnsi="Cambria Math"/>
              </w:rPr>
            </m:ctrlPr>
          </m:sSubPr>
          <m:e>
            <m:r>
              <m:rPr>
                <m:sty m:val="p"/>
              </m:rPr>
              <w:rPr>
                <w:rFonts w:ascii="Cambria Math" w:hAnsi="Cambria Math"/>
              </w:rPr>
              <m:t>K</m:t>
            </m:r>
            <m:ctrlPr>
              <w:rPr>
                <w:rFonts w:ascii="Cambria Math" w:hAnsi="Cambria Math"/>
              </w:rPr>
            </m:ctrlPr>
          </m:e>
          <m:sub>
            <m:r>
              <m:rPr>
                <m:sty m:val="p"/>
              </m:rPr>
              <w:rPr>
                <w:rFonts w:ascii="Cambria Math" w:hAnsi="Cambria Math"/>
              </w:rPr>
              <m:t>RISK</m:t>
            </m:r>
            <m:ctrlPr>
              <w:rPr>
                <w:rFonts w:ascii="Cambria Math" w:hAnsi="Cambria Math"/>
              </w:rPr>
            </m:ctrlPr>
          </m:sub>
        </m:sSub>
        <m:r>
          <m:rPr>
            <m:sty m:val="p"/>
          </m:rPr>
          <w:rPr>
            <w:rFonts w:ascii="Cambria Math" w:hAnsi="Cambria Math"/>
          </w:rPr>
          <m:t>)</m:t>
        </m:r>
      </m:oMath>
      <w:r>
        <w:rPr>
          <w:rFonts w:hint="eastAsia" w:hAnsi="Cambria Math"/>
        </w:rPr>
        <w:t xml:space="preserve">                            </w:t>
      </w:r>
      <w:r>
        <w:rPr>
          <w:rFonts w:hint="eastAsia" w:hAnsi="Cambria Math"/>
          <w:lang w:eastAsia="zh-CN"/>
        </w:rPr>
        <w:t>(</w:t>
      </w:r>
      <w:r>
        <w:rPr>
          <w:rFonts w:hint="eastAsia" w:hAnsi="Cambria Math" w:cs="Times New Roman"/>
        </w:rPr>
        <w:t>21</w:t>
      </w:r>
      <w:r>
        <w:rPr>
          <w:rFonts w:hint="eastAsia" w:hAnsi="Cambria Math" w:cs="Times New Roman"/>
          <w:lang w:eastAsia="zh-CN"/>
        </w:rPr>
        <w:t>)</w:t>
      </w:r>
    </w:p>
    <w:p w14:paraId="62810091">
      <w:pPr>
        <w:rPr>
          <w:rFonts w:hAnsi="Cambria Math" w:cs="Times New Roman"/>
        </w:rPr>
      </w:pPr>
      <w:r>
        <w:rPr>
          <w:rFonts w:hAnsi="Cambria Math" w:cs="Times New Roman"/>
        </w:rPr>
        <w:t>式中：</w:t>
      </w:r>
    </w:p>
    <w:p w14:paraId="03F429E3">
      <w:pPr>
        <w:rPr>
          <w:rFonts w:hAnsi="Cambria Math" w:cs="Times New Roman"/>
        </w:rPr>
      </w:pPr>
      <m:oMath>
        <m:r>
          <m:rPr/>
          <w:rPr>
            <w:rFonts w:ascii="Cambria Math" w:hAnsi="Cambria Math" w:cs="Times New Roman"/>
          </w:rPr>
          <m:t>E</m:t>
        </m:r>
        <m:sSubSup>
          <m:sSubSupPr>
            <m:ctrlPr>
              <w:rPr>
                <w:rFonts w:ascii="Cambria Math" w:hAnsi="Cambria Math" w:cs="Times New Roman"/>
                <w:i/>
              </w:rPr>
            </m:ctrlPr>
          </m:sSubSupPr>
          <m:e>
            <m:r>
              <m:rPr/>
              <w:rPr>
                <w:rFonts w:ascii="Cambria Math" w:hAnsi="Cambria Math" w:cs="Times New Roman"/>
              </w:rPr>
              <m:t>R</m:t>
            </m:r>
            <m:ctrlPr>
              <w:rPr>
                <w:rFonts w:ascii="Cambria Math" w:hAnsi="Cambria Math" w:cs="Times New Roman"/>
                <w:i/>
              </w:rPr>
            </m:ctrlPr>
          </m:e>
          <m:sub>
            <m:r>
              <m:rPr/>
              <w:rPr>
                <w:rFonts w:ascii="Cambria Math" w:hAnsi="Cambria Math" w:cs="Times New Roman"/>
              </w:rPr>
              <m:t>t</m:t>
            </m:r>
            <m:ctrlPr>
              <w:rPr>
                <w:rFonts w:ascii="Cambria Math" w:hAnsi="Cambria Math" w:cs="Times New Roman"/>
                <w:i/>
              </w:rPr>
            </m:ctrlPr>
          </m:sub>
          <m:sup>
            <m:r>
              <m:rPr/>
              <w:rPr>
                <w:rFonts w:ascii="Cambria Math" w:hAnsi="Cambria Math" w:cs="Times New Roman"/>
              </w:rPr>
              <m:t>net</m:t>
            </m:r>
            <m:ctrlPr>
              <w:rPr>
                <w:rFonts w:ascii="Cambria Math" w:hAnsi="Cambria Math" w:cs="Times New Roman"/>
                <w:i/>
              </w:rPr>
            </m:ctrlPr>
          </m:sup>
        </m:sSubSup>
      </m:oMath>
      <w:r>
        <w:rPr>
          <w:rFonts w:hAnsi="Cambria Math" w:cs="Times New Roman"/>
        </w:rPr>
        <w:t xml:space="preserve"> ——第t年扣除非持久性风险后可备案的碳普惠净减排量，</w:t>
      </w:r>
      <w:r>
        <w:rPr>
          <w:rFonts w:hint="eastAsia" w:hAnsi="Cambria Math" w:cs="Times New Roman"/>
          <w:lang w:val="en-US" w:eastAsia="zh-CN"/>
        </w:rPr>
        <w:t>t</w:t>
      </w:r>
      <w:r>
        <w:rPr>
          <w:rFonts w:hint="eastAsia"/>
          <w:highlight w:val="none"/>
          <w:lang w:eastAsia="zh-CN"/>
        </w:rPr>
        <w:t>CO</w:t>
      </w:r>
      <w:r>
        <w:rPr>
          <w:rFonts w:hint="eastAsia"/>
          <w:highlight w:val="none"/>
          <w:vertAlign w:val="subscript"/>
          <w:lang w:eastAsia="zh-CN"/>
        </w:rPr>
        <w:t>2e</w:t>
      </w:r>
      <w:r>
        <w:rPr>
          <w:rFonts w:hAnsi="Cambria Math" w:cs="Times New Roman"/>
        </w:rPr>
        <w:t>/a；</w:t>
      </w:r>
    </w:p>
    <w:p w14:paraId="1E96C17E">
      <w:pPr>
        <w:rPr>
          <w:rFonts w:hAnsi="Cambria Math" w:cs="Times New Roman"/>
        </w:rPr>
      </w:pPr>
      <m:oMath>
        <m:r>
          <m:rPr/>
          <w:rPr>
            <w:rFonts w:ascii="Cambria Math" w:hAnsi="Cambria Math" w:cs="Times New Roman"/>
          </w:rPr>
          <m:t>E</m:t>
        </m:r>
        <m:sSub>
          <m:sSubPr>
            <m:ctrlPr>
              <w:rPr>
                <w:rFonts w:ascii="Cambria Math" w:hAnsi="Cambria Math" w:cs="Times New Roman"/>
                <w:i/>
              </w:rPr>
            </m:ctrlPr>
          </m:sSubPr>
          <m:e>
            <m:r>
              <m:rPr/>
              <w:rPr>
                <w:rFonts w:ascii="Cambria Math" w:hAnsi="Cambria Math" w:cs="Times New Roman"/>
              </w:rPr>
              <m:t>R</m:t>
            </m:r>
            <m:ctrlPr>
              <w:rPr>
                <w:rFonts w:ascii="Cambria Math" w:hAnsi="Cambria Math" w:cs="Times New Roman"/>
                <w:i/>
              </w:rPr>
            </m:ctrlPr>
          </m:e>
          <m:sub>
            <m:r>
              <m:rPr/>
              <w:rPr>
                <w:rFonts w:ascii="Cambria Math" w:hAnsi="Cambria Math" w:cs="Times New Roman"/>
              </w:rPr>
              <m:t>t</m:t>
            </m:r>
            <m:ctrlPr>
              <w:rPr>
                <w:rFonts w:ascii="Cambria Math" w:hAnsi="Cambria Math" w:cs="Times New Roman"/>
                <w:i/>
              </w:rPr>
            </m:ctrlPr>
          </m:sub>
        </m:sSub>
      </m:oMath>
      <w:r>
        <w:rPr>
          <w:rFonts w:hAnsi="Cambria Math" w:cs="Times New Roman"/>
        </w:rPr>
        <w:t xml:space="preserve"> ——第t年项目产生的碳普惠总减排量，t</w:t>
      </w:r>
      <w:r>
        <w:rPr>
          <w:rFonts w:hint="eastAsia"/>
          <w:highlight w:val="none"/>
          <w:lang w:eastAsia="zh-CN"/>
        </w:rPr>
        <w:t>CO</w:t>
      </w:r>
      <w:r>
        <w:rPr>
          <w:rFonts w:hint="eastAsia"/>
          <w:highlight w:val="none"/>
          <w:vertAlign w:val="subscript"/>
          <w:lang w:eastAsia="zh-CN"/>
        </w:rPr>
        <w:t>2e</w:t>
      </w:r>
      <w:r>
        <w:rPr>
          <w:rFonts w:hAnsi="Cambria Math" w:cs="Times New Roman"/>
        </w:rPr>
        <w:t>/a，按公式（</w:t>
      </w:r>
      <w:r>
        <w:rPr>
          <w:rFonts w:hint="eastAsia" w:hAnsi="Cambria Math" w:cs="Times New Roman"/>
        </w:rPr>
        <w:t>20</w:t>
      </w:r>
      <w:r>
        <w:rPr>
          <w:rFonts w:hAnsi="Cambria Math" w:cs="Times New Roman"/>
        </w:rPr>
        <w:t>）计算；</w:t>
      </w:r>
    </w:p>
    <w:p w14:paraId="4F686FF3">
      <m:oMath>
        <m:sSub>
          <m:sSubPr>
            <m:ctrlPr>
              <w:rPr>
                <w:rFonts w:ascii="Cambria Math" w:hAnsi="Cambria Math"/>
              </w:rPr>
            </m:ctrlPr>
          </m:sSubPr>
          <m:e>
            <m:r>
              <m:rPr>
                <m:sty m:val="p"/>
              </m:rPr>
              <w:rPr>
                <w:rFonts w:ascii="Cambria Math" w:hAnsi="Cambria Math"/>
              </w:rPr>
              <m:t>K</m:t>
            </m:r>
            <m:ctrlPr>
              <w:rPr>
                <w:rFonts w:ascii="Cambria Math" w:hAnsi="Cambria Math"/>
              </w:rPr>
            </m:ctrlPr>
          </m:e>
          <m:sub>
            <m:r>
              <m:rPr>
                <m:sty m:val="p"/>
              </m:rPr>
              <w:rPr>
                <w:rFonts w:ascii="Cambria Math" w:hAnsi="Cambria Math"/>
              </w:rPr>
              <m:t>RISK</m:t>
            </m:r>
            <m:ctrlPr>
              <w:rPr>
                <w:rFonts w:ascii="Cambria Math" w:hAnsi="Cambria Math"/>
              </w:rPr>
            </m:ctrlPr>
          </m:sub>
        </m:sSub>
      </m:oMath>
      <w:r>
        <w:t>——项目的非持久性风险扣减率，单位百分比（%），按</w:t>
      </w:r>
      <w:r>
        <w:rPr>
          <w:rFonts w:hint="eastAsia"/>
        </w:rPr>
        <w:t>下表</w:t>
      </w:r>
      <w:r>
        <w:t>确定；</w:t>
      </w:r>
    </w:p>
    <w:p w14:paraId="24352E87">
      <w:pPr>
        <w:rPr>
          <w:rFonts w:hAnsi="Cambria Math" w:cs="Times New Roman"/>
        </w:rPr>
      </w:pPr>
      <w:r>
        <w:rPr>
          <w:rFonts w:hAnsi="Cambria Math" w:cs="Times New Roman"/>
        </w:rPr>
        <w:t>t——自项目开始以来的年数，t = 1, 2, 3</w:t>
      </w:r>
      <w:r>
        <w:rPr>
          <w:rFonts w:hint="eastAsia" w:hAnsi="Cambria Math" w:cs="Times New Roman"/>
          <w:lang w:eastAsia="zh-CN"/>
        </w:rPr>
        <w:t>…</w:t>
      </w:r>
      <w:r>
        <w:rPr>
          <w:rFonts w:hAnsi="Cambria Math" w:cs="Times New Roman"/>
        </w:rPr>
        <w:t>无量纲。</w:t>
      </w:r>
    </w:p>
    <w:p w14:paraId="6BBB9608">
      <w:pPr>
        <w:rPr>
          <w:rFonts w:hAnsi="Cambria Math" w:cs="Times New Roman"/>
        </w:rPr>
      </w:pPr>
      <w:r>
        <w:rPr>
          <w:rFonts w:hint="eastAsia" w:hAnsi="Cambria Math" w:cs="Times New Roman"/>
          <w:lang w:eastAsia="zh-CN"/>
        </w:rPr>
        <w:t>b）</w:t>
      </w:r>
      <w:r>
        <w:rPr>
          <w:rFonts w:hint="eastAsia" w:hAnsi="Cambria Math" w:cs="Times New Roman"/>
        </w:rPr>
        <w:t>项目计入期累计可备案碳普惠净减排量为各年度净减排量累加值，按以下公式计算：</w:t>
      </w:r>
    </w:p>
    <w:p w14:paraId="177CD022">
      <w:pPr>
        <w:rPr>
          <w:rFonts w:hAnsi="Cambria Math" w:cs="Times New Roman"/>
        </w:rPr>
      </w:pPr>
      <m:oMath>
        <m:r>
          <m:rPr/>
          <w:rPr>
            <w:rFonts w:ascii="Cambria Math" w:hAnsi="Cambria Math" w:cs="Times New Roman"/>
          </w:rPr>
          <m:t>E</m:t>
        </m:r>
        <m:sSub>
          <m:sSubPr>
            <m:ctrlPr>
              <w:rPr>
                <w:rFonts w:ascii="Cambria Math" w:hAnsi="Cambria Math" w:cs="Times New Roman"/>
                <w:i/>
              </w:rPr>
            </m:ctrlPr>
          </m:sSubPr>
          <m:e>
            <m:r>
              <m:rPr/>
              <w:rPr>
                <w:rFonts w:ascii="Cambria Math" w:hAnsi="Cambria Math" w:cs="Times New Roman"/>
              </w:rPr>
              <m:t>R</m:t>
            </m:r>
            <m:ctrlPr>
              <w:rPr>
                <w:rFonts w:ascii="Cambria Math" w:hAnsi="Cambria Math" w:cs="Times New Roman"/>
                <w:i/>
              </w:rPr>
            </m:ctrlPr>
          </m:e>
          <m:sub>
            <m:r>
              <m:rPr/>
              <w:rPr>
                <w:rFonts w:ascii="Cambria Math" w:hAnsi="Cambria Math" w:cs="Times New Roman"/>
              </w:rPr>
              <m:t>total</m:t>
            </m:r>
            <m:ctrlPr>
              <w:rPr>
                <w:rFonts w:ascii="Cambria Math" w:hAnsi="Cambria Math" w:cs="Times New Roman"/>
                <w:i/>
              </w:rPr>
            </m:ctrlPr>
          </m:sub>
        </m:sSub>
        <m:r>
          <m:rPr/>
          <w:rPr>
            <w:rFonts w:ascii="Cambria Math" w:hAnsi="Cambria Math" w:cs="Times New Roman"/>
          </w:rPr>
          <m:t>=</m:t>
        </m:r>
        <m:nary>
          <m:naryPr>
            <m:chr m:val="∑"/>
            <m:limLoc m:val="subSup"/>
            <m:ctrlPr>
              <w:rPr>
                <w:rFonts w:ascii="Cambria Math" w:hAnsi="Cambria Math" w:cs="Times New Roman"/>
                <w:i/>
              </w:rPr>
            </m:ctrlPr>
          </m:naryPr>
          <m:sub>
            <m:r>
              <m:rPr/>
              <w:rPr>
                <w:rFonts w:ascii="Cambria Math" w:hAnsi="Cambria Math" w:cs="Times New Roman"/>
              </w:rPr>
              <m:t>t=1</m:t>
            </m:r>
            <m:ctrlPr>
              <w:rPr>
                <w:rFonts w:ascii="Cambria Math" w:hAnsi="Cambria Math" w:cs="Times New Roman"/>
                <w:i/>
              </w:rPr>
            </m:ctrlPr>
          </m:sub>
          <m:sup>
            <m:r>
              <m:rPr/>
              <w:rPr>
                <w:rFonts w:ascii="Cambria Math" w:hAnsi="Cambria Math" w:cs="Times New Roman"/>
              </w:rPr>
              <m:t>T</m:t>
            </m:r>
            <m:ctrlPr>
              <w:rPr>
                <w:rFonts w:ascii="Cambria Math" w:hAnsi="Cambria Math" w:cs="Times New Roman"/>
                <w:i/>
              </w:rPr>
            </m:ctrlPr>
          </m:sup>
          <m:e>
            <m:r>
              <m:rPr/>
              <w:rPr>
                <w:rFonts w:ascii="Cambria Math" w:hAnsi="Cambria Math" w:cs="Times New Roman"/>
              </w:rPr>
              <m:t>E</m:t>
            </m:r>
            <m:ctrlPr>
              <w:rPr>
                <w:rFonts w:ascii="Cambria Math" w:hAnsi="Cambria Math" w:cs="Times New Roman"/>
                <w:i/>
              </w:rPr>
            </m:ctrlPr>
          </m:e>
        </m:nary>
        <m:sSubSup>
          <m:sSubSupPr>
            <m:ctrlPr>
              <w:rPr>
                <w:rFonts w:ascii="Cambria Math" w:hAnsi="Cambria Math" w:cs="Times New Roman"/>
                <w:i/>
              </w:rPr>
            </m:ctrlPr>
          </m:sSubSupPr>
          <m:e>
            <m:r>
              <m:rPr/>
              <w:rPr>
                <w:rFonts w:ascii="Cambria Math" w:hAnsi="Cambria Math" w:cs="Times New Roman"/>
              </w:rPr>
              <m:t>R</m:t>
            </m:r>
            <m:ctrlPr>
              <w:rPr>
                <w:rFonts w:ascii="Cambria Math" w:hAnsi="Cambria Math" w:cs="Times New Roman"/>
                <w:i/>
              </w:rPr>
            </m:ctrlPr>
          </m:e>
          <m:sub>
            <m:r>
              <m:rPr/>
              <w:rPr>
                <w:rFonts w:ascii="Cambria Math" w:hAnsi="Cambria Math" w:cs="Times New Roman"/>
              </w:rPr>
              <m:t>t</m:t>
            </m:r>
            <m:ctrlPr>
              <w:rPr>
                <w:rFonts w:ascii="Cambria Math" w:hAnsi="Cambria Math" w:cs="Times New Roman"/>
                <w:i/>
              </w:rPr>
            </m:ctrlPr>
          </m:sub>
          <m:sup>
            <m:r>
              <m:rPr/>
              <w:rPr>
                <w:rFonts w:ascii="Cambria Math" w:hAnsi="Cambria Math" w:cs="Times New Roman"/>
              </w:rPr>
              <m:t>net</m:t>
            </m:r>
            <m:ctrlPr>
              <w:rPr>
                <w:rFonts w:ascii="Cambria Math" w:hAnsi="Cambria Math" w:cs="Times New Roman"/>
                <w:i/>
              </w:rPr>
            </m:ctrlPr>
          </m:sup>
        </m:sSubSup>
      </m:oMath>
      <w:r>
        <w:rPr>
          <w:rFonts w:hint="eastAsia" w:hAnsi="Cambria Math"/>
        </w:rPr>
        <w:t xml:space="preserve">                                  </w:t>
      </w:r>
      <w:r>
        <w:rPr>
          <w:rFonts w:hint="eastAsia" w:hAnsi="Cambria Math"/>
          <w:lang w:eastAsia="zh-CN"/>
        </w:rPr>
        <w:t>(</w:t>
      </w:r>
      <w:r>
        <w:rPr>
          <w:rFonts w:hint="eastAsia" w:hAnsi="Cambria Math" w:cs="Times New Roman"/>
        </w:rPr>
        <w:t>22</w:t>
      </w:r>
      <w:r>
        <w:rPr>
          <w:rFonts w:hint="eastAsia" w:hAnsi="Cambria Math" w:cs="Times New Roman"/>
          <w:lang w:eastAsia="zh-CN"/>
        </w:rPr>
        <w:t>)</w:t>
      </w:r>
    </w:p>
    <w:p w14:paraId="3C7AC385">
      <w:pPr>
        <w:rPr>
          <w:rFonts w:cs="Times New Roman"/>
        </w:rPr>
      </w:pPr>
      <w:r>
        <w:rPr>
          <w:rFonts w:hint="eastAsia" w:cs="Times New Roman"/>
        </w:rPr>
        <w:t>式中：</w:t>
      </w:r>
    </w:p>
    <w:p w14:paraId="6E6F4F3C">
      <w:pPr>
        <w:rPr>
          <w:rFonts w:cs="Times New Roman"/>
        </w:rPr>
      </w:pPr>
      <m:oMath>
        <m:r>
          <m:rPr/>
          <w:rPr>
            <w:rFonts w:ascii="Cambria Math" w:hAnsi="Cambria Math" w:cs="Times New Roman"/>
          </w:rPr>
          <m:t>E</m:t>
        </m:r>
        <m:sSub>
          <m:sSubPr>
            <m:ctrlPr>
              <w:rPr>
                <w:rFonts w:ascii="Cambria Math" w:hAnsi="Cambria Math" w:cs="Times New Roman"/>
                <w:i/>
              </w:rPr>
            </m:ctrlPr>
          </m:sSubPr>
          <m:e>
            <m:r>
              <m:rPr/>
              <w:rPr>
                <w:rFonts w:ascii="Cambria Math" w:hAnsi="Cambria Math" w:cs="Times New Roman"/>
              </w:rPr>
              <m:t>R</m:t>
            </m:r>
            <m:ctrlPr>
              <w:rPr>
                <w:rFonts w:ascii="Cambria Math" w:hAnsi="Cambria Math" w:cs="Times New Roman"/>
                <w:i/>
              </w:rPr>
            </m:ctrlPr>
          </m:e>
          <m:sub>
            <m:r>
              <m:rPr/>
              <w:rPr>
                <w:rFonts w:ascii="Cambria Math" w:hAnsi="Cambria Math" w:cs="Times New Roman"/>
              </w:rPr>
              <m:t>total</m:t>
            </m:r>
            <m:ctrlPr>
              <w:rPr>
                <w:rFonts w:ascii="Cambria Math" w:hAnsi="Cambria Math" w:cs="Times New Roman"/>
                <w:i/>
              </w:rPr>
            </m:ctrlPr>
          </m:sub>
        </m:sSub>
      </m:oMath>
      <w:r>
        <w:rPr>
          <w:rFonts w:hint="eastAsia" w:cs="Times New Roman"/>
        </w:rPr>
        <w:t xml:space="preserve"> ——项目计入期内累计可备案碳普惠净减排量，</w:t>
      </w:r>
      <w:r>
        <w:rPr>
          <w:rFonts w:hAnsi="Cambria Math" w:cs="Times New Roman"/>
        </w:rPr>
        <w:t>tCO</w:t>
      </w:r>
      <w:r>
        <w:rPr>
          <w:rFonts w:hint="eastAsia" w:hAnsi="Cambria Math" w:cs="Times New Roman"/>
          <w:vertAlign w:val="subscript"/>
        </w:rPr>
        <w:t>2</w:t>
      </w:r>
      <w:r>
        <w:rPr>
          <w:rFonts w:hAnsi="Cambria Math" w:cs="Times New Roman"/>
          <w:vertAlign w:val="subscript"/>
        </w:rPr>
        <w:t>e</w:t>
      </w:r>
      <w:r>
        <w:rPr>
          <w:rFonts w:hint="eastAsia" w:cs="Times New Roman"/>
        </w:rPr>
        <w:t>；</w:t>
      </w:r>
    </w:p>
    <w:p w14:paraId="186DD5A4">
      <w:pPr>
        <w:rPr>
          <w:rFonts w:cs="Times New Roman"/>
        </w:rPr>
      </w:pPr>
      <m:oMath>
        <m:sSubSup>
          <m:sSubSupPr>
            <m:ctrlPr>
              <w:rPr>
                <w:rFonts w:ascii="Cambria Math" w:hAnsi="Cambria Math" w:cs="Times New Roman"/>
                <w:i/>
              </w:rPr>
            </m:ctrlPr>
          </m:sSubSupPr>
          <m:e>
            <m:r>
              <m:rPr/>
              <w:rPr>
                <w:rFonts w:ascii="Cambria Math" w:hAnsi="Cambria Math" w:cs="Times New Roman"/>
              </w:rPr>
              <m:t>ER</m:t>
            </m:r>
            <m:ctrlPr>
              <w:rPr>
                <w:rFonts w:ascii="Cambria Math" w:hAnsi="Cambria Math" w:cs="Times New Roman"/>
                <w:i/>
              </w:rPr>
            </m:ctrlPr>
          </m:e>
          <m:sub>
            <m:r>
              <m:rPr/>
              <w:rPr>
                <w:rFonts w:ascii="Cambria Math" w:hAnsi="Cambria Math" w:cs="Times New Roman"/>
              </w:rPr>
              <m:t>t</m:t>
            </m:r>
            <m:ctrlPr>
              <w:rPr>
                <w:rFonts w:ascii="Cambria Math" w:hAnsi="Cambria Math" w:cs="Times New Roman"/>
                <w:i/>
              </w:rPr>
            </m:ctrlPr>
          </m:sub>
          <m:sup>
            <m:r>
              <m:rPr/>
              <w:rPr>
                <w:rFonts w:ascii="Cambria Math" w:hAnsi="Cambria Math" w:cs="Times New Roman"/>
              </w:rPr>
              <m:t>net</m:t>
            </m:r>
            <m:ctrlPr>
              <w:rPr>
                <w:rFonts w:ascii="Cambria Math" w:hAnsi="Cambria Math" w:cs="Times New Roman"/>
                <w:i/>
              </w:rPr>
            </m:ctrlPr>
          </m:sup>
        </m:sSubSup>
      </m:oMath>
      <w:r>
        <w:rPr>
          <w:rFonts w:hint="eastAsia" w:cs="Times New Roman"/>
        </w:rPr>
        <w:t xml:space="preserve"> ——第t年扣除非持久性风险后可备案的碳普惠净减排量，</w:t>
      </w:r>
      <w:r>
        <w:rPr>
          <w:rFonts w:hAnsi="Cambria Math" w:cs="Times New Roman"/>
        </w:rPr>
        <w:t>tCO</w:t>
      </w:r>
      <w:r>
        <w:rPr>
          <w:rFonts w:hint="eastAsia" w:hAnsi="Cambria Math" w:cs="Times New Roman"/>
          <w:vertAlign w:val="subscript"/>
        </w:rPr>
        <w:t>2</w:t>
      </w:r>
      <w:r>
        <w:rPr>
          <w:rFonts w:hAnsi="Cambria Math" w:cs="Times New Roman"/>
        </w:rPr>
        <w:t>e/a</w:t>
      </w:r>
      <w:r>
        <w:rPr>
          <w:rFonts w:hint="eastAsia" w:cs="Times New Roman"/>
        </w:rPr>
        <w:t>，按公式</w:t>
      </w:r>
      <w:r>
        <w:rPr>
          <w:rFonts w:hint="eastAsia" w:cs="Times New Roman"/>
          <w:highlight w:val="none"/>
        </w:rPr>
        <w:t>（20）、公式（21）计算；</w:t>
      </w:r>
    </w:p>
    <w:p w14:paraId="7E8B996A">
      <w:pPr>
        <w:rPr>
          <w:rFonts w:cs="Times New Roman"/>
        </w:rPr>
      </w:pPr>
      <w:r>
        <w:rPr>
          <w:rFonts w:hint="eastAsia" w:cs="Times New Roman"/>
        </w:rPr>
        <w:t>T——项目计入期总年数，a；</w:t>
      </w:r>
    </w:p>
    <w:p w14:paraId="3BBA5EED">
      <w:pPr>
        <w:rPr>
          <w:rFonts w:cs="Times New Roman"/>
        </w:rPr>
      </w:pPr>
      <w:r>
        <w:rPr>
          <w:rFonts w:hint="eastAsia" w:cs="Times New Roman"/>
        </w:rPr>
        <w:t>t——自项目开始以来的年数，t = 1, 2, 3</w:t>
      </w:r>
      <w:r>
        <w:rPr>
          <w:rFonts w:hint="eastAsia" w:cs="Times New Roman"/>
          <w:lang w:eastAsia="zh-CN"/>
        </w:rPr>
        <w:t>…</w:t>
      </w:r>
      <w:r>
        <w:rPr>
          <w:rFonts w:hint="eastAsia" w:cs="Times New Roman"/>
        </w:rPr>
        <w:t>T，无量纲。</w:t>
      </w:r>
    </w:p>
    <w:p w14:paraId="74B1F171">
      <w:pPr>
        <w:rPr>
          <w:rFonts w:cs="Times New Roman"/>
        </w:rPr>
      </w:pPr>
      <w:r>
        <w:rPr>
          <w:rFonts w:hint="eastAsia" w:cs="Times New Roman"/>
        </w:rPr>
        <w:t>计入期累计减排量为全市湿地碳普惠备案、交易的通用有效减排量。</w:t>
      </w:r>
    </w:p>
    <w:p w14:paraId="69887941">
      <w:pPr>
        <w:pStyle w:val="3"/>
        <w:spacing w:after="120"/>
      </w:pPr>
      <w:bookmarkStart w:id="148" w:name="_Toc225155158"/>
      <w:bookmarkStart w:id="149" w:name="_Toc225155034"/>
      <w:bookmarkStart w:id="150" w:name="_Toc225155018"/>
      <w:bookmarkStart w:id="151" w:name="_Toc225154735"/>
      <w:bookmarkStart w:id="152" w:name="_Toc232172243"/>
      <w:bookmarkStart w:id="153" w:name="_Toc28110"/>
      <w:r>
        <w:t>8</w:t>
      </w:r>
      <w:r>
        <w:rPr>
          <w:rFonts w:hint="eastAsia"/>
        </w:rPr>
        <w:t xml:space="preserve"> </w:t>
      </w:r>
      <w:r>
        <w:t>数据来源及监测</w:t>
      </w:r>
      <w:bookmarkEnd w:id="148"/>
      <w:bookmarkEnd w:id="149"/>
      <w:bookmarkEnd w:id="150"/>
      <w:bookmarkEnd w:id="151"/>
      <w:bookmarkEnd w:id="152"/>
      <w:bookmarkEnd w:id="153"/>
    </w:p>
    <w:p w14:paraId="33A0A089">
      <w:pPr>
        <w:rPr>
          <w:rFonts w:cs="Times New Roman"/>
        </w:rPr>
      </w:pPr>
      <w:r>
        <w:rPr>
          <w:rFonts w:cs="Times New Roman"/>
        </w:rPr>
        <w:t>全市湿地碳普惠项目统一采用“网格化均匀布点+重点生态区域加密”模式布设监测点位，设置永久标识（CGCS2000坐标系）。监测频率：植被生物量每年1次（9</w:t>
      </w:r>
      <w:r>
        <w:rPr>
          <w:rFonts w:hint="eastAsia" w:cs="Times New Roman"/>
          <w:lang w:eastAsia="zh-CN"/>
        </w:rPr>
        <w:t>—</w:t>
      </w:r>
      <w:r>
        <w:rPr>
          <w:rFonts w:cs="Times New Roman"/>
        </w:rPr>
        <w:t>10月），土壤有机碳每2年1次，水体DOC每季度1次，水位水质每月1次，</w:t>
      </w:r>
      <w:r>
        <w:rPr>
          <w:rFonts w:hint="eastAsia" w:cs="Times New Roman"/>
        </w:rPr>
        <w:t>极端天气后15日内应急补测。采用地面采样结合无人机、卫星遥感辅助监测。所有监测数据统一使用标准化附录记录表，执行采样平行偏差≤</w:t>
      </w:r>
      <w:r>
        <w:rPr>
          <w:rFonts w:cs="Times New Roman"/>
        </w:rPr>
        <w:t>10%</w:t>
      </w:r>
      <w:r>
        <w:rPr>
          <w:rFonts w:hint="eastAsia" w:cs="Times New Roman"/>
        </w:rPr>
        <w:t>、实验</w:t>
      </w:r>
      <w:r>
        <w:rPr>
          <w:rFonts w:cs="Times New Roman"/>
        </w:rPr>
        <w:t>室回收率</w:t>
      </w:r>
      <w:r>
        <w:rPr>
          <w:rFonts w:hint="eastAsia" w:cs="Times New Roman"/>
          <w:lang w:eastAsia="zh-CN"/>
        </w:rPr>
        <w:t>90%～110%</w:t>
      </w:r>
      <w:r>
        <w:rPr>
          <w:rFonts w:cs="Times New Roman"/>
        </w:rPr>
        <w:t>、双人录入、三级审核的质控标准，数据本地+云端双备份并留存至计入期结束后10年。不确定性主要来自气候波动、采样误差和参数偏差，通过加密监测、本地参数、年度校验和偏差超15%</w:t>
      </w:r>
      <w:r>
        <w:rPr>
          <w:rFonts w:hint="eastAsia" w:cs="Times New Roman"/>
          <w:lang w:eastAsia="zh-CN"/>
        </w:rPr>
        <w:t>的优化</w:t>
      </w:r>
      <w:r>
        <w:rPr>
          <w:rFonts w:cs="Times New Roman"/>
        </w:rPr>
        <w:t>方案等</w:t>
      </w:r>
      <w:r>
        <w:rPr>
          <w:rFonts w:hint="eastAsia" w:cs="Times New Roman"/>
          <w:lang w:eastAsia="zh-CN"/>
        </w:rPr>
        <w:t>措施进行</w:t>
      </w:r>
      <w:r>
        <w:rPr>
          <w:rFonts w:cs="Times New Roman"/>
        </w:rPr>
        <w:t>控制。</w:t>
      </w:r>
    </w:p>
    <w:p w14:paraId="343B6D27">
      <w:pPr>
        <w:outlineLvl w:val="1"/>
        <w:rPr>
          <w:rFonts w:cs="Times New Roman"/>
        </w:rPr>
      </w:pPr>
      <w:bookmarkStart w:id="154" w:name="_Toc4174"/>
      <w:r>
        <w:rPr>
          <w:rFonts w:cs="Times New Roman"/>
        </w:rPr>
        <w:t>8.1 减排</w:t>
      </w:r>
      <w:r>
        <w:rPr>
          <w:rFonts w:hint="eastAsia" w:cs="Times New Roman"/>
          <w:lang w:eastAsia="zh-CN"/>
        </w:rPr>
        <w:t>项目</w:t>
      </w:r>
      <w:r>
        <w:rPr>
          <w:rFonts w:cs="Times New Roman"/>
        </w:rPr>
        <w:t>设计阶段确定的参数和数据</w:t>
      </w:r>
      <w:bookmarkEnd w:id="154"/>
    </w:p>
    <w:p w14:paraId="4DEDC312">
      <w:pPr>
        <w:pStyle w:val="4"/>
        <w:adjustRightInd w:val="0"/>
        <w:snapToGrid w:val="0"/>
      </w:pPr>
      <w:r>
        <w:t>表</w:t>
      </w:r>
      <w:r>
        <w:rPr>
          <w:rFonts w:hint="eastAsia"/>
          <w:lang w:val="en-US" w:eastAsia="zh-CN"/>
        </w:rPr>
        <w:t>4</w:t>
      </w:r>
      <w:r>
        <w:t xml:space="preserve"> 非持久性风险扣减率</w:t>
      </w:r>
    </w:p>
    <w:tbl>
      <w:tblPr>
        <w:tblStyle w:val="13"/>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2351"/>
        <w:gridCol w:w="5949"/>
      </w:tblGrid>
      <w:tr w14:paraId="2449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6DAD1B1B">
            <w:pPr>
              <w:pStyle w:val="5"/>
              <w:keepNext w:val="0"/>
              <w:jc w:val="center"/>
              <w:rPr>
                <w:rFonts w:hint="eastAsia" w:ascii="黑体" w:hAnsi="黑体" w:eastAsia="黑体" w:cs="黑体"/>
              </w:rPr>
            </w:pPr>
            <w:r>
              <w:rPr>
                <w:rFonts w:hint="eastAsia" w:ascii="黑体" w:hAnsi="黑体" w:eastAsia="黑体" w:cs="黑体"/>
              </w:rPr>
              <w:t>数据/参数名称</w:t>
            </w:r>
          </w:p>
        </w:tc>
        <w:tc>
          <w:tcPr>
            <w:tcW w:w="5949" w:type="dxa"/>
            <w:shd w:val="clear" w:color="auto" w:fill="FFFFFF"/>
            <w:tcMar>
              <w:top w:w="150" w:type="dxa"/>
              <w:left w:w="240" w:type="dxa"/>
              <w:bottom w:w="150" w:type="dxa"/>
              <w:right w:w="0" w:type="dxa"/>
            </w:tcMar>
            <w:vAlign w:val="center"/>
          </w:tcPr>
          <w:p w14:paraId="33132A31">
            <w:pPr>
              <w:pStyle w:val="5"/>
              <w:keepNext w:val="0"/>
            </w:pPr>
            <m:oMathPara>
              <m:oMathParaPr>
                <m:jc m:val="left"/>
              </m:oMathParaPr>
              <m:oMath>
                <m:sSub>
                  <m:sSubPr>
                    <m:ctrlPr>
                      <w:rPr>
                        <w:rFonts w:ascii="Cambria Math" w:hAnsi="Cambria Math"/>
                      </w:rPr>
                    </m:ctrlPr>
                  </m:sSubPr>
                  <m:e>
                    <m:r>
                      <m:rPr>
                        <m:sty m:val="p"/>
                      </m:rPr>
                      <w:rPr>
                        <w:rFonts w:ascii="Cambria Math" w:hAnsi="Cambria Math"/>
                      </w:rPr>
                      <m:t>K</m:t>
                    </m:r>
                    <m:ctrlPr>
                      <w:rPr>
                        <w:rFonts w:ascii="Cambria Math" w:hAnsi="Cambria Math"/>
                      </w:rPr>
                    </m:ctrlPr>
                  </m:e>
                  <m:sub>
                    <m:r>
                      <m:rPr>
                        <m:sty m:val="p"/>
                      </m:rPr>
                      <w:rPr>
                        <w:rFonts w:ascii="Cambria Math" w:hAnsi="Cambria Math"/>
                      </w:rPr>
                      <m:t>RISK</m:t>
                    </m:r>
                    <m:ctrlPr>
                      <w:rPr>
                        <w:rFonts w:ascii="Cambria Math" w:hAnsi="Cambria Math"/>
                      </w:rPr>
                    </m:ctrlPr>
                  </m:sub>
                </m:sSub>
              </m:oMath>
            </m:oMathPara>
          </w:p>
        </w:tc>
      </w:tr>
      <w:tr w14:paraId="49DB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56CA7869">
            <w:pPr>
              <w:pStyle w:val="5"/>
              <w:keepNext w:val="0"/>
              <w:jc w:val="center"/>
              <w:rPr>
                <w:rFonts w:hint="eastAsia" w:ascii="黑体" w:hAnsi="黑体" w:eastAsia="黑体" w:cs="黑体"/>
              </w:rPr>
            </w:pPr>
            <w:r>
              <w:rPr>
                <w:rFonts w:hint="eastAsia" w:ascii="黑体" w:hAnsi="黑体" w:eastAsia="黑体" w:cs="黑体"/>
              </w:rPr>
              <w:t>应用的公式编号</w:t>
            </w:r>
          </w:p>
        </w:tc>
        <w:tc>
          <w:tcPr>
            <w:tcW w:w="5949" w:type="dxa"/>
            <w:shd w:val="clear" w:color="auto" w:fill="FFFFFF"/>
            <w:tcMar>
              <w:top w:w="150" w:type="dxa"/>
              <w:left w:w="240" w:type="dxa"/>
              <w:bottom w:w="150" w:type="dxa"/>
              <w:right w:w="0" w:type="dxa"/>
            </w:tcMar>
            <w:vAlign w:val="center"/>
          </w:tcPr>
          <w:p w14:paraId="01C503CC">
            <w:pPr>
              <w:pStyle w:val="5"/>
              <w:keepNext w:val="0"/>
            </w:pPr>
            <w:r>
              <w:rPr>
                <w:rFonts w:hint="eastAsia"/>
              </w:rPr>
              <w:t>公式（</w:t>
            </w:r>
            <w:r>
              <w:rPr>
                <w:rFonts w:hint="eastAsia"/>
                <w:lang w:val="en-US" w:eastAsia="zh-CN"/>
              </w:rPr>
              <w:t>21</w:t>
            </w:r>
            <w:r>
              <w:rPr>
                <w:rFonts w:hint="eastAsia"/>
              </w:rPr>
              <w:t>）</w:t>
            </w:r>
          </w:p>
        </w:tc>
      </w:tr>
      <w:tr w14:paraId="5CD9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172D2A51">
            <w:pPr>
              <w:pStyle w:val="5"/>
              <w:keepNext w:val="0"/>
              <w:jc w:val="center"/>
              <w:rPr>
                <w:rFonts w:hint="eastAsia" w:ascii="黑体" w:hAnsi="黑体" w:eastAsia="黑体" w:cs="黑体"/>
              </w:rPr>
            </w:pPr>
            <w:r>
              <w:rPr>
                <w:rFonts w:hint="eastAsia" w:ascii="黑体" w:hAnsi="黑体" w:eastAsia="黑体" w:cs="黑体"/>
              </w:rPr>
              <w:t>数据描述</w:t>
            </w:r>
          </w:p>
        </w:tc>
        <w:tc>
          <w:tcPr>
            <w:tcW w:w="5949" w:type="dxa"/>
            <w:shd w:val="clear" w:color="auto" w:fill="FFFFFF"/>
            <w:tcMar>
              <w:top w:w="150" w:type="dxa"/>
              <w:left w:w="240" w:type="dxa"/>
              <w:bottom w:w="150" w:type="dxa"/>
              <w:right w:w="0" w:type="dxa"/>
            </w:tcMar>
            <w:vAlign w:val="center"/>
          </w:tcPr>
          <w:p w14:paraId="10F05008">
            <w:pPr>
              <w:pStyle w:val="5"/>
              <w:keepNext w:val="0"/>
            </w:pPr>
            <w:r>
              <w:t>项目的非持久性风险扣减率</w:t>
            </w:r>
          </w:p>
        </w:tc>
      </w:tr>
      <w:tr w14:paraId="4FB5D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49EF95E9">
            <w:pPr>
              <w:pStyle w:val="5"/>
              <w:keepNext w:val="0"/>
              <w:jc w:val="center"/>
              <w:rPr>
                <w:rFonts w:hint="eastAsia" w:ascii="黑体" w:hAnsi="黑体" w:eastAsia="黑体" w:cs="黑体"/>
              </w:rPr>
            </w:pPr>
            <w:r>
              <w:rPr>
                <w:rFonts w:hint="eastAsia" w:ascii="黑体" w:hAnsi="黑体" w:eastAsia="黑体" w:cs="黑体"/>
              </w:rPr>
              <w:t>数据单位</w:t>
            </w:r>
          </w:p>
        </w:tc>
        <w:tc>
          <w:tcPr>
            <w:tcW w:w="5949" w:type="dxa"/>
            <w:shd w:val="clear" w:color="auto" w:fill="FFFFFF"/>
            <w:tcMar>
              <w:top w:w="150" w:type="dxa"/>
              <w:left w:w="240" w:type="dxa"/>
              <w:bottom w:w="150" w:type="dxa"/>
              <w:right w:w="0" w:type="dxa"/>
            </w:tcMar>
            <w:vAlign w:val="center"/>
          </w:tcPr>
          <w:p w14:paraId="6AE6E0FC">
            <w:pPr>
              <w:pStyle w:val="5"/>
              <w:keepNext w:val="0"/>
              <w:rPr>
                <w:rFonts w:hint="eastAsia" w:eastAsia="宋体"/>
                <w:lang w:val="en-US" w:eastAsia="zh-CN"/>
              </w:rPr>
            </w:pPr>
            <w:r>
              <w:rPr>
                <w:rFonts w:hint="eastAsia"/>
                <w:lang w:val="en-US" w:eastAsia="zh-CN"/>
              </w:rPr>
              <w:t>%</w:t>
            </w:r>
          </w:p>
        </w:tc>
      </w:tr>
      <w:tr w14:paraId="73820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6173A25E">
            <w:pPr>
              <w:pStyle w:val="5"/>
              <w:keepNext w:val="0"/>
              <w:jc w:val="center"/>
              <w:rPr>
                <w:rFonts w:hint="eastAsia" w:ascii="黑体" w:hAnsi="黑体" w:eastAsia="黑体" w:cs="黑体"/>
              </w:rPr>
            </w:pPr>
            <w:r>
              <w:rPr>
                <w:rFonts w:hint="eastAsia" w:ascii="黑体" w:hAnsi="黑体" w:eastAsia="黑体" w:cs="黑体"/>
              </w:rPr>
              <w:t>数据来源</w:t>
            </w:r>
          </w:p>
        </w:tc>
        <w:tc>
          <w:tcPr>
            <w:tcW w:w="5949" w:type="dxa"/>
            <w:shd w:val="clear" w:color="auto" w:fill="FFFFFF"/>
            <w:tcMar>
              <w:top w:w="150" w:type="dxa"/>
              <w:left w:w="240" w:type="dxa"/>
              <w:bottom w:w="150" w:type="dxa"/>
              <w:right w:w="0" w:type="dxa"/>
            </w:tcMar>
            <w:vAlign w:val="center"/>
          </w:tcPr>
          <w:p w14:paraId="465ABEC6">
            <w:pPr>
              <w:pStyle w:val="5"/>
              <w:keepNext w:val="0"/>
              <w:rPr>
                <w:rFonts w:hint="default" w:eastAsia="宋体"/>
                <w:lang w:val="en-US" w:eastAsia="zh-CN"/>
              </w:rPr>
            </w:pPr>
            <w:r>
              <w:rPr>
                <w:rFonts w:hint="eastAsia"/>
                <w:lang w:val="en-US" w:eastAsia="zh-CN"/>
              </w:rPr>
              <w:t>本表默认值</w:t>
            </w:r>
          </w:p>
        </w:tc>
      </w:tr>
      <w:tr w14:paraId="30F2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765" w:hRule="atLeast"/>
          <w:jc w:val="center"/>
        </w:trPr>
        <w:tc>
          <w:tcPr>
            <w:tcW w:w="2351" w:type="dxa"/>
            <w:shd w:val="clear" w:color="auto" w:fill="FFFFFF"/>
            <w:tcMar>
              <w:top w:w="150" w:type="dxa"/>
              <w:left w:w="0" w:type="dxa"/>
              <w:bottom w:w="150" w:type="dxa"/>
              <w:right w:w="240" w:type="dxa"/>
            </w:tcMar>
            <w:vAlign w:val="center"/>
          </w:tcPr>
          <w:p w14:paraId="395791F0">
            <w:pPr>
              <w:pStyle w:val="5"/>
              <w:keepNext w:val="0"/>
              <w:jc w:val="center"/>
              <w:rPr>
                <w:rFonts w:hint="eastAsia" w:ascii="黑体" w:hAnsi="黑体" w:eastAsia="黑体" w:cs="黑体"/>
              </w:rPr>
            </w:pPr>
            <w:r>
              <w:rPr>
                <w:rFonts w:hint="eastAsia" w:ascii="黑体" w:hAnsi="黑体" w:eastAsia="黑体" w:cs="黑体"/>
              </w:rPr>
              <w:t>数据选用的合理性</w:t>
            </w:r>
          </w:p>
        </w:tc>
        <w:tc>
          <w:tcPr>
            <w:tcW w:w="5949" w:type="dxa"/>
            <w:shd w:val="clear" w:color="auto" w:fill="FFFFFF"/>
            <w:tcMar>
              <w:top w:w="150" w:type="dxa"/>
              <w:left w:w="240" w:type="dxa"/>
              <w:bottom w:w="150" w:type="dxa"/>
              <w:right w:w="0" w:type="dxa"/>
            </w:tcMar>
            <w:vAlign w:val="center"/>
          </w:tcPr>
          <w:p w14:paraId="09021A84">
            <w:pPr>
              <w:pStyle w:val="5"/>
              <w:keepNext w:val="0"/>
              <w:rPr>
                <w:rFonts w:hint="eastAsia" w:eastAsia="宋体"/>
                <w:lang w:eastAsia="zh-CN"/>
              </w:rPr>
            </w:pPr>
            <w:r>
              <w:rPr>
                <w:rFonts w:hint="eastAsia"/>
              </w:rPr>
              <w:t>湿地修复项目可能会由于自然因素（如病虫害、雨雪冰冻、风灾、外来物种入侵等）或人为干扰（如非法采伐和破坏等）原因导致项目清除的温室气体重新释放到大气中，即非持久性风险。在核算减排量时须按照项目非持久性风险扣减率，扣除一定比例的项目减排量。非持久性风险扣减率采用病虫害、雨雪冰冻、风灾、外来物种入侵等灾害导致的湿地碳储量或面积的损失比例计算确定</w:t>
            </w:r>
            <w:r>
              <w:rPr>
                <w:rFonts w:hint="eastAsia"/>
                <w:lang w:eastAsia="zh-CN"/>
              </w:rPr>
              <w:t>。</w:t>
            </w:r>
            <w:r>
              <w:rPr>
                <w:rFonts w:hint="eastAsia"/>
              </w:rPr>
              <w:t>不同湿地类型面临的风险水平存在显著差异，采用差异化扣减率可更真实反映各类湿地的非持久性风险</w:t>
            </w:r>
            <w:r>
              <w:rPr>
                <w:rFonts w:hint="eastAsia"/>
                <w:lang w:eastAsia="zh-CN"/>
              </w:rPr>
              <w:t>。</w:t>
            </w:r>
          </w:p>
        </w:tc>
      </w:tr>
      <w:tr w14:paraId="6E63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598CBC72">
            <w:pPr>
              <w:pStyle w:val="5"/>
              <w:keepNext w:val="0"/>
              <w:jc w:val="center"/>
              <w:rPr>
                <w:rFonts w:hint="eastAsia" w:ascii="黑体" w:hAnsi="黑体" w:eastAsia="黑体" w:cs="黑体"/>
              </w:rPr>
            </w:pPr>
            <w:r>
              <w:rPr>
                <w:rFonts w:hint="eastAsia" w:ascii="黑体" w:hAnsi="黑体" w:eastAsia="黑体" w:cs="黑体"/>
              </w:rPr>
              <w:t>数值（如有）</w:t>
            </w:r>
          </w:p>
        </w:tc>
        <w:tc>
          <w:tcPr>
            <w:tcW w:w="5949" w:type="dxa"/>
            <w:shd w:val="clear" w:color="auto" w:fill="FFFFFF"/>
            <w:tcMar>
              <w:top w:w="150" w:type="dxa"/>
              <w:left w:w="240" w:type="dxa"/>
              <w:bottom w:w="150" w:type="dxa"/>
              <w:right w:w="0" w:type="dxa"/>
            </w:tcMar>
            <w:vAlign w:val="center"/>
          </w:tcPr>
          <w:tbl>
            <w:tblPr>
              <w:tblStyle w:val="13"/>
              <w:tblW w:w="5000" w:type="pct"/>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59"/>
              <w:gridCol w:w="1260"/>
              <w:gridCol w:w="1471"/>
              <w:gridCol w:w="1704"/>
            </w:tblGrid>
            <w:tr w14:paraId="2A6A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8" w:hRule="atLeast"/>
                <w:tblHeader/>
              </w:trPr>
              <w:tc>
                <w:tcPr>
                  <w:tcW w:w="1105" w:type="pct"/>
                  <w:shd w:val="clear" w:color="auto" w:fill="auto"/>
                  <w:tcMar>
                    <w:top w:w="120" w:type="dxa"/>
                    <w:left w:w="120" w:type="dxa"/>
                    <w:bottom w:w="120" w:type="dxa"/>
                    <w:right w:w="120" w:type="dxa"/>
                  </w:tcMar>
                  <w:vAlign w:val="center"/>
                </w:tcPr>
                <w:p w14:paraId="37C2D684">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湿地类别</w:t>
                  </w:r>
                </w:p>
              </w:tc>
              <w:tc>
                <w:tcPr>
                  <w:tcW w:w="1106" w:type="pct"/>
                  <w:shd w:val="clear" w:color="auto" w:fill="auto"/>
                  <w:tcMar>
                    <w:top w:w="120" w:type="dxa"/>
                    <w:left w:w="120" w:type="dxa"/>
                    <w:bottom w:w="120" w:type="dxa"/>
                    <w:right w:w="120" w:type="dxa"/>
                  </w:tcMar>
                  <w:vAlign w:val="center"/>
                </w:tcPr>
                <w:p w14:paraId="0233BAD5">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通用默认扣减率（%）</w:t>
                  </w:r>
                </w:p>
              </w:tc>
              <w:tc>
                <w:tcPr>
                  <w:tcW w:w="1291" w:type="pct"/>
                  <w:shd w:val="clear" w:color="auto" w:fill="auto"/>
                  <w:tcMar>
                    <w:top w:w="120" w:type="dxa"/>
                    <w:left w:w="120" w:type="dxa"/>
                    <w:bottom w:w="120" w:type="dxa"/>
                    <w:right w:w="120" w:type="dxa"/>
                  </w:tcMar>
                  <w:vAlign w:val="center"/>
                </w:tcPr>
                <w:p w14:paraId="27F63FBC">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管护达标下调后扣减率（%）</w:t>
                  </w:r>
                </w:p>
              </w:tc>
              <w:tc>
                <w:tcPr>
                  <w:tcW w:w="1496" w:type="pct"/>
                  <w:shd w:val="clear" w:color="auto" w:fill="auto"/>
                  <w:tcMar>
                    <w:top w:w="120" w:type="dxa"/>
                    <w:left w:w="120" w:type="dxa"/>
                    <w:bottom w:w="120" w:type="dxa"/>
                    <w:right w:w="120" w:type="dxa"/>
                  </w:tcMar>
                  <w:vAlign w:val="center"/>
                </w:tcPr>
                <w:p w14:paraId="566B0F2B">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说明</w:t>
                  </w:r>
                </w:p>
              </w:tc>
            </w:tr>
            <w:tr w14:paraId="1C3C2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25" w:hRule="atLeast"/>
              </w:trPr>
              <w:tc>
                <w:tcPr>
                  <w:tcW w:w="1105" w:type="pct"/>
                  <w:shd w:val="clear" w:color="auto" w:fill="auto"/>
                  <w:tcMar>
                    <w:top w:w="120" w:type="dxa"/>
                    <w:left w:w="120" w:type="dxa"/>
                    <w:bottom w:w="120" w:type="dxa"/>
                    <w:right w:w="120" w:type="dxa"/>
                  </w:tcMar>
                  <w:vAlign w:val="center"/>
                </w:tcPr>
                <w:p w14:paraId="084021EF">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规模化重点湿地</w:t>
                  </w:r>
                </w:p>
              </w:tc>
              <w:tc>
                <w:tcPr>
                  <w:tcW w:w="1106" w:type="pct"/>
                  <w:shd w:val="clear" w:color="auto" w:fill="auto"/>
                  <w:tcMar>
                    <w:top w:w="120" w:type="dxa"/>
                    <w:left w:w="120" w:type="dxa"/>
                    <w:bottom w:w="120" w:type="dxa"/>
                    <w:right w:w="120" w:type="dxa"/>
                  </w:tcMar>
                  <w:vAlign w:val="center"/>
                </w:tcPr>
                <w:p w14:paraId="40125B47">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5</w:t>
                  </w:r>
                </w:p>
              </w:tc>
              <w:tc>
                <w:tcPr>
                  <w:tcW w:w="1291" w:type="pct"/>
                  <w:shd w:val="clear" w:color="auto" w:fill="auto"/>
                  <w:tcMar>
                    <w:top w:w="120" w:type="dxa"/>
                    <w:left w:w="120" w:type="dxa"/>
                    <w:bottom w:w="120" w:type="dxa"/>
                    <w:right w:w="120" w:type="dxa"/>
                  </w:tcMar>
                  <w:vAlign w:val="center"/>
                </w:tcPr>
                <w:p w14:paraId="1D06ED63">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3</w:t>
                  </w:r>
                </w:p>
              </w:tc>
              <w:tc>
                <w:tcPr>
                  <w:tcW w:w="1496" w:type="pct"/>
                  <w:shd w:val="clear" w:color="auto" w:fill="auto"/>
                  <w:tcMar>
                    <w:top w:w="120" w:type="dxa"/>
                    <w:left w:w="120" w:type="dxa"/>
                    <w:bottom w:w="120" w:type="dxa"/>
                    <w:right w:w="120" w:type="dxa"/>
                  </w:tcMar>
                  <w:vAlign w:val="center"/>
                </w:tcPr>
                <w:p w14:paraId="79BFBBF9">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管护达标且提供 5 年连续监测数据经审核可降至 3%</w:t>
                  </w:r>
                </w:p>
              </w:tc>
            </w:tr>
            <w:tr w14:paraId="5DD81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05" w:type="pct"/>
                  <w:shd w:val="clear" w:color="auto" w:fill="auto"/>
                  <w:tcMar>
                    <w:top w:w="120" w:type="dxa"/>
                    <w:left w:w="120" w:type="dxa"/>
                    <w:bottom w:w="120" w:type="dxa"/>
                    <w:right w:w="120" w:type="dxa"/>
                  </w:tcMar>
                  <w:vAlign w:val="center"/>
                </w:tcPr>
                <w:p w14:paraId="4246D66F">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乡村小微湿地及小微湿地群</w:t>
                  </w:r>
                </w:p>
              </w:tc>
              <w:tc>
                <w:tcPr>
                  <w:tcW w:w="1106" w:type="pct"/>
                  <w:shd w:val="clear" w:color="auto" w:fill="auto"/>
                  <w:tcMar>
                    <w:top w:w="120" w:type="dxa"/>
                    <w:left w:w="120" w:type="dxa"/>
                    <w:bottom w:w="120" w:type="dxa"/>
                    <w:right w:w="120" w:type="dxa"/>
                  </w:tcMar>
                  <w:vAlign w:val="center"/>
                </w:tcPr>
                <w:p w14:paraId="0048CDFA">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10</w:t>
                  </w:r>
                </w:p>
              </w:tc>
              <w:tc>
                <w:tcPr>
                  <w:tcW w:w="1291" w:type="pct"/>
                  <w:shd w:val="clear" w:color="auto" w:fill="auto"/>
                  <w:tcMar>
                    <w:top w:w="120" w:type="dxa"/>
                    <w:left w:w="120" w:type="dxa"/>
                    <w:bottom w:w="120" w:type="dxa"/>
                    <w:right w:w="120" w:type="dxa"/>
                  </w:tcMar>
                  <w:vAlign w:val="center"/>
                </w:tcPr>
                <w:p w14:paraId="4E1DA5A7">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6</w:t>
                  </w:r>
                </w:p>
              </w:tc>
              <w:tc>
                <w:tcPr>
                  <w:tcW w:w="1496" w:type="pct"/>
                  <w:shd w:val="clear" w:color="auto" w:fill="auto"/>
                  <w:tcMar>
                    <w:top w:w="120" w:type="dxa"/>
                    <w:left w:w="120" w:type="dxa"/>
                    <w:bottom w:w="120" w:type="dxa"/>
                    <w:right w:w="120" w:type="dxa"/>
                  </w:tcMar>
                  <w:vAlign w:val="center"/>
                </w:tcPr>
                <w:p w14:paraId="6F169825">
                  <w:pPr>
                    <w:pStyle w:val="5"/>
                    <w:keepNext w:val="0"/>
                    <w:jc w:val="center"/>
                    <w:rPr>
                      <w:rFonts w:hint="default" w:ascii="Times New Roman" w:hAnsi="Times New Roman" w:eastAsia="宋体" w:cs="Times New Roman"/>
                    </w:rPr>
                  </w:pPr>
                  <w:r>
                    <w:rPr>
                      <w:rFonts w:hint="default" w:ascii="Times New Roman" w:hAnsi="Times New Roman" w:eastAsia="宋体" w:cs="Times New Roman"/>
                      <w:lang w:val="en-US" w:eastAsia="zh-CN"/>
                    </w:rPr>
                    <w:t>人为干扰风险更高，下调后底线</w:t>
                  </w:r>
                  <w:r>
                    <w:rPr>
                      <w:rFonts w:hint="eastAsia" w:cs="Times New Roman"/>
                      <w:lang w:val="en-US" w:eastAsia="zh-CN"/>
                    </w:rPr>
                    <w:t>为</w:t>
                  </w:r>
                  <w:r>
                    <w:rPr>
                      <w:rFonts w:hint="default" w:ascii="Times New Roman" w:hAnsi="Times New Roman" w:eastAsia="宋体" w:cs="Times New Roman"/>
                      <w:lang w:val="en-US" w:eastAsia="zh-CN"/>
                    </w:rPr>
                    <w:t>6%</w:t>
                  </w:r>
                </w:p>
              </w:tc>
            </w:tr>
          </w:tbl>
          <w:p w14:paraId="51E8A30F">
            <w:pPr>
              <w:pStyle w:val="5"/>
              <w:keepNext w:val="0"/>
              <w:rPr>
                <w:rFonts w:hint="default" w:eastAsia="宋体"/>
                <w:lang w:val="en-US" w:eastAsia="zh-CN"/>
              </w:rPr>
            </w:pPr>
          </w:p>
        </w:tc>
      </w:tr>
      <w:tr w14:paraId="06634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500E4BAB">
            <w:pPr>
              <w:pStyle w:val="5"/>
              <w:keepNext w:val="0"/>
              <w:jc w:val="center"/>
              <w:rPr>
                <w:rFonts w:hint="eastAsia" w:ascii="黑体" w:hAnsi="黑体" w:eastAsia="黑体" w:cs="黑体"/>
              </w:rPr>
            </w:pPr>
            <w:r>
              <w:rPr>
                <w:rFonts w:hint="eastAsia" w:ascii="黑体" w:hAnsi="黑体" w:eastAsia="黑体" w:cs="黑体"/>
              </w:rPr>
              <w:t>数据用途</w:t>
            </w:r>
          </w:p>
        </w:tc>
        <w:tc>
          <w:tcPr>
            <w:tcW w:w="5949" w:type="dxa"/>
            <w:shd w:val="clear" w:color="auto" w:fill="FFFFFF"/>
            <w:tcMar>
              <w:top w:w="150" w:type="dxa"/>
              <w:left w:w="240" w:type="dxa"/>
              <w:bottom w:w="150" w:type="dxa"/>
              <w:right w:w="0" w:type="dxa"/>
            </w:tcMar>
            <w:vAlign w:val="center"/>
          </w:tcPr>
          <w:p w14:paraId="79E9FBA8">
            <w:pPr>
              <w:pStyle w:val="5"/>
              <w:keepNext w:val="0"/>
            </w:pPr>
            <w:r>
              <w:rPr>
                <w:rFonts w:hint="eastAsia"/>
              </w:rPr>
              <w:t>用于计算项目减排量的非持久性风险</w:t>
            </w:r>
          </w:p>
        </w:tc>
      </w:tr>
      <w:tr w14:paraId="47BA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033A5439">
            <w:pPr>
              <w:pStyle w:val="5"/>
              <w:keepNext w:val="0"/>
              <w:jc w:val="center"/>
              <w:rPr>
                <w:rFonts w:hint="eastAsia" w:ascii="黑体" w:hAnsi="黑体" w:eastAsia="黑体" w:cs="黑体"/>
              </w:rPr>
            </w:pPr>
            <w:r>
              <w:rPr>
                <w:rFonts w:hint="eastAsia" w:ascii="黑体" w:hAnsi="黑体" w:eastAsia="黑体" w:cs="黑体"/>
              </w:rPr>
              <w:t>备注</w:t>
            </w:r>
          </w:p>
        </w:tc>
        <w:tc>
          <w:tcPr>
            <w:tcW w:w="5949" w:type="dxa"/>
            <w:shd w:val="clear" w:color="auto" w:fill="FFFFFF"/>
            <w:tcMar>
              <w:top w:w="150" w:type="dxa"/>
              <w:left w:w="240" w:type="dxa"/>
              <w:bottom w:w="150" w:type="dxa"/>
              <w:right w:w="0" w:type="dxa"/>
            </w:tcMar>
            <w:vAlign w:val="center"/>
          </w:tcPr>
          <w:p w14:paraId="0FC8C511">
            <w:pPr>
              <w:pStyle w:val="5"/>
              <w:keepNext w:val="0"/>
              <w:rPr>
                <w:rFonts w:hint="eastAsia" w:eastAsia="宋体"/>
                <w:lang w:val="en-US" w:eastAsia="zh-CN"/>
              </w:rPr>
            </w:pPr>
            <w:r>
              <w:rPr>
                <w:rFonts w:hint="eastAsia"/>
                <w:lang w:val="en-US" w:eastAsia="zh-CN"/>
              </w:rPr>
              <w:t>/</w:t>
            </w:r>
          </w:p>
        </w:tc>
      </w:tr>
    </w:tbl>
    <w:p w14:paraId="66D752A6">
      <w:pPr>
        <w:pStyle w:val="4"/>
        <w:adjustRightInd w:val="0"/>
        <w:snapToGrid w:val="0"/>
      </w:pPr>
      <w:r>
        <w:t>表</w:t>
      </w:r>
      <w:r>
        <w:rPr>
          <w:rFonts w:hint="eastAsia"/>
          <w:lang w:val="en-US" w:eastAsia="zh-CN"/>
        </w:rPr>
        <w:t>5</w:t>
      </w:r>
      <w:r>
        <w:t xml:space="preserve"> </w:t>
      </w:r>
      <w:r>
        <w:rPr>
          <w:rFonts w:hint="eastAsia"/>
        </w:rPr>
        <w:t>植物生物量</w:t>
      </w:r>
      <w:r>
        <w:t>含碳率</w:t>
      </w:r>
    </w:p>
    <w:tbl>
      <w:tblPr>
        <w:tblStyle w:val="13"/>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2351"/>
        <w:gridCol w:w="5949"/>
      </w:tblGrid>
      <w:tr w14:paraId="4609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6D8A9034">
            <w:pPr>
              <w:pStyle w:val="5"/>
              <w:keepNext w:val="0"/>
              <w:jc w:val="center"/>
              <w:rPr>
                <w:rFonts w:hint="eastAsia" w:ascii="黑体" w:hAnsi="黑体" w:eastAsia="黑体" w:cs="黑体"/>
              </w:rPr>
            </w:pPr>
            <w:r>
              <w:rPr>
                <w:rFonts w:hint="eastAsia" w:ascii="黑体" w:hAnsi="黑体" w:eastAsia="黑体" w:cs="黑体"/>
              </w:rPr>
              <w:t>数据/参数名称</w:t>
            </w:r>
          </w:p>
        </w:tc>
        <w:tc>
          <w:tcPr>
            <w:tcW w:w="5949" w:type="dxa"/>
            <w:shd w:val="clear" w:color="auto" w:fill="FFFFFF"/>
            <w:tcMar>
              <w:top w:w="150" w:type="dxa"/>
              <w:left w:w="240" w:type="dxa"/>
              <w:bottom w:w="150" w:type="dxa"/>
              <w:right w:w="0" w:type="dxa"/>
            </w:tcMar>
            <w:vAlign w:val="center"/>
          </w:tcPr>
          <w:p w14:paraId="77CB1C4A">
            <w:pPr>
              <w:pStyle w:val="5"/>
              <w:keepNext w:val="0"/>
            </w:pPr>
            <m:oMathPara>
              <m:oMathParaPr>
                <m:jc m:val="left"/>
              </m:oMathParaPr>
              <m:oMath>
                <m:sSub>
                  <m:sSubPr>
                    <m:ctrlPr>
                      <w:rPr>
                        <w:rFonts w:ascii="Cambria Math" w:hAnsi="Cambria Math"/>
                      </w:rPr>
                    </m:ctrlPr>
                  </m:sSubPr>
                  <m:e>
                    <m:r>
                      <m:rPr>
                        <m:sty m:val="p"/>
                      </m:rPr>
                      <w:rPr>
                        <w:rFonts w:ascii="Cambria Math" w:hAnsi="Cambria Math"/>
                      </w:rPr>
                      <m:t>CF</m:t>
                    </m:r>
                    <m:ctrlPr>
                      <w:rPr>
                        <w:rFonts w:ascii="Cambria Math" w:hAnsi="Cambria Math"/>
                      </w:rPr>
                    </m:ctrlPr>
                  </m:e>
                  <m:sub>
                    <m:r>
                      <m:rPr>
                        <m:sty m:val="p"/>
                      </m:rPr>
                      <w:rPr>
                        <w:rFonts w:hint="eastAsia" w:ascii="Cambria Math"/>
                      </w:rPr>
                      <m:t>k</m:t>
                    </m:r>
                    <m:ctrlPr>
                      <w:rPr>
                        <w:rFonts w:ascii="Cambria Math" w:hAnsi="Cambria Math"/>
                      </w:rPr>
                    </m:ctrlPr>
                  </m:sub>
                </m:sSub>
              </m:oMath>
            </m:oMathPara>
          </w:p>
        </w:tc>
      </w:tr>
      <w:tr w14:paraId="2FAC4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6A9F08E9">
            <w:pPr>
              <w:pStyle w:val="5"/>
              <w:keepNext w:val="0"/>
              <w:jc w:val="center"/>
              <w:rPr>
                <w:rFonts w:hint="eastAsia" w:ascii="黑体" w:hAnsi="黑体" w:eastAsia="黑体" w:cs="黑体"/>
              </w:rPr>
            </w:pPr>
            <w:r>
              <w:rPr>
                <w:rFonts w:hint="eastAsia" w:ascii="黑体" w:hAnsi="黑体" w:eastAsia="黑体" w:cs="黑体"/>
              </w:rPr>
              <w:t>应用的公式编号</w:t>
            </w:r>
          </w:p>
        </w:tc>
        <w:tc>
          <w:tcPr>
            <w:tcW w:w="5949" w:type="dxa"/>
            <w:shd w:val="clear" w:color="auto" w:fill="FFFFFF"/>
            <w:tcMar>
              <w:top w:w="150" w:type="dxa"/>
              <w:left w:w="240" w:type="dxa"/>
              <w:bottom w:w="150" w:type="dxa"/>
              <w:right w:w="0" w:type="dxa"/>
            </w:tcMar>
            <w:vAlign w:val="center"/>
          </w:tcPr>
          <w:p w14:paraId="7225D012">
            <w:pPr>
              <w:pStyle w:val="5"/>
              <w:keepNext w:val="0"/>
            </w:pPr>
            <w:r>
              <w:rPr>
                <w:rFonts w:hint="eastAsia"/>
              </w:rPr>
              <w:t>公式（</w:t>
            </w:r>
            <w:r>
              <w:t>7</w:t>
            </w:r>
            <w:r>
              <w:rPr>
                <w:rFonts w:hint="eastAsia"/>
              </w:rPr>
              <w:t>）、公式（</w:t>
            </w:r>
            <w:r>
              <w:t>8</w:t>
            </w:r>
            <w:r>
              <w:rPr>
                <w:rFonts w:hint="eastAsia"/>
              </w:rPr>
              <w:t>）、公式（</w:t>
            </w:r>
            <w:r>
              <w:t>9</w:t>
            </w:r>
            <w:r>
              <w:rPr>
                <w:rFonts w:hint="eastAsia"/>
              </w:rPr>
              <w:t>）、公式（</w:t>
            </w:r>
            <w:r>
              <w:t>10</w:t>
            </w:r>
            <w:r>
              <w:rPr>
                <w:rFonts w:hint="eastAsia"/>
              </w:rPr>
              <w:t>）</w:t>
            </w:r>
          </w:p>
        </w:tc>
      </w:tr>
      <w:tr w14:paraId="21B20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7EEB005F">
            <w:pPr>
              <w:pStyle w:val="5"/>
              <w:keepNext w:val="0"/>
              <w:jc w:val="center"/>
              <w:rPr>
                <w:rFonts w:hint="eastAsia" w:ascii="黑体" w:hAnsi="黑体" w:eastAsia="黑体" w:cs="黑体"/>
              </w:rPr>
            </w:pPr>
            <w:r>
              <w:rPr>
                <w:rFonts w:hint="eastAsia" w:ascii="黑体" w:hAnsi="黑体" w:eastAsia="黑体" w:cs="黑体"/>
              </w:rPr>
              <w:t>数据描述</w:t>
            </w:r>
          </w:p>
        </w:tc>
        <w:tc>
          <w:tcPr>
            <w:tcW w:w="5949" w:type="dxa"/>
            <w:shd w:val="clear" w:color="auto" w:fill="FFFFFF"/>
            <w:tcMar>
              <w:top w:w="150" w:type="dxa"/>
              <w:left w:w="240" w:type="dxa"/>
              <w:bottom w:w="150" w:type="dxa"/>
              <w:right w:w="0" w:type="dxa"/>
            </w:tcMar>
            <w:vAlign w:val="center"/>
          </w:tcPr>
          <w:p w14:paraId="187A2A36">
            <w:pPr>
              <w:pStyle w:val="5"/>
              <w:keepNext w:val="0"/>
            </w:pPr>
            <w:r>
              <w:t>湿地植</w:t>
            </w:r>
            <w:r>
              <w:rPr>
                <w:rFonts w:hint="eastAsia"/>
              </w:rPr>
              <w:t>物</w:t>
            </w:r>
            <w:r>
              <w:t>生物量含碳率</w:t>
            </w:r>
          </w:p>
        </w:tc>
      </w:tr>
      <w:tr w14:paraId="7FBDB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463A2890">
            <w:pPr>
              <w:pStyle w:val="5"/>
              <w:keepNext w:val="0"/>
              <w:jc w:val="center"/>
              <w:rPr>
                <w:rFonts w:hint="eastAsia" w:ascii="黑体" w:hAnsi="黑体" w:eastAsia="黑体" w:cs="黑体"/>
              </w:rPr>
            </w:pPr>
            <w:r>
              <w:rPr>
                <w:rFonts w:hint="eastAsia" w:ascii="黑体" w:hAnsi="黑体" w:eastAsia="黑体" w:cs="黑体"/>
              </w:rPr>
              <w:t>数据单位</w:t>
            </w:r>
          </w:p>
        </w:tc>
        <w:tc>
          <w:tcPr>
            <w:tcW w:w="5949" w:type="dxa"/>
            <w:shd w:val="clear" w:color="auto" w:fill="FFFFFF"/>
            <w:tcMar>
              <w:top w:w="150" w:type="dxa"/>
              <w:left w:w="240" w:type="dxa"/>
              <w:bottom w:w="150" w:type="dxa"/>
              <w:right w:w="0" w:type="dxa"/>
            </w:tcMar>
            <w:vAlign w:val="center"/>
          </w:tcPr>
          <w:p w14:paraId="40330117">
            <w:pPr>
              <w:pStyle w:val="5"/>
              <w:keepNext w:val="0"/>
            </w:pPr>
            <w:r>
              <w:t>无量纲</w:t>
            </w:r>
          </w:p>
        </w:tc>
      </w:tr>
      <w:tr w14:paraId="5316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2BD40089">
            <w:pPr>
              <w:pStyle w:val="5"/>
              <w:keepNext w:val="0"/>
              <w:jc w:val="center"/>
              <w:rPr>
                <w:rFonts w:hint="eastAsia" w:ascii="黑体" w:hAnsi="黑体" w:eastAsia="黑体" w:cs="黑体"/>
              </w:rPr>
            </w:pPr>
            <w:r>
              <w:rPr>
                <w:rFonts w:hint="eastAsia" w:ascii="黑体" w:hAnsi="黑体" w:eastAsia="黑体" w:cs="黑体"/>
              </w:rPr>
              <w:t>数据来源</w:t>
            </w:r>
          </w:p>
        </w:tc>
        <w:tc>
          <w:tcPr>
            <w:tcW w:w="5949" w:type="dxa"/>
            <w:shd w:val="clear" w:color="auto" w:fill="FFFFFF"/>
            <w:tcMar>
              <w:top w:w="150" w:type="dxa"/>
              <w:left w:w="240" w:type="dxa"/>
              <w:bottom w:w="150" w:type="dxa"/>
              <w:right w:w="0" w:type="dxa"/>
            </w:tcMar>
            <w:vAlign w:val="center"/>
          </w:tcPr>
          <w:p w14:paraId="7F25400A">
            <w:pPr>
              <w:pStyle w:val="5"/>
              <w:keepNext w:val="0"/>
            </w:pPr>
            <w:r>
              <w:t>项目业主须按照如下优先顺序选择：</w:t>
            </w:r>
            <w:r>
              <w:br w:type="textWrapping"/>
            </w:r>
            <w:r>
              <w:t>a）地方标准；</w:t>
            </w:r>
            <w:r>
              <w:br w:type="textWrapping"/>
            </w:r>
            <w:r>
              <w:t>b）国家或行业标准中适用于项目区的数据；</w:t>
            </w:r>
            <w:r>
              <w:br w:type="textWrapping"/>
            </w:r>
            <w:r>
              <w:t>c）本方法学附录中推荐的缺省值；</w:t>
            </w:r>
            <w:r>
              <w:br w:type="textWrapping"/>
            </w:r>
            <w:r>
              <w:t>d）项目区当地、相邻地区或相似生态条件下的调查统计数据。须基于5篇以上国内外核心期刊发表的研究结果或总数不少于30个样本的调查数据的整合分析，且经过同行专家评议</w:t>
            </w:r>
          </w:p>
        </w:tc>
      </w:tr>
      <w:tr w14:paraId="5CB2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27690D7E">
            <w:pPr>
              <w:pStyle w:val="5"/>
              <w:keepNext w:val="0"/>
              <w:jc w:val="center"/>
              <w:rPr>
                <w:rFonts w:hint="eastAsia" w:ascii="黑体" w:hAnsi="黑体" w:eastAsia="黑体" w:cs="黑体"/>
              </w:rPr>
            </w:pPr>
            <w:r>
              <w:rPr>
                <w:rFonts w:hint="eastAsia" w:ascii="黑体" w:hAnsi="黑体" w:eastAsia="黑体" w:cs="黑体"/>
              </w:rPr>
              <w:t>数据选用的合理性</w:t>
            </w:r>
          </w:p>
        </w:tc>
        <w:tc>
          <w:tcPr>
            <w:tcW w:w="5949" w:type="dxa"/>
            <w:shd w:val="clear" w:color="auto" w:fill="FFFFFF"/>
            <w:tcMar>
              <w:top w:w="150" w:type="dxa"/>
              <w:left w:w="240" w:type="dxa"/>
              <w:bottom w:w="150" w:type="dxa"/>
              <w:right w:w="0" w:type="dxa"/>
            </w:tcMar>
            <w:vAlign w:val="center"/>
          </w:tcPr>
          <w:p w14:paraId="0437688E">
            <w:pPr>
              <w:pStyle w:val="5"/>
              <w:keepNext w:val="0"/>
            </w:pPr>
            <w:r>
              <w:rPr>
                <w:rFonts w:ascii="Segoe UI" w:hAnsi="Segoe UI" w:eastAsia="Segoe UI" w:cs="Segoe UI"/>
                <w:color w:val="0F1115"/>
                <w:szCs w:val="24"/>
                <w:shd w:val="clear" w:color="auto" w:fill="FFFFFF"/>
              </w:rPr>
              <w:t>本参数为方法学推荐缺省值，取值依据见附录E</w:t>
            </w:r>
          </w:p>
        </w:tc>
      </w:tr>
      <w:tr w14:paraId="507E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4E516CBF">
            <w:pPr>
              <w:pStyle w:val="5"/>
              <w:keepNext w:val="0"/>
              <w:jc w:val="center"/>
              <w:rPr>
                <w:rFonts w:hint="eastAsia" w:ascii="黑体" w:hAnsi="黑体" w:eastAsia="黑体" w:cs="黑体"/>
              </w:rPr>
            </w:pPr>
            <w:r>
              <w:rPr>
                <w:rFonts w:hint="eastAsia" w:ascii="黑体" w:hAnsi="黑体" w:eastAsia="黑体" w:cs="黑体"/>
              </w:rPr>
              <w:t>数值（如有）</w:t>
            </w:r>
          </w:p>
        </w:tc>
        <w:tc>
          <w:tcPr>
            <w:tcW w:w="5949" w:type="dxa"/>
            <w:shd w:val="clear" w:color="auto" w:fill="FFFFFF"/>
            <w:tcMar>
              <w:top w:w="150" w:type="dxa"/>
              <w:left w:w="240" w:type="dxa"/>
              <w:bottom w:w="150" w:type="dxa"/>
              <w:right w:w="0" w:type="dxa"/>
            </w:tcMar>
            <w:vAlign w:val="center"/>
          </w:tcPr>
          <w:p w14:paraId="24C5BA06">
            <w:pPr>
              <w:pStyle w:val="5"/>
              <w:keepNext w:val="0"/>
            </w:pPr>
            <w:r>
              <w:rPr>
                <w:rFonts w:hint="eastAsia"/>
              </w:rPr>
              <w:t>见附录</w:t>
            </w:r>
            <w:r>
              <w:t>E</w:t>
            </w:r>
          </w:p>
        </w:tc>
      </w:tr>
      <w:tr w14:paraId="0E1D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15BC226B">
            <w:pPr>
              <w:pStyle w:val="5"/>
              <w:keepNext w:val="0"/>
              <w:jc w:val="center"/>
              <w:rPr>
                <w:rFonts w:hint="eastAsia" w:ascii="黑体" w:hAnsi="黑体" w:eastAsia="黑体" w:cs="黑体"/>
              </w:rPr>
            </w:pPr>
            <w:r>
              <w:rPr>
                <w:rFonts w:hint="eastAsia" w:ascii="黑体" w:hAnsi="黑体" w:eastAsia="黑体" w:cs="黑体"/>
              </w:rPr>
              <w:t>数据用途</w:t>
            </w:r>
          </w:p>
        </w:tc>
        <w:tc>
          <w:tcPr>
            <w:tcW w:w="5949" w:type="dxa"/>
            <w:shd w:val="clear" w:color="auto" w:fill="FFFFFF"/>
            <w:tcMar>
              <w:top w:w="150" w:type="dxa"/>
              <w:left w:w="240" w:type="dxa"/>
              <w:bottom w:w="150" w:type="dxa"/>
              <w:right w:w="0" w:type="dxa"/>
            </w:tcMar>
            <w:vAlign w:val="center"/>
          </w:tcPr>
          <w:p w14:paraId="6D8122B5">
            <w:pPr>
              <w:pStyle w:val="5"/>
              <w:keepNext w:val="0"/>
            </w:pPr>
            <w:r>
              <w:t>用于将植被地上生物量转化为地上部分碳储量</w:t>
            </w:r>
          </w:p>
        </w:tc>
      </w:tr>
      <w:tr w14:paraId="7A46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351" w:type="dxa"/>
            <w:shd w:val="clear" w:color="auto" w:fill="FFFFFF"/>
            <w:tcMar>
              <w:top w:w="150" w:type="dxa"/>
              <w:left w:w="0" w:type="dxa"/>
              <w:bottom w:w="150" w:type="dxa"/>
              <w:right w:w="240" w:type="dxa"/>
            </w:tcMar>
            <w:vAlign w:val="center"/>
          </w:tcPr>
          <w:p w14:paraId="1A780DCA">
            <w:pPr>
              <w:pStyle w:val="5"/>
              <w:keepNext w:val="0"/>
              <w:jc w:val="center"/>
              <w:rPr>
                <w:rFonts w:hint="eastAsia" w:ascii="黑体" w:hAnsi="黑体" w:eastAsia="黑体" w:cs="黑体"/>
              </w:rPr>
            </w:pPr>
            <w:r>
              <w:rPr>
                <w:rFonts w:hint="eastAsia" w:ascii="黑体" w:hAnsi="黑体" w:eastAsia="黑体" w:cs="黑体"/>
              </w:rPr>
              <w:t>备注</w:t>
            </w:r>
          </w:p>
        </w:tc>
        <w:tc>
          <w:tcPr>
            <w:tcW w:w="5949" w:type="dxa"/>
            <w:shd w:val="clear" w:color="auto" w:fill="FFFFFF"/>
            <w:tcMar>
              <w:top w:w="150" w:type="dxa"/>
              <w:left w:w="240" w:type="dxa"/>
              <w:bottom w:w="150" w:type="dxa"/>
              <w:right w:w="0" w:type="dxa"/>
            </w:tcMar>
            <w:vAlign w:val="center"/>
          </w:tcPr>
          <w:p w14:paraId="0AB5C4AB">
            <w:pPr>
              <w:pStyle w:val="5"/>
              <w:keepNext w:val="0"/>
            </w:pPr>
            <w:r>
              <w:t>如采用实测值，须在项目设计文件中说明采样与检测方法</w:t>
            </w:r>
          </w:p>
        </w:tc>
      </w:tr>
    </w:tbl>
    <w:p w14:paraId="6834BFF8">
      <w:pPr>
        <w:pStyle w:val="4"/>
      </w:pPr>
      <w:r>
        <w:t>表</w:t>
      </w:r>
      <w:r>
        <w:rPr>
          <w:rFonts w:hint="eastAsia"/>
          <w:lang w:val="en-US" w:eastAsia="zh-CN"/>
        </w:rPr>
        <w:t>6</w:t>
      </w:r>
      <w:r>
        <w:t xml:space="preserve"> 基线植物碳汇量</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295"/>
        <w:gridCol w:w="6018"/>
      </w:tblGrid>
      <w:tr w14:paraId="11301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80" w:type="pct"/>
            <w:tcMar>
              <w:top w:w="150" w:type="dxa"/>
              <w:left w:w="0" w:type="dxa"/>
              <w:bottom w:w="150" w:type="dxa"/>
              <w:right w:w="240" w:type="dxa"/>
            </w:tcMar>
            <w:vAlign w:val="center"/>
          </w:tcPr>
          <w:p w14:paraId="4AB580B5">
            <w:pPr>
              <w:pStyle w:val="5"/>
              <w:keepNext w:val="0"/>
              <w:jc w:val="center"/>
              <w:rPr>
                <w:rFonts w:hint="eastAsia" w:ascii="黑体" w:hAnsi="黑体" w:eastAsia="黑体" w:cs="黑体"/>
              </w:rPr>
            </w:pPr>
            <w:r>
              <w:rPr>
                <w:rFonts w:ascii="黑体" w:hAnsi="黑体" w:eastAsia="黑体" w:cs="黑体"/>
              </w:rPr>
              <w:t>数据/参数名称</w:t>
            </w:r>
          </w:p>
        </w:tc>
        <w:tc>
          <w:tcPr>
            <w:tcW w:w="3619" w:type="pct"/>
            <w:tcMar>
              <w:top w:w="150" w:type="dxa"/>
              <w:left w:w="240" w:type="dxa"/>
              <w:bottom w:w="150" w:type="dxa"/>
              <w:right w:w="0" w:type="dxa"/>
            </w:tcMar>
            <w:vAlign w:val="center"/>
          </w:tcPr>
          <w:p w14:paraId="30178402">
            <w:pPr>
              <w:pStyle w:val="5"/>
              <w:keepNext w:val="0"/>
            </w:pPr>
            <m:oMathPara>
              <m:oMathParaPr>
                <m:jc m:val="left"/>
              </m:oMathPara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m:oMathPara>
          </w:p>
        </w:tc>
      </w:tr>
      <w:tr w14:paraId="2DBF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80" w:type="pct"/>
            <w:tcMar>
              <w:top w:w="150" w:type="dxa"/>
              <w:left w:w="0" w:type="dxa"/>
              <w:bottom w:w="150" w:type="dxa"/>
              <w:right w:w="240" w:type="dxa"/>
            </w:tcMar>
            <w:vAlign w:val="center"/>
          </w:tcPr>
          <w:p w14:paraId="7DABBC04">
            <w:pPr>
              <w:pStyle w:val="5"/>
              <w:keepNext w:val="0"/>
              <w:jc w:val="center"/>
              <w:rPr>
                <w:rFonts w:hint="eastAsia" w:ascii="黑体" w:hAnsi="黑体" w:eastAsia="黑体" w:cs="黑体"/>
              </w:rPr>
            </w:pPr>
            <w:r>
              <w:rPr>
                <w:rFonts w:ascii="黑体" w:hAnsi="黑体" w:eastAsia="黑体" w:cs="黑体"/>
              </w:rPr>
              <w:t>应用的公式编号</w:t>
            </w:r>
          </w:p>
        </w:tc>
        <w:tc>
          <w:tcPr>
            <w:tcW w:w="3619" w:type="pct"/>
            <w:tcMar>
              <w:top w:w="150" w:type="dxa"/>
              <w:left w:w="240" w:type="dxa"/>
              <w:bottom w:w="150" w:type="dxa"/>
              <w:right w:w="0" w:type="dxa"/>
            </w:tcMar>
            <w:vAlign w:val="center"/>
          </w:tcPr>
          <w:p w14:paraId="4058E7C1">
            <w:pPr>
              <w:pStyle w:val="5"/>
              <w:keepNext w:val="0"/>
            </w:pPr>
            <w:r>
              <w:t>公式（2）</w:t>
            </w:r>
          </w:p>
        </w:tc>
      </w:tr>
      <w:tr w14:paraId="7332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80" w:type="pct"/>
            <w:tcMar>
              <w:top w:w="150" w:type="dxa"/>
              <w:left w:w="0" w:type="dxa"/>
              <w:bottom w:w="150" w:type="dxa"/>
              <w:right w:w="240" w:type="dxa"/>
            </w:tcMar>
            <w:vAlign w:val="center"/>
          </w:tcPr>
          <w:p w14:paraId="2D3C5A97">
            <w:pPr>
              <w:pStyle w:val="5"/>
              <w:keepNext w:val="0"/>
              <w:jc w:val="center"/>
              <w:rPr>
                <w:rFonts w:hint="eastAsia" w:ascii="黑体" w:hAnsi="黑体" w:eastAsia="黑体" w:cs="黑体"/>
              </w:rPr>
            </w:pPr>
            <w:r>
              <w:rPr>
                <w:rFonts w:ascii="黑体" w:hAnsi="黑体" w:eastAsia="黑体" w:cs="黑体"/>
              </w:rPr>
              <w:t>数据描述</w:t>
            </w:r>
          </w:p>
        </w:tc>
        <w:tc>
          <w:tcPr>
            <w:tcW w:w="3619" w:type="pct"/>
            <w:tcMar>
              <w:top w:w="150" w:type="dxa"/>
              <w:left w:w="240" w:type="dxa"/>
              <w:bottom w:w="150" w:type="dxa"/>
              <w:right w:w="0" w:type="dxa"/>
            </w:tcMar>
            <w:vAlign w:val="center"/>
          </w:tcPr>
          <w:p w14:paraId="7F6C2772">
            <w:pPr>
              <w:pStyle w:val="5"/>
              <w:keepNext w:val="0"/>
            </w:pPr>
            <w:r>
              <w:t>第t年时，项目边界内湿地类型l的单位面积植物碳储量年变化量的基线值</w:t>
            </w:r>
          </w:p>
        </w:tc>
      </w:tr>
      <w:tr w14:paraId="7CE8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80" w:type="pct"/>
            <w:tcMar>
              <w:top w:w="150" w:type="dxa"/>
              <w:left w:w="0" w:type="dxa"/>
              <w:bottom w:w="150" w:type="dxa"/>
              <w:right w:w="240" w:type="dxa"/>
            </w:tcMar>
            <w:vAlign w:val="center"/>
          </w:tcPr>
          <w:p w14:paraId="6A501A48">
            <w:pPr>
              <w:pStyle w:val="5"/>
              <w:keepNext w:val="0"/>
              <w:jc w:val="center"/>
              <w:rPr>
                <w:rFonts w:hint="eastAsia" w:ascii="黑体" w:hAnsi="黑体" w:eastAsia="黑体" w:cs="黑体"/>
              </w:rPr>
            </w:pPr>
            <w:r>
              <w:rPr>
                <w:rFonts w:ascii="黑体" w:hAnsi="黑体" w:eastAsia="黑体" w:cs="黑体"/>
              </w:rPr>
              <w:t>数据单位</w:t>
            </w:r>
          </w:p>
        </w:tc>
        <w:tc>
          <w:tcPr>
            <w:tcW w:w="3619" w:type="pct"/>
            <w:tcMar>
              <w:top w:w="150" w:type="dxa"/>
              <w:left w:w="240" w:type="dxa"/>
              <w:bottom w:w="150" w:type="dxa"/>
              <w:right w:w="0" w:type="dxa"/>
            </w:tcMar>
            <w:vAlign w:val="center"/>
          </w:tcPr>
          <w:p w14:paraId="1E0D3CF6">
            <w:pPr>
              <w:pStyle w:val="5"/>
              <w:keepNext w:val="0"/>
            </w:pPr>
            <w:r>
              <w:t>tC/（hm²·a）</w:t>
            </w:r>
          </w:p>
        </w:tc>
      </w:tr>
      <w:tr w14:paraId="0AF5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80" w:type="pct"/>
            <w:tcMar>
              <w:top w:w="150" w:type="dxa"/>
              <w:left w:w="0" w:type="dxa"/>
              <w:bottom w:w="150" w:type="dxa"/>
              <w:right w:w="240" w:type="dxa"/>
            </w:tcMar>
            <w:vAlign w:val="center"/>
          </w:tcPr>
          <w:p w14:paraId="7AA02C3B">
            <w:pPr>
              <w:pStyle w:val="5"/>
              <w:keepNext w:val="0"/>
              <w:jc w:val="center"/>
              <w:rPr>
                <w:rFonts w:hint="eastAsia" w:ascii="黑体" w:hAnsi="黑体" w:eastAsia="黑体" w:cs="黑体"/>
              </w:rPr>
            </w:pPr>
            <w:r>
              <w:rPr>
                <w:rFonts w:ascii="黑体" w:hAnsi="黑体" w:eastAsia="黑体" w:cs="黑体"/>
              </w:rPr>
              <w:t>数据来源</w:t>
            </w:r>
          </w:p>
        </w:tc>
        <w:tc>
          <w:tcPr>
            <w:tcW w:w="3619" w:type="pct"/>
            <w:tcMar>
              <w:top w:w="150" w:type="dxa"/>
              <w:left w:w="240" w:type="dxa"/>
              <w:bottom w:w="150" w:type="dxa"/>
              <w:right w:w="0" w:type="dxa"/>
            </w:tcMar>
            <w:vAlign w:val="center"/>
          </w:tcPr>
          <w:p w14:paraId="6DCDCB17">
            <w:pPr>
              <w:pStyle w:val="5"/>
              <w:keepNext w:val="0"/>
            </w:pPr>
            <w:r>
              <w:t>项目业主须按照如下优先顺序选择：</w:t>
            </w:r>
            <w:r>
              <w:br w:type="textWrapping"/>
            </w:r>
            <w:r>
              <w:t>a）项目周边同类型、同水文条件、无修复同类湿地连续多年实测监测数据；</w:t>
            </w:r>
            <w:r>
              <w:br w:type="textWrapping"/>
            </w:r>
            <w:r>
              <w:t>b）南京市生态环境局发布的同类型湿地区域基线缺省参数；</w:t>
            </w:r>
            <w:r>
              <w:br w:type="textWrapping"/>
            </w:r>
            <w:r>
              <w:t>c）IPCC、GB/T 46105-2025全国通用参数结合南京本地修正系数</w:t>
            </w:r>
          </w:p>
        </w:tc>
      </w:tr>
      <w:tr w14:paraId="21577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80" w:type="pct"/>
            <w:tcMar>
              <w:top w:w="150" w:type="dxa"/>
              <w:left w:w="0" w:type="dxa"/>
              <w:bottom w:w="150" w:type="dxa"/>
              <w:right w:w="240" w:type="dxa"/>
            </w:tcMar>
            <w:vAlign w:val="center"/>
          </w:tcPr>
          <w:p w14:paraId="7BF3C743">
            <w:pPr>
              <w:pStyle w:val="5"/>
              <w:keepNext w:val="0"/>
              <w:jc w:val="center"/>
              <w:rPr>
                <w:rFonts w:hint="eastAsia" w:ascii="黑体" w:hAnsi="黑体" w:eastAsia="黑体" w:cs="黑体"/>
              </w:rPr>
            </w:pPr>
            <w:r>
              <w:rPr>
                <w:rFonts w:ascii="黑体" w:hAnsi="黑体" w:eastAsia="黑体" w:cs="黑体"/>
              </w:rPr>
              <w:t>数据选用的合理性</w:t>
            </w:r>
          </w:p>
        </w:tc>
        <w:tc>
          <w:tcPr>
            <w:tcW w:w="3619" w:type="pct"/>
            <w:tcMar>
              <w:top w:w="150" w:type="dxa"/>
              <w:left w:w="240" w:type="dxa"/>
              <w:bottom w:w="150" w:type="dxa"/>
              <w:right w:w="0" w:type="dxa"/>
            </w:tcMar>
            <w:vAlign w:val="center"/>
          </w:tcPr>
          <w:p w14:paraId="5230486E">
            <w:pPr>
              <w:pStyle w:val="5"/>
              <w:keepNext w:val="0"/>
            </w:pPr>
            <w:r>
              <w:t>基线碳汇量是计算净减排量的基准，采用本地参数可确保核算结果反映南京实际情况</w:t>
            </w:r>
          </w:p>
        </w:tc>
      </w:tr>
      <w:tr w14:paraId="2321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80" w:type="pct"/>
            <w:tcMar>
              <w:top w:w="150" w:type="dxa"/>
              <w:left w:w="0" w:type="dxa"/>
              <w:bottom w:w="150" w:type="dxa"/>
              <w:right w:w="240" w:type="dxa"/>
            </w:tcMar>
            <w:vAlign w:val="center"/>
          </w:tcPr>
          <w:p w14:paraId="3481F325">
            <w:pPr>
              <w:pStyle w:val="5"/>
              <w:keepNext w:val="0"/>
              <w:jc w:val="center"/>
              <w:rPr>
                <w:rFonts w:hint="eastAsia" w:ascii="黑体" w:hAnsi="黑体" w:eastAsia="黑体" w:cs="黑体"/>
              </w:rPr>
            </w:pPr>
            <w:r>
              <w:rPr>
                <w:rFonts w:ascii="黑体" w:hAnsi="黑体" w:eastAsia="黑体" w:cs="黑体"/>
              </w:rPr>
              <w:t>数值（如有）</w:t>
            </w:r>
          </w:p>
        </w:tc>
        <w:tc>
          <w:tcPr>
            <w:tcW w:w="3619" w:type="pct"/>
            <w:tcMar>
              <w:top w:w="150" w:type="dxa"/>
              <w:left w:w="240" w:type="dxa"/>
              <w:bottom w:w="150" w:type="dxa"/>
              <w:right w:w="0" w:type="dxa"/>
            </w:tcMar>
            <w:vAlign w:val="center"/>
          </w:tcPr>
          <w:p w14:paraId="7859ABD4">
            <w:pPr>
              <w:pStyle w:val="5"/>
              <w:keepNext w:val="0"/>
            </w:pPr>
            <w:r>
              <w:t>南京市同类型湿地区域基线缺省值</w:t>
            </w:r>
          </w:p>
        </w:tc>
      </w:tr>
      <w:tr w14:paraId="3B15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80" w:type="pct"/>
            <w:tcMar>
              <w:top w:w="150" w:type="dxa"/>
              <w:left w:w="0" w:type="dxa"/>
              <w:bottom w:w="150" w:type="dxa"/>
              <w:right w:w="240" w:type="dxa"/>
            </w:tcMar>
            <w:vAlign w:val="center"/>
          </w:tcPr>
          <w:p w14:paraId="647F7E0F">
            <w:pPr>
              <w:pStyle w:val="5"/>
              <w:keepNext w:val="0"/>
              <w:jc w:val="center"/>
              <w:rPr>
                <w:rFonts w:hint="eastAsia" w:ascii="黑体" w:hAnsi="黑体" w:eastAsia="黑体" w:cs="黑体"/>
              </w:rPr>
            </w:pPr>
            <w:r>
              <w:rPr>
                <w:rFonts w:ascii="黑体" w:hAnsi="黑体" w:eastAsia="黑体" w:cs="黑体"/>
              </w:rPr>
              <w:t>数据用途</w:t>
            </w:r>
          </w:p>
        </w:tc>
        <w:tc>
          <w:tcPr>
            <w:tcW w:w="3619" w:type="pct"/>
            <w:tcMar>
              <w:top w:w="150" w:type="dxa"/>
              <w:left w:w="240" w:type="dxa"/>
              <w:bottom w:w="150" w:type="dxa"/>
              <w:right w:w="0" w:type="dxa"/>
            </w:tcMar>
            <w:vAlign w:val="center"/>
          </w:tcPr>
          <w:p w14:paraId="0A13F7CB">
            <w:pPr>
              <w:pStyle w:val="5"/>
              <w:keepNext w:val="0"/>
            </w:pPr>
            <w:r>
              <w:t>用于计算基线情景下植物碳汇量</w:t>
            </w:r>
          </w:p>
        </w:tc>
      </w:tr>
      <w:tr w14:paraId="4F17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80" w:type="pct"/>
            <w:tcMar>
              <w:top w:w="150" w:type="dxa"/>
              <w:left w:w="0" w:type="dxa"/>
              <w:bottom w:w="150" w:type="dxa"/>
              <w:right w:w="240" w:type="dxa"/>
            </w:tcMar>
            <w:vAlign w:val="center"/>
          </w:tcPr>
          <w:p w14:paraId="516FC239">
            <w:pPr>
              <w:pStyle w:val="5"/>
              <w:keepNext w:val="0"/>
              <w:jc w:val="center"/>
              <w:rPr>
                <w:rFonts w:hint="eastAsia" w:ascii="黑体" w:hAnsi="黑体" w:eastAsia="黑体" w:cs="黑体"/>
              </w:rPr>
            </w:pPr>
            <w:r>
              <w:rPr>
                <w:rFonts w:ascii="黑体" w:hAnsi="黑体" w:eastAsia="黑体" w:cs="黑体"/>
              </w:rPr>
              <w:t>备注</w:t>
            </w:r>
          </w:p>
        </w:tc>
        <w:tc>
          <w:tcPr>
            <w:tcW w:w="3619" w:type="pct"/>
            <w:tcMar>
              <w:top w:w="150" w:type="dxa"/>
              <w:left w:w="240" w:type="dxa"/>
              <w:bottom w:w="150" w:type="dxa"/>
              <w:right w:w="0" w:type="dxa"/>
            </w:tcMar>
            <w:vAlign w:val="center"/>
          </w:tcPr>
          <w:p w14:paraId="477ADA5A">
            <w:pPr>
              <w:pStyle w:val="5"/>
              <w:keepNext w:val="0"/>
            </w:pPr>
            <w:r>
              <w:t>按湖泊湿地、河流湿地、沼泽湿地</w:t>
            </w:r>
            <w:r>
              <w:rPr>
                <w:rFonts w:hint="eastAsia"/>
                <w:lang w:eastAsia="zh-CN"/>
              </w:rPr>
              <w:t>、</w:t>
            </w:r>
            <w:r>
              <w:rPr>
                <w:rFonts w:hint="eastAsia"/>
                <w:lang w:val="en-US" w:eastAsia="zh-CN"/>
              </w:rPr>
              <w:t>乡村小微湿地</w:t>
            </w:r>
            <w:r>
              <w:t>分别取值</w:t>
            </w:r>
          </w:p>
        </w:tc>
      </w:tr>
    </w:tbl>
    <w:p w14:paraId="52A77AEB">
      <w:pPr>
        <w:pStyle w:val="4"/>
      </w:pPr>
      <w:r>
        <w:t>表</w:t>
      </w:r>
      <w:r>
        <w:rPr>
          <w:rFonts w:hint="eastAsia"/>
          <w:lang w:val="en-US" w:eastAsia="zh-CN"/>
        </w:rPr>
        <w:t>7</w:t>
      </w:r>
      <w:r>
        <w:t xml:space="preserve"> 基线土壤碳汇量</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321"/>
        <w:gridCol w:w="5992"/>
      </w:tblGrid>
      <w:tr w14:paraId="3E542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7E2368FA">
            <w:pPr>
              <w:pStyle w:val="5"/>
              <w:keepNext w:val="0"/>
              <w:jc w:val="center"/>
              <w:rPr>
                <w:rFonts w:hint="eastAsia" w:ascii="黑体" w:hAnsi="黑体" w:eastAsia="黑体" w:cs="黑体"/>
              </w:rPr>
            </w:pPr>
            <w:r>
              <w:rPr>
                <w:rFonts w:ascii="黑体" w:hAnsi="黑体" w:eastAsia="黑体" w:cs="黑体"/>
              </w:rPr>
              <w:t>数据/参数名称</w:t>
            </w:r>
          </w:p>
        </w:tc>
        <w:tc>
          <w:tcPr>
            <w:tcW w:w="3603" w:type="pct"/>
            <w:tcMar>
              <w:top w:w="150" w:type="dxa"/>
              <w:left w:w="240" w:type="dxa"/>
              <w:bottom w:w="150" w:type="dxa"/>
              <w:right w:w="0" w:type="dxa"/>
            </w:tcMar>
            <w:vAlign w:val="center"/>
          </w:tcPr>
          <w:p w14:paraId="2F7F3655">
            <w:pPr>
              <w:pStyle w:val="5"/>
              <w:keepNext w:val="0"/>
            </w:pPr>
            <m:oMathPara>
              <m:oMathParaPr>
                <m:jc m:val="left"/>
              </m:oMathParaPr>
              <m:oMath>
                <m:sSub>
                  <m:sSubPr>
                    <m:ctrlPr>
                      <w:rPr>
                        <w:rFonts w:ascii="Cambria Math" w:hAnsi="Cambria Math"/>
                      </w:rPr>
                    </m:ctrlPr>
                  </m:sSubPr>
                  <m:e>
                    <m:r>
                      <m:rPr>
                        <m:sty m:val="p"/>
                      </m:rPr>
                      <w:rPr>
                        <w:rFonts w:ascii="Cambria Math" w:hAnsi="Cambria Math"/>
                      </w:rPr>
                      <m:t>ΔC</m:t>
                    </m:r>
                    <m:ctrlPr>
                      <w:rPr>
                        <w:rFonts w:ascii="Cambria Math" w:hAnsi="Cambria Math"/>
                      </w:rPr>
                    </m:ctrlPr>
                  </m:e>
                  <m:sub>
                    <m:r>
                      <m:rPr>
                        <m:sty m:val="p"/>
                      </m:rPr>
                      <w:rPr>
                        <w:rFonts w:ascii="Cambria Math" w:hAnsi="Cambria Math"/>
                      </w:rPr>
                      <m:t>BSL,</m:t>
                    </m:r>
                    <m:r>
                      <m:rPr>
                        <m:sty m:val="p"/>
                      </m:rPr>
                      <w:rPr>
                        <w:rFonts w:hint="eastAsia" w:ascii="Cambria Math" w:hAnsi="Cambria Math"/>
                      </w:rPr>
                      <m:t>soil</m:t>
                    </m:r>
                    <m:r>
                      <m:rPr>
                        <m:sty m:val="p"/>
                      </m:rPr>
                      <w:rPr>
                        <w:rFonts w:ascii="Cambria Math" w:hAnsi="Cambria Math"/>
                      </w:rPr>
                      <m:t>,</m:t>
                    </m:r>
                    <m:r>
                      <m:rPr>
                        <m:sty m:val="p"/>
                      </m:rPr>
                      <w:rPr>
                        <w:rFonts w:hint="eastAsia" w:ascii="Cambria Math" w:hAnsi="Cambria Math"/>
                      </w:rPr>
                      <m:t>l</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m:oMathPara>
          </w:p>
        </w:tc>
      </w:tr>
      <w:tr w14:paraId="0FBCE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3DD95B24">
            <w:pPr>
              <w:pStyle w:val="5"/>
              <w:keepNext w:val="0"/>
              <w:jc w:val="center"/>
              <w:rPr>
                <w:rFonts w:hint="eastAsia" w:ascii="黑体" w:hAnsi="黑体" w:eastAsia="黑体" w:cs="黑体"/>
              </w:rPr>
            </w:pPr>
            <w:r>
              <w:rPr>
                <w:rFonts w:ascii="黑体" w:hAnsi="黑体" w:eastAsia="黑体" w:cs="黑体"/>
              </w:rPr>
              <w:t>应用的公式编号</w:t>
            </w:r>
          </w:p>
        </w:tc>
        <w:tc>
          <w:tcPr>
            <w:tcW w:w="3603" w:type="pct"/>
            <w:tcMar>
              <w:top w:w="150" w:type="dxa"/>
              <w:left w:w="240" w:type="dxa"/>
              <w:bottom w:w="150" w:type="dxa"/>
              <w:right w:w="0" w:type="dxa"/>
            </w:tcMar>
            <w:vAlign w:val="center"/>
          </w:tcPr>
          <w:p w14:paraId="568A3916">
            <w:pPr>
              <w:pStyle w:val="5"/>
              <w:keepNext w:val="0"/>
            </w:pPr>
            <w:r>
              <w:t>公式（3）</w:t>
            </w:r>
          </w:p>
        </w:tc>
      </w:tr>
      <w:tr w14:paraId="74CD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5CD03BC8">
            <w:pPr>
              <w:pStyle w:val="5"/>
              <w:keepNext w:val="0"/>
              <w:jc w:val="center"/>
              <w:rPr>
                <w:rFonts w:hint="eastAsia" w:ascii="黑体" w:hAnsi="黑体" w:eastAsia="黑体" w:cs="黑体"/>
              </w:rPr>
            </w:pPr>
            <w:r>
              <w:rPr>
                <w:rFonts w:ascii="黑体" w:hAnsi="黑体" w:eastAsia="黑体" w:cs="黑体"/>
              </w:rPr>
              <w:t>数据描述</w:t>
            </w:r>
          </w:p>
        </w:tc>
        <w:tc>
          <w:tcPr>
            <w:tcW w:w="3603" w:type="pct"/>
            <w:tcMar>
              <w:top w:w="150" w:type="dxa"/>
              <w:left w:w="240" w:type="dxa"/>
              <w:bottom w:w="150" w:type="dxa"/>
              <w:right w:w="0" w:type="dxa"/>
            </w:tcMar>
            <w:vAlign w:val="center"/>
          </w:tcPr>
          <w:p w14:paraId="3B9240D2">
            <w:pPr>
              <w:pStyle w:val="5"/>
              <w:keepNext w:val="0"/>
            </w:pPr>
            <w:r>
              <w:t>第t年时，项目边界内湿地类型</w:t>
            </w:r>
            <w:r>
              <w:rPr>
                <w:rFonts w:hint="eastAsia"/>
              </w:rPr>
              <w:t>l</w:t>
            </w:r>
            <w:r>
              <w:t>的单位面积土壤碳储量年变化量的基线值</w:t>
            </w:r>
          </w:p>
        </w:tc>
      </w:tr>
      <w:tr w14:paraId="36CE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0E4C0393">
            <w:pPr>
              <w:pStyle w:val="5"/>
              <w:keepNext w:val="0"/>
              <w:jc w:val="center"/>
              <w:rPr>
                <w:rFonts w:hint="eastAsia" w:ascii="黑体" w:hAnsi="黑体" w:eastAsia="黑体" w:cs="黑体"/>
              </w:rPr>
            </w:pPr>
            <w:r>
              <w:rPr>
                <w:rFonts w:ascii="黑体" w:hAnsi="黑体" w:eastAsia="黑体" w:cs="黑体"/>
              </w:rPr>
              <w:t>数据单位</w:t>
            </w:r>
          </w:p>
        </w:tc>
        <w:tc>
          <w:tcPr>
            <w:tcW w:w="3603" w:type="pct"/>
            <w:tcMar>
              <w:top w:w="150" w:type="dxa"/>
              <w:left w:w="240" w:type="dxa"/>
              <w:bottom w:w="150" w:type="dxa"/>
              <w:right w:w="0" w:type="dxa"/>
            </w:tcMar>
            <w:vAlign w:val="center"/>
          </w:tcPr>
          <w:p w14:paraId="1531E942">
            <w:pPr>
              <w:pStyle w:val="5"/>
              <w:keepNext w:val="0"/>
            </w:pPr>
            <w:r>
              <w:t>tC/（hm²·a）</w:t>
            </w:r>
          </w:p>
        </w:tc>
      </w:tr>
      <w:tr w14:paraId="5218A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2395816C">
            <w:pPr>
              <w:pStyle w:val="5"/>
              <w:keepNext w:val="0"/>
              <w:jc w:val="center"/>
              <w:rPr>
                <w:rFonts w:hint="eastAsia" w:ascii="黑体" w:hAnsi="黑体" w:eastAsia="黑体" w:cs="黑体"/>
              </w:rPr>
            </w:pPr>
            <w:r>
              <w:rPr>
                <w:rFonts w:ascii="黑体" w:hAnsi="黑体" w:eastAsia="黑体" w:cs="黑体"/>
              </w:rPr>
              <w:t>数据来源</w:t>
            </w:r>
          </w:p>
        </w:tc>
        <w:tc>
          <w:tcPr>
            <w:tcW w:w="3603" w:type="pct"/>
            <w:tcMar>
              <w:top w:w="150" w:type="dxa"/>
              <w:left w:w="240" w:type="dxa"/>
              <w:bottom w:w="150" w:type="dxa"/>
              <w:right w:w="0" w:type="dxa"/>
            </w:tcMar>
            <w:vAlign w:val="center"/>
          </w:tcPr>
          <w:p w14:paraId="3992DC42">
            <w:pPr>
              <w:pStyle w:val="5"/>
              <w:keepNext w:val="0"/>
            </w:pPr>
            <w:r>
              <w:t>项目业主须按照如下优先顺序选择：</w:t>
            </w:r>
            <w:r>
              <w:br w:type="textWrapping"/>
            </w:r>
            <w:r>
              <w:t>a）项目周边同类型、同水文条件、无修复同类湿地连续多年实测监测数据；</w:t>
            </w:r>
            <w:r>
              <w:br w:type="textWrapping"/>
            </w:r>
            <w:r>
              <w:t>b）南京市生态环境局发布的同类型湿地区域基线缺省参数；</w:t>
            </w:r>
            <w:r>
              <w:br w:type="textWrapping"/>
            </w:r>
            <w:r>
              <w:t>c）IPCC、GB/T 46105-2025全国通用参数结合南京本地修正系数</w:t>
            </w:r>
          </w:p>
        </w:tc>
      </w:tr>
      <w:tr w14:paraId="6B659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172C091E">
            <w:pPr>
              <w:pStyle w:val="5"/>
              <w:keepNext w:val="0"/>
              <w:jc w:val="center"/>
              <w:rPr>
                <w:rFonts w:hint="eastAsia" w:ascii="黑体" w:hAnsi="黑体" w:eastAsia="黑体" w:cs="黑体"/>
              </w:rPr>
            </w:pPr>
            <w:r>
              <w:rPr>
                <w:rFonts w:ascii="黑体" w:hAnsi="黑体" w:eastAsia="黑体" w:cs="黑体"/>
              </w:rPr>
              <w:t>数据选用的合理性</w:t>
            </w:r>
          </w:p>
        </w:tc>
        <w:tc>
          <w:tcPr>
            <w:tcW w:w="3603" w:type="pct"/>
            <w:tcMar>
              <w:top w:w="150" w:type="dxa"/>
              <w:left w:w="240" w:type="dxa"/>
              <w:bottom w:w="150" w:type="dxa"/>
              <w:right w:w="0" w:type="dxa"/>
            </w:tcMar>
            <w:vAlign w:val="center"/>
          </w:tcPr>
          <w:p w14:paraId="0F66876A">
            <w:pPr>
              <w:pStyle w:val="5"/>
              <w:keepNext w:val="0"/>
            </w:pPr>
            <w:r>
              <w:t>土壤有机碳是湿地最主要碳库，基线土壤碳汇量的准确取值对减排量核算至关重要</w:t>
            </w:r>
          </w:p>
        </w:tc>
      </w:tr>
      <w:tr w14:paraId="137A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32E6ABDA">
            <w:pPr>
              <w:pStyle w:val="5"/>
              <w:keepNext w:val="0"/>
              <w:jc w:val="center"/>
              <w:rPr>
                <w:rFonts w:hint="eastAsia" w:ascii="黑体" w:hAnsi="黑体" w:eastAsia="黑体" w:cs="黑体"/>
              </w:rPr>
            </w:pPr>
            <w:r>
              <w:rPr>
                <w:rFonts w:ascii="黑体" w:hAnsi="黑体" w:eastAsia="黑体" w:cs="黑体"/>
              </w:rPr>
              <w:t>数值（如有）</w:t>
            </w:r>
          </w:p>
        </w:tc>
        <w:tc>
          <w:tcPr>
            <w:tcW w:w="3603" w:type="pct"/>
            <w:tcMar>
              <w:top w:w="150" w:type="dxa"/>
              <w:left w:w="240" w:type="dxa"/>
              <w:bottom w:w="150" w:type="dxa"/>
              <w:right w:w="0" w:type="dxa"/>
            </w:tcMar>
            <w:vAlign w:val="center"/>
          </w:tcPr>
          <w:p w14:paraId="565B9BF1">
            <w:pPr>
              <w:pStyle w:val="5"/>
              <w:keepNext w:val="0"/>
            </w:pPr>
            <w:r>
              <w:t>南京市同类型湿地区域基线缺省值</w:t>
            </w:r>
          </w:p>
        </w:tc>
      </w:tr>
      <w:tr w14:paraId="11E9F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55E550BF">
            <w:pPr>
              <w:pStyle w:val="5"/>
              <w:keepNext w:val="0"/>
              <w:jc w:val="center"/>
              <w:rPr>
                <w:rFonts w:hint="eastAsia" w:ascii="黑体" w:hAnsi="黑体" w:eastAsia="黑体" w:cs="黑体"/>
              </w:rPr>
            </w:pPr>
            <w:r>
              <w:rPr>
                <w:rFonts w:ascii="黑体" w:hAnsi="黑体" w:eastAsia="黑体" w:cs="黑体"/>
              </w:rPr>
              <w:t>数据用途</w:t>
            </w:r>
          </w:p>
        </w:tc>
        <w:tc>
          <w:tcPr>
            <w:tcW w:w="3603" w:type="pct"/>
            <w:tcMar>
              <w:top w:w="150" w:type="dxa"/>
              <w:left w:w="240" w:type="dxa"/>
              <w:bottom w:w="150" w:type="dxa"/>
              <w:right w:w="0" w:type="dxa"/>
            </w:tcMar>
            <w:vAlign w:val="center"/>
          </w:tcPr>
          <w:p w14:paraId="5957A1E0">
            <w:pPr>
              <w:pStyle w:val="5"/>
              <w:keepNext w:val="0"/>
            </w:pPr>
            <w:r>
              <w:t>用于计算基线情景下土壤碳汇量</w:t>
            </w:r>
          </w:p>
        </w:tc>
      </w:tr>
      <w:tr w14:paraId="01F6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58A33371">
            <w:pPr>
              <w:pStyle w:val="5"/>
              <w:keepNext w:val="0"/>
              <w:jc w:val="center"/>
              <w:rPr>
                <w:rFonts w:hint="eastAsia" w:ascii="黑体" w:hAnsi="黑体" w:eastAsia="黑体" w:cs="黑体"/>
              </w:rPr>
            </w:pPr>
            <w:r>
              <w:rPr>
                <w:rFonts w:ascii="黑体" w:hAnsi="黑体" w:eastAsia="黑体" w:cs="黑体"/>
              </w:rPr>
              <w:t>备注</w:t>
            </w:r>
          </w:p>
        </w:tc>
        <w:tc>
          <w:tcPr>
            <w:tcW w:w="3603" w:type="pct"/>
            <w:tcMar>
              <w:top w:w="150" w:type="dxa"/>
              <w:left w:w="240" w:type="dxa"/>
              <w:bottom w:w="150" w:type="dxa"/>
              <w:right w:w="0" w:type="dxa"/>
            </w:tcMar>
            <w:vAlign w:val="center"/>
          </w:tcPr>
          <w:p w14:paraId="07F94C72">
            <w:pPr>
              <w:pStyle w:val="5"/>
              <w:keepNext w:val="0"/>
            </w:pPr>
            <w:r>
              <w:t>按湖泊湿地、河流湿地、沼泽湿地</w:t>
            </w:r>
            <w:r>
              <w:rPr>
                <w:rFonts w:hint="eastAsia"/>
                <w:lang w:eastAsia="zh-CN"/>
              </w:rPr>
              <w:t>、</w:t>
            </w:r>
            <w:r>
              <w:rPr>
                <w:rFonts w:hint="eastAsia"/>
                <w:lang w:val="en-US" w:eastAsia="zh-CN"/>
              </w:rPr>
              <w:t>乡村小微湿地</w:t>
            </w:r>
            <w:r>
              <w:t>分别取值；土壤深度按60cm计算</w:t>
            </w:r>
          </w:p>
        </w:tc>
      </w:tr>
    </w:tbl>
    <w:p w14:paraId="670493EB">
      <w:pPr>
        <w:pStyle w:val="4"/>
      </w:pPr>
      <w:r>
        <w:t>表</w:t>
      </w:r>
      <w:r>
        <w:rPr>
          <w:rFonts w:hint="eastAsia"/>
          <w:lang w:val="en-US" w:eastAsia="zh-CN"/>
        </w:rPr>
        <w:t>8</w:t>
      </w:r>
      <w:r>
        <w:t xml:space="preserve"> 基线水体溶解有机碳浓度年变化量</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321"/>
        <w:gridCol w:w="5992"/>
      </w:tblGrid>
      <w:tr w14:paraId="07E0C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35AB81BB">
            <w:pPr>
              <w:pStyle w:val="5"/>
              <w:keepNext w:val="0"/>
              <w:jc w:val="center"/>
              <w:rPr>
                <w:rFonts w:hint="eastAsia" w:ascii="黑体" w:hAnsi="黑体" w:eastAsia="黑体" w:cs="黑体"/>
              </w:rPr>
            </w:pPr>
            <w:r>
              <w:rPr>
                <w:rFonts w:ascii="黑体" w:hAnsi="黑体" w:eastAsia="黑体" w:cs="黑体"/>
              </w:rPr>
              <w:t>数据/参数名称</w:t>
            </w:r>
          </w:p>
        </w:tc>
        <w:tc>
          <w:tcPr>
            <w:tcW w:w="3603" w:type="pct"/>
            <w:tcMar>
              <w:top w:w="150" w:type="dxa"/>
              <w:left w:w="240" w:type="dxa"/>
              <w:bottom w:w="150" w:type="dxa"/>
              <w:right w:w="0" w:type="dxa"/>
            </w:tcMar>
            <w:vAlign w:val="center"/>
          </w:tcPr>
          <w:p w14:paraId="0F9CA7DF">
            <w:pPr>
              <w:pStyle w:val="5"/>
              <w:keepNext w:val="0"/>
            </w:pPr>
            <m:oMathPara>
              <m:oMathParaPr>
                <m:jc m:val="left"/>
              </m:oMathParaPr>
              <m:oMath>
                <m:sSub>
                  <m:sSubPr>
                    <m:ctrlPr>
                      <w:rPr>
                        <w:rFonts w:ascii="Cambria Math" w:hAnsi="Cambria Math"/>
                      </w:rPr>
                    </m:ctrlPr>
                  </m:sSubPr>
                  <m:e>
                    <m:r>
                      <m:rPr>
                        <m:sty m:val="p"/>
                      </m:rPr>
                      <w:rPr>
                        <w:rFonts w:ascii="Cambria Math" w:hAnsi="Cambria Math"/>
                      </w:rPr>
                      <m:t>ΔDOC</m:t>
                    </m:r>
                    <m:ctrlPr>
                      <w:rPr>
                        <w:rFonts w:ascii="Cambria Math" w:hAnsi="Cambria Math"/>
                      </w:rPr>
                    </m:ctrlPr>
                  </m:e>
                  <m:sub>
                    <m:r>
                      <m:rPr>
                        <m:sty m:val="p"/>
                      </m:rPr>
                      <w:rPr>
                        <w:rFonts w:ascii="Cambria Math" w:hAnsi="Cambria Math"/>
                      </w:rPr>
                      <m:t>BSL</m:t>
                    </m:r>
                    <m:ctrlPr>
                      <w:rPr>
                        <w:rFonts w:ascii="Cambria Math" w:hAnsi="Cambria Math"/>
                      </w:rPr>
                    </m:ctrlPr>
                  </m:sub>
                </m:sSub>
              </m:oMath>
            </m:oMathPara>
          </w:p>
        </w:tc>
      </w:tr>
      <w:tr w14:paraId="41B35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563F8AD7">
            <w:pPr>
              <w:pStyle w:val="5"/>
              <w:keepNext w:val="0"/>
              <w:jc w:val="center"/>
              <w:rPr>
                <w:rFonts w:hint="eastAsia" w:ascii="黑体" w:hAnsi="黑体" w:eastAsia="黑体" w:cs="黑体"/>
              </w:rPr>
            </w:pPr>
            <w:r>
              <w:rPr>
                <w:rFonts w:ascii="黑体" w:hAnsi="黑体" w:eastAsia="黑体" w:cs="黑体"/>
              </w:rPr>
              <w:t>应用的公式编号</w:t>
            </w:r>
          </w:p>
        </w:tc>
        <w:tc>
          <w:tcPr>
            <w:tcW w:w="3603" w:type="pct"/>
            <w:tcMar>
              <w:top w:w="150" w:type="dxa"/>
              <w:left w:w="240" w:type="dxa"/>
              <w:bottom w:w="150" w:type="dxa"/>
              <w:right w:w="0" w:type="dxa"/>
            </w:tcMar>
            <w:vAlign w:val="center"/>
          </w:tcPr>
          <w:p w14:paraId="5EBE32E5">
            <w:pPr>
              <w:pStyle w:val="5"/>
              <w:keepNext w:val="0"/>
            </w:pPr>
            <w:r>
              <w:t>公式（4）</w:t>
            </w:r>
          </w:p>
        </w:tc>
      </w:tr>
      <w:tr w14:paraId="4AF74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1939356A">
            <w:pPr>
              <w:pStyle w:val="5"/>
              <w:keepNext w:val="0"/>
              <w:jc w:val="center"/>
              <w:rPr>
                <w:rFonts w:hint="eastAsia" w:ascii="黑体" w:hAnsi="黑体" w:eastAsia="黑体" w:cs="黑体"/>
              </w:rPr>
            </w:pPr>
            <w:r>
              <w:rPr>
                <w:rFonts w:ascii="黑体" w:hAnsi="黑体" w:eastAsia="黑体" w:cs="黑体"/>
              </w:rPr>
              <w:t>数据描述</w:t>
            </w:r>
          </w:p>
        </w:tc>
        <w:tc>
          <w:tcPr>
            <w:tcW w:w="3603" w:type="pct"/>
            <w:tcMar>
              <w:top w:w="150" w:type="dxa"/>
              <w:left w:w="240" w:type="dxa"/>
              <w:bottom w:w="150" w:type="dxa"/>
              <w:right w:w="0" w:type="dxa"/>
            </w:tcMar>
            <w:vAlign w:val="center"/>
          </w:tcPr>
          <w:p w14:paraId="42C2EC7D">
            <w:pPr>
              <w:pStyle w:val="5"/>
              <w:keepNext w:val="0"/>
            </w:pPr>
            <w:r>
              <w:t>基线情景下水体溶解有机碳（DOC）浓度的年变化量</w:t>
            </w:r>
          </w:p>
        </w:tc>
      </w:tr>
      <w:tr w14:paraId="71B6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0C7C1B5B">
            <w:pPr>
              <w:pStyle w:val="5"/>
              <w:keepNext w:val="0"/>
              <w:jc w:val="center"/>
              <w:rPr>
                <w:rFonts w:hint="eastAsia" w:ascii="黑体" w:hAnsi="黑体" w:eastAsia="黑体" w:cs="黑体"/>
              </w:rPr>
            </w:pPr>
            <w:r>
              <w:rPr>
                <w:rFonts w:ascii="黑体" w:hAnsi="黑体" w:eastAsia="黑体" w:cs="黑体"/>
              </w:rPr>
              <w:t>数据单位</w:t>
            </w:r>
          </w:p>
        </w:tc>
        <w:tc>
          <w:tcPr>
            <w:tcW w:w="3603" w:type="pct"/>
            <w:tcMar>
              <w:top w:w="150" w:type="dxa"/>
              <w:left w:w="240" w:type="dxa"/>
              <w:bottom w:w="150" w:type="dxa"/>
              <w:right w:w="0" w:type="dxa"/>
            </w:tcMar>
            <w:vAlign w:val="center"/>
          </w:tcPr>
          <w:p w14:paraId="103238B8">
            <w:pPr>
              <w:pStyle w:val="5"/>
              <w:keepNext w:val="0"/>
            </w:pPr>
            <w:r>
              <w:t>mg/（L·a</w:t>
            </w:r>
            <w:r>
              <w:rPr>
                <w:rFonts w:hint="eastAsia"/>
                <w:lang w:eastAsia="zh-CN"/>
              </w:rPr>
              <w:t>)</w:t>
            </w:r>
          </w:p>
        </w:tc>
      </w:tr>
      <w:tr w14:paraId="74D9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078B0E74">
            <w:pPr>
              <w:pStyle w:val="5"/>
              <w:keepNext w:val="0"/>
              <w:jc w:val="center"/>
              <w:rPr>
                <w:rFonts w:hint="eastAsia" w:ascii="黑体" w:hAnsi="黑体" w:eastAsia="黑体" w:cs="黑体"/>
              </w:rPr>
            </w:pPr>
            <w:r>
              <w:rPr>
                <w:rFonts w:ascii="黑体" w:hAnsi="黑体" w:eastAsia="黑体" w:cs="黑体"/>
              </w:rPr>
              <w:t>数据来源</w:t>
            </w:r>
          </w:p>
        </w:tc>
        <w:tc>
          <w:tcPr>
            <w:tcW w:w="3603" w:type="pct"/>
            <w:tcMar>
              <w:top w:w="150" w:type="dxa"/>
              <w:left w:w="240" w:type="dxa"/>
              <w:bottom w:w="150" w:type="dxa"/>
              <w:right w:w="0" w:type="dxa"/>
            </w:tcMar>
            <w:vAlign w:val="center"/>
          </w:tcPr>
          <w:p w14:paraId="7CB63341">
            <w:pPr>
              <w:pStyle w:val="5"/>
              <w:keepNext w:val="0"/>
            </w:pPr>
            <w:r>
              <w:t>项目业主须按照如下优先顺序选择：</w:t>
            </w:r>
            <w:r>
              <w:br w:type="textWrapping"/>
            </w:r>
            <w:r>
              <w:t>a）项目周边同类型、同水文条件、无修复同类湿地连续多年实测监测数据；</w:t>
            </w:r>
            <w:r>
              <w:br w:type="textWrapping"/>
            </w:r>
            <w:r>
              <w:t>b）南京市生态环境局发布的同类型湿地区域基线缺省参数；</w:t>
            </w:r>
            <w:r>
              <w:br w:type="textWrapping"/>
            </w:r>
            <w:r>
              <w:t>c）IPCC、GB/T 46105-2025全国通用参数结合南京本地修正系数</w:t>
            </w:r>
          </w:p>
        </w:tc>
      </w:tr>
      <w:tr w14:paraId="73732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5000A2C7">
            <w:pPr>
              <w:pStyle w:val="5"/>
              <w:keepNext w:val="0"/>
              <w:jc w:val="center"/>
              <w:rPr>
                <w:rFonts w:hint="eastAsia" w:ascii="黑体" w:hAnsi="黑体" w:eastAsia="黑体" w:cs="黑体"/>
              </w:rPr>
            </w:pPr>
            <w:r>
              <w:rPr>
                <w:rFonts w:ascii="黑体" w:hAnsi="黑体" w:eastAsia="黑体" w:cs="黑体"/>
              </w:rPr>
              <w:t>数据选用的合理性</w:t>
            </w:r>
          </w:p>
        </w:tc>
        <w:tc>
          <w:tcPr>
            <w:tcW w:w="3603" w:type="pct"/>
            <w:tcMar>
              <w:top w:w="150" w:type="dxa"/>
              <w:left w:w="240" w:type="dxa"/>
              <w:bottom w:w="150" w:type="dxa"/>
              <w:right w:w="0" w:type="dxa"/>
            </w:tcMar>
            <w:vAlign w:val="center"/>
          </w:tcPr>
          <w:p w14:paraId="43717A71">
            <w:pPr>
              <w:pStyle w:val="5"/>
              <w:keepNext w:val="0"/>
            </w:pPr>
            <w:r>
              <w:t>水体DOC是湿地碳汇的重要组成部分，基线DOC浓度年变化量反映了自然状态下的碳动态</w:t>
            </w:r>
          </w:p>
        </w:tc>
      </w:tr>
      <w:tr w14:paraId="583A2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247370A1">
            <w:pPr>
              <w:pStyle w:val="5"/>
              <w:keepNext w:val="0"/>
              <w:jc w:val="center"/>
              <w:rPr>
                <w:rFonts w:hint="eastAsia" w:ascii="黑体" w:hAnsi="黑体" w:eastAsia="黑体" w:cs="黑体"/>
              </w:rPr>
            </w:pPr>
            <w:r>
              <w:rPr>
                <w:rFonts w:hint="eastAsia" w:ascii="黑体" w:hAnsi="黑体" w:eastAsia="黑体" w:cs="黑体"/>
              </w:rPr>
              <w:t>数值（如有）</w:t>
            </w:r>
          </w:p>
        </w:tc>
        <w:tc>
          <w:tcPr>
            <w:tcW w:w="3603" w:type="pct"/>
            <w:tcMar>
              <w:top w:w="150" w:type="dxa"/>
              <w:left w:w="240" w:type="dxa"/>
              <w:bottom w:w="150" w:type="dxa"/>
              <w:right w:w="0" w:type="dxa"/>
            </w:tcMar>
            <w:vAlign w:val="center"/>
          </w:tcPr>
          <w:p w14:paraId="7BB48AB4">
            <w:pPr>
              <w:pStyle w:val="5"/>
              <w:keepNext w:val="0"/>
            </w:pPr>
            <w:r>
              <w:rPr>
                <w:rFonts w:hint="eastAsia"/>
              </w:rPr>
              <w:t>南京市同类型湿地区域基线缺省值</w:t>
            </w:r>
          </w:p>
        </w:tc>
      </w:tr>
      <w:tr w14:paraId="36B82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4907BEF8">
            <w:pPr>
              <w:pStyle w:val="5"/>
              <w:keepNext w:val="0"/>
              <w:jc w:val="center"/>
              <w:rPr>
                <w:rFonts w:hint="eastAsia" w:ascii="黑体" w:hAnsi="黑体" w:eastAsia="黑体" w:cs="黑体"/>
              </w:rPr>
            </w:pPr>
            <w:r>
              <w:rPr>
                <w:rFonts w:ascii="黑体" w:hAnsi="黑体" w:eastAsia="黑体" w:cs="黑体"/>
              </w:rPr>
              <w:t>数据用途</w:t>
            </w:r>
          </w:p>
        </w:tc>
        <w:tc>
          <w:tcPr>
            <w:tcW w:w="3603" w:type="pct"/>
            <w:tcMar>
              <w:top w:w="150" w:type="dxa"/>
              <w:left w:w="240" w:type="dxa"/>
              <w:bottom w:w="150" w:type="dxa"/>
              <w:right w:w="0" w:type="dxa"/>
            </w:tcMar>
            <w:vAlign w:val="center"/>
          </w:tcPr>
          <w:p w14:paraId="4935F9AC">
            <w:pPr>
              <w:pStyle w:val="5"/>
              <w:keepNext w:val="0"/>
            </w:pPr>
            <w:r>
              <w:t>用于计算基线情景下水体溶解有机碳汇量</w:t>
            </w:r>
          </w:p>
        </w:tc>
      </w:tr>
      <w:tr w14:paraId="227B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96" w:type="pct"/>
            <w:tcMar>
              <w:top w:w="150" w:type="dxa"/>
              <w:left w:w="0" w:type="dxa"/>
              <w:bottom w:w="150" w:type="dxa"/>
              <w:right w:w="240" w:type="dxa"/>
            </w:tcMar>
            <w:vAlign w:val="center"/>
          </w:tcPr>
          <w:p w14:paraId="51390A40">
            <w:pPr>
              <w:pStyle w:val="5"/>
              <w:keepNext w:val="0"/>
              <w:jc w:val="center"/>
              <w:rPr>
                <w:rFonts w:hint="eastAsia" w:ascii="黑体" w:hAnsi="黑体" w:eastAsia="黑体" w:cs="黑体"/>
              </w:rPr>
            </w:pPr>
            <w:r>
              <w:rPr>
                <w:rFonts w:ascii="黑体" w:hAnsi="黑体" w:eastAsia="黑体" w:cs="黑体"/>
              </w:rPr>
              <w:t>备注</w:t>
            </w:r>
          </w:p>
        </w:tc>
        <w:tc>
          <w:tcPr>
            <w:tcW w:w="3603" w:type="pct"/>
            <w:tcMar>
              <w:top w:w="150" w:type="dxa"/>
              <w:left w:w="240" w:type="dxa"/>
              <w:bottom w:w="150" w:type="dxa"/>
              <w:right w:w="0" w:type="dxa"/>
            </w:tcMar>
            <w:vAlign w:val="center"/>
          </w:tcPr>
          <w:p w14:paraId="144B2945">
            <w:pPr>
              <w:pStyle w:val="5"/>
              <w:keepNext w:val="0"/>
            </w:pPr>
            <w:r>
              <w:t>按湖泊湿地、河流湿地、沼泽湿地</w:t>
            </w:r>
            <w:r>
              <w:rPr>
                <w:rFonts w:hint="eastAsia"/>
                <w:lang w:eastAsia="zh-CN"/>
              </w:rPr>
              <w:t>、</w:t>
            </w:r>
            <w:r>
              <w:rPr>
                <w:rFonts w:hint="eastAsia"/>
                <w:lang w:val="en-US" w:eastAsia="zh-CN"/>
              </w:rPr>
              <w:t>乡村小微湿地</w:t>
            </w:r>
            <w:r>
              <w:t>分别取值</w:t>
            </w:r>
          </w:p>
        </w:tc>
      </w:tr>
    </w:tbl>
    <w:p w14:paraId="6471F491">
      <w:pPr>
        <w:pStyle w:val="4"/>
      </w:pPr>
      <w:r>
        <w:t>表</w:t>
      </w:r>
      <w:r>
        <w:rPr>
          <w:rFonts w:hint="eastAsia"/>
          <w:lang w:val="en-US" w:eastAsia="zh-CN"/>
        </w:rPr>
        <w:t>9</w:t>
      </w:r>
      <w:r>
        <w:t xml:space="preserve"> 基线水域体积</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336"/>
        <w:gridCol w:w="5977"/>
      </w:tblGrid>
      <w:tr w14:paraId="4FC0E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05" w:type="pct"/>
            <w:tcMar>
              <w:top w:w="150" w:type="dxa"/>
              <w:left w:w="0" w:type="dxa"/>
              <w:bottom w:w="150" w:type="dxa"/>
              <w:right w:w="240" w:type="dxa"/>
            </w:tcMar>
            <w:vAlign w:val="center"/>
          </w:tcPr>
          <w:p w14:paraId="02C04F13">
            <w:pPr>
              <w:pStyle w:val="5"/>
              <w:keepNext w:val="0"/>
              <w:jc w:val="center"/>
              <w:rPr>
                <w:rFonts w:hint="eastAsia" w:ascii="黑体" w:hAnsi="黑体" w:eastAsia="黑体" w:cs="黑体"/>
              </w:rPr>
            </w:pPr>
            <w:r>
              <w:rPr>
                <w:rFonts w:ascii="黑体" w:hAnsi="黑体" w:eastAsia="黑体" w:cs="黑体"/>
              </w:rPr>
              <w:t>数据/参数名称</w:t>
            </w:r>
          </w:p>
        </w:tc>
        <w:tc>
          <w:tcPr>
            <w:tcW w:w="3594" w:type="pct"/>
            <w:tcMar>
              <w:top w:w="150" w:type="dxa"/>
              <w:left w:w="240" w:type="dxa"/>
              <w:bottom w:w="150" w:type="dxa"/>
              <w:right w:w="0" w:type="dxa"/>
            </w:tcMar>
            <w:vAlign w:val="center"/>
          </w:tcPr>
          <w:p w14:paraId="26A62AB3">
            <w:pPr>
              <w:pStyle w:val="5"/>
              <w:keepNext w:val="0"/>
            </w:pPr>
            <m:oMathPara>
              <m:oMathParaPr>
                <m:jc m:val="left"/>
              </m:oMathParaPr>
              <m:oMath>
                <m:sSub>
                  <m:sSubPr>
                    <m:ctrlPr>
                      <w:rPr>
                        <w:rFonts w:ascii="Cambria Math" w:hAnsi="Cambria Math"/>
                      </w:rPr>
                    </m:ctrlPr>
                  </m:sSubPr>
                  <m:e>
                    <m:r>
                      <m:rPr>
                        <m:sty m:val="p"/>
                      </m:rPr>
                      <w:rPr>
                        <w:rFonts w:ascii="Cambria Math" w:hAnsi="Cambria Math"/>
                      </w:rPr>
                      <m:t>V</m:t>
                    </m:r>
                    <m:ctrlPr>
                      <w:rPr>
                        <w:rFonts w:ascii="Cambria Math" w:hAnsi="Cambria Math"/>
                      </w:rPr>
                    </m:ctrlPr>
                  </m:e>
                  <m:sub>
                    <m:r>
                      <m:rPr>
                        <m:sty m:val="p"/>
                      </m:rPr>
                      <w:rPr>
                        <w:rFonts w:ascii="Cambria Math" w:hAnsi="Cambria Math"/>
                      </w:rPr>
                      <m:t>BSL,t</m:t>
                    </m:r>
                    <m:ctrlPr>
                      <w:rPr>
                        <w:rFonts w:ascii="Cambria Math" w:hAnsi="Cambria Math"/>
                      </w:rPr>
                    </m:ctrlPr>
                  </m:sub>
                </m:sSub>
              </m:oMath>
            </m:oMathPara>
          </w:p>
        </w:tc>
      </w:tr>
      <w:tr w14:paraId="5F36D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05" w:type="pct"/>
            <w:tcMar>
              <w:top w:w="150" w:type="dxa"/>
              <w:left w:w="0" w:type="dxa"/>
              <w:bottom w:w="150" w:type="dxa"/>
              <w:right w:w="240" w:type="dxa"/>
            </w:tcMar>
            <w:vAlign w:val="center"/>
          </w:tcPr>
          <w:p w14:paraId="359BDA37">
            <w:pPr>
              <w:pStyle w:val="5"/>
              <w:keepNext w:val="0"/>
              <w:jc w:val="center"/>
              <w:rPr>
                <w:rFonts w:hint="eastAsia" w:ascii="黑体" w:hAnsi="黑体" w:eastAsia="黑体" w:cs="黑体"/>
              </w:rPr>
            </w:pPr>
            <w:r>
              <w:rPr>
                <w:rFonts w:ascii="黑体" w:hAnsi="黑体" w:eastAsia="黑体" w:cs="黑体"/>
              </w:rPr>
              <w:t>应用的公式编号</w:t>
            </w:r>
          </w:p>
        </w:tc>
        <w:tc>
          <w:tcPr>
            <w:tcW w:w="3594" w:type="pct"/>
            <w:tcMar>
              <w:top w:w="150" w:type="dxa"/>
              <w:left w:w="240" w:type="dxa"/>
              <w:bottom w:w="150" w:type="dxa"/>
              <w:right w:w="0" w:type="dxa"/>
            </w:tcMar>
            <w:vAlign w:val="center"/>
          </w:tcPr>
          <w:p w14:paraId="370F40D4">
            <w:pPr>
              <w:pStyle w:val="5"/>
              <w:keepNext w:val="0"/>
            </w:pPr>
            <w:r>
              <w:t>公式（4）</w:t>
            </w:r>
          </w:p>
        </w:tc>
      </w:tr>
      <w:tr w14:paraId="725E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05" w:type="pct"/>
            <w:tcMar>
              <w:top w:w="150" w:type="dxa"/>
              <w:left w:w="0" w:type="dxa"/>
              <w:bottom w:w="150" w:type="dxa"/>
              <w:right w:w="240" w:type="dxa"/>
            </w:tcMar>
            <w:vAlign w:val="center"/>
          </w:tcPr>
          <w:p w14:paraId="5701E9E0">
            <w:pPr>
              <w:pStyle w:val="5"/>
              <w:keepNext w:val="0"/>
              <w:jc w:val="center"/>
              <w:rPr>
                <w:rFonts w:hint="eastAsia" w:ascii="黑体" w:hAnsi="黑体" w:eastAsia="黑体" w:cs="黑体"/>
              </w:rPr>
            </w:pPr>
            <w:r>
              <w:rPr>
                <w:rFonts w:ascii="黑体" w:hAnsi="黑体" w:eastAsia="黑体" w:cs="黑体"/>
              </w:rPr>
              <w:t>数据描述</w:t>
            </w:r>
          </w:p>
        </w:tc>
        <w:tc>
          <w:tcPr>
            <w:tcW w:w="3594" w:type="pct"/>
            <w:tcMar>
              <w:top w:w="150" w:type="dxa"/>
              <w:left w:w="240" w:type="dxa"/>
              <w:bottom w:w="150" w:type="dxa"/>
              <w:right w:w="0" w:type="dxa"/>
            </w:tcMar>
            <w:vAlign w:val="center"/>
          </w:tcPr>
          <w:p w14:paraId="7F76245E">
            <w:pPr>
              <w:pStyle w:val="5"/>
              <w:keepNext w:val="0"/>
            </w:pPr>
            <w:r>
              <w:t>第t年基线情景下的稳定水域体积</w:t>
            </w:r>
          </w:p>
        </w:tc>
      </w:tr>
      <w:tr w14:paraId="5FE94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05" w:type="pct"/>
            <w:tcMar>
              <w:top w:w="150" w:type="dxa"/>
              <w:left w:w="0" w:type="dxa"/>
              <w:bottom w:w="150" w:type="dxa"/>
              <w:right w:w="240" w:type="dxa"/>
            </w:tcMar>
            <w:vAlign w:val="center"/>
          </w:tcPr>
          <w:p w14:paraId="1F8627B9">
            <w:pPr>
              <w:pStyle w:val="5"/>
              <w:keepNext w:val="0"/>
              <w:jc w:val="center"/>
              <w:rPr>
                <w:rFonts w:hint="eastAsia" w:ascii="黑体" w:hAnsi="黑体" w:eastAsia="黑体" w:cs="黑体"/>
              </w:rPr>
            </w:pPr>
            <w:r>
              <w:rPr>
                <w:rFonts w:ascii="黑体" w:hAnsi="黑体" w:eastAsia="黑体" w:cs="黑体"/>
              </w:rPr>
              <w:t>数据单位</w:t>
            </w:r>
          </w:p>
        </w:tc>
        <w:tc>
          <w:tcPr>
            <w:tcW w:w="3594" w:type="pct"/>
            <w:tcMar>
              <w:top w:w="150" w:type="dxa"/>
              <w:left w:w="240" w:type="dxa"/>
              <w:bottom w:w="150" w:type="dxa"/>
              <w:right w:w="0" w:type="dxa"/>
            </w:tcMar>
            <w:vAlign w:val="center"/>
          </w:tcPr>
          <w:p w14:paraId="78AEAB29">
            <w:pPr>
              <w:pStyle w:val="5"/>
              <w:keepNext w:val="0"/>
            </w:pPr>
            <w:r>
              <w:t>m³</w:t>
            </w:r>
          </w:p>
        </w:tc>
      </w:tr>
      <w:tr w14:paraId="332D1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05" w:type="pct"/>
            <w:tcMar>
              <w:top w:w="150" w:type="dxa"/>
              <w:left w:w="0" w:type="dxa"/>
              <w:bottom w:w="150" w:type="dxa"/>
              <w:right w:w="240" w:type="dxa"/>
            </w:tcMar>
            <w:vAlign w:val="center"/>
          </w:tcPr>
          <w:p w14:paraId="12FA6400">
            <w:pPr>
              <w:pStyle w:val="5"/>
              <w:keepNext w:val="0"/>
              <w:jc w:val="center"/>
              <w:rPr>
                <w:rFonts w:hint="eastAsia" w:ascii="黑体" w:hAnsi="黑体" w:eastAsia="黑体" w:cs="黑体"/>
              </w:rPr>
            </w:pPr>
            <w:r>
              <w:rPr>
                <w:rFonts w:ascii="黑体" w:hAnsi="黑体" w:eastAsia="黑体" w:cs="黑体"/>
              </w:rPr>
              <w:t>数据来源</w:t>
            </w:r>
          </w:p>
        </w:tc>
        <w:tc>
          <w:tcPr>
            <w:tcW w:w="3594" w:type="pct"/>
            <w:tcMar>
              <w:top w:w="150" w:type="dxa"/>
              <w:left w:w="240" w:type="dxa"/>
              <w:bottom w:w="150" w:type="dxa"/>
              <w:right w:w="0" w:type="dxa"/>
            </w:tcMar>
            <w:vAlign w:val="center"/>
          </w:tcPr>
          <w:p w14:paraId="2ADB1E7B">
            <w:pPr>
              <w:pStyle w:val="5"/>
              <w:keepNext w:val="0"/>
            </w:pPr>
            <w:r>
              <w:t>项目设计文件中的水域面积与水深数据；采用CGCS2000坐标系实测水域面积结合常年平均水位计算</w:t>
            </w:r>
          </w:p>
        </w:tc>
      </w:tr>
      <w:tr w14:paraId="4C49C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05" w:type="pct"/>
            <w:tcMar>
              <w:top w:w="150" w:type="dxa"/>
              <w:left w:w="0" w:type="dxa"/>
              <w:bottom w:w="150" w:type="dxa"/>
              <w:right w:w="240" w:type="dxa"/>
            </w:tcMar>
            <w:vAlign w:val="center"/>
          </w:tcPr>
          <w:p w14:paraId="64C97A18">
            <w:pPr>
              <w:pStyle w:val="5"/>
              <w:keepNext w:val="0"/>
              <w:jc w:val="center"/>
              <w:rPr>
                <w:rFonts w:hint="eastAsia" w:ascii="黑体" w:hAnsi="黑体" w:eastAsia="黑体" w:cs="黑体"/>
              </w:rPr>
            </w:pPr>
            <w:r>
              <w:rPr>
                <w:rFonts w:ascii="黑体" w:hAnsi="黑体" w:eastAsia="黑体" w:cs="黑体"/>
              </w:rPr>
              <w:t>数据选用的合理性</w:t>
            </w:r>
          </w:p>
        </w:tc>
        <w:tc>
          <w:tcPr>
            <w:tcW w:w="3594" w:type="pct"/>
            <w:tcMar>
              <w:top w:w="150" w:type="dxa"/>
              <w:left w:w="240" w:type="dxa"/>
              <w:bottom w:w="150" w:type="dxa"/>
              <w:right w:w="0" w:type="dxa"/>
            </w:tcMar>
            <w:vAlign w:val="center"/>
          </w:tcPr>
          <w:p w14:paraId="205DDF3C">
            <w:pPr>
              <w:pStyle w:val="5"/>
              <w:keepNext w:val="0"/>
            </w:pPr>
            <w:r>
              <w:t>水域体积是计算水体DOC碳储量的基础参数，应基于项目边界内实测水域面积和水位数据确定</w:t>
            </w:r>
          </w:p>
        </w:tc>
      </w:tr>
      <w:tr w14:paraId="4002C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05" w:type="pct"/>
            <w:tcMar>
              <w:top w:w="150" w:type="dxa"/>
              <w:left w:w="0" w:type="dxa"/>
              <w:bottom w:w="150" w:type="dxa"/>
              <w:right w:w="240" w:type="dxa"/>
            </w:tcMar>
            <w:vAlign w:val="center"/>
          </w:tcPr>
          <w:p w14:paraId="452DB53A">
            <w:pPr>
              <w:pStyle w:val="5"/>
              <w:keepNext w:val="0"/>
              <w:jc w:val="center"/>
              <w:rPr>
                <w:rFonts w:hint="eastAsia" w:ascii="黑体" w:hAnsi="黑体" w:eastAsia="黑体" w:cs="黑体"/>
              </w:rPr>
            </w:pPr>
            <w:r>
              <w:rPr>
                <w:rFonts w:ascii="黑体" w:hAnsi="黑体" w:eastAsia="黑体" w:cs="黑体"/>
              </w:rPr>
              <w:t>数值（如有）</w:t>
            </w:r>
          </w:p>
        </w:tc>
        <w:tc>
          <w:tcPr>
            <w:tcW w:w="3594" w:type="pct"/>
            <w:tcMar>
              <w:top w:w="150" w:type="dxa"/>
              <w:left w:w="240" w:type="dxa"/>
              <w:bottom w:w="150" w:type="dxa"/>
              <w:right w:w="0" w:type="dxa"/>
            </w:tcMar>
            <w:vAlign w:val="center"/>
          </w:tcPr>
          <w:p w14:paraId="058E5295">
            <w:pPr>
              <w:pStyle w:val="5"/>
              <w:keepNext w:val="0"/>
            </w:pPr>
            <w:r>
              <w:t>根据项目实测数据确定</w:t>
            </w:r>
          </w:p>
        </w:tc>
      </w:tr>
      <w:tr w14:paraId="0195E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05" w:type="pct"/>
            <w:tcMar>
              <w:top w:w="150" w:type="dxa"/>
              <w:left w:w="0" w:type="dxa"/>
              <w:bottom w:w="150" w:type="dxa"/>
              <w:right w:w="240" w:type="dxa"/>
            </w:tcMar>
            <w:vAlign w:val="center"/>
          </w:tcPr>
          <w:p w14:paraId="46EAFC16">
            <w:pPr>
              <w:pStyle w:val="5"/>
              <w:keepNext w:val="0"/>
              <w:jc w:val="center"/>
              <w:rPr>
                <w:rFonts w:hint="eastAsia" w:ascii="黑体" w:hAnsi="黑体" w:eastAsia="黑体" w:cs="黑体"/>
              </w:rPr>
            </w:pPr>
            <w:r>
              <w:rPr>
                <w:rFonts w:ascii="黑体" w:hAnsi="黑体" w:eastAsia="黑体" w:cs="黑体"/>
              </w:rPr>
              <w:t>数据用途</w:t>
            </w:r>
          </w:p>
        </w:tc>
        <w:tc>
          <w:tcPr>
            <w:tcW w:w="3594" w:type="pct"/>
            <w:tcMar>
              <w:top w:w="150" w:type="dxa"/>
              <w:left w:w="240" w:type="dxa"/>
              <w:bottom w:w="150" w:type="dxa"/>
              <w:right w:w="0" w:type="dxa"/>
            </w:tcMar>
            <w:vAlign w:val="center"/>
          </w:tcPr>
          <w:p w14:paraId="3FD5A133">
            <w:pPr>
              <w:pStyle w:val="5"/>
              <w:keepNext w:val="0"/>
            </w:pPr>
            <w:r>
              <w:t>用于计算基线情景下水体溶解有机碳汇量</w:t>
            </w:r>
          </w:p>
        </w:tc>
      </w:tr>
      <w:tr w14:paraId="15FC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05" w:type="pct"/>
            <w:tcMar>
              <w:top w:w="150" w:type="dxa"/>
              <w:left w:w="0" w:type="dxa"/>
              <w:bottom w:w="150" w:type="dxa"/>
              <w:right w:w="240" w:type="dxa"/>
            </w:tcMar>
            <w:vAlign w:val="center"/>
          </w:tcPr>
          <w:p w14:paraId="6EC29A62">
            <w:pPr>
              <w:pStyle w:val="5"/>
              <w:keepNext w:val="0"/>
              <w:jc w:val="center"/>
              <w:rPr>
                <w:rFonts w:hint="eastAsia" w:ascii="黑体" w:hAnsi="黑体" w:eastAsia="黑体" w:cs="黑体"/>
              </w:rPr>
            </w:pPr>
            <w:r>
              <w:rPr>
                <w:rFonts w:ascii="黑体" w:hAnsi="黑体" w:eastAsia="黑体" w:cs="黑体"/>
              </w:rPr>
              <w:t>备注</w:t>
            </w:r>
          </w:p>
        </w:tc>
        <w:tc>
          <w:tcPr>
            <w:tcW w:w="3594" w:type="pct"/>
            <w:tcMar>
              <w:top w:w="150" w:type="dxa"/>
              <w:left w:w="240" w:type="dxa"/>
              <w:bottom w:w="150" w:type="dxa"/>
              <w:right w:w="0" w:type="dxa"/>
            </w:tcMar>
            <w:vAlign w:val="center"/>
          </w:tcPr>
          <w:p w14:paraId="3AA98FBF">
            <w:pPr>
              <w:pStyle w:val="5"/>
              <w:keepNext w:val="0"/>
            </w:pPr>
            <w:r>
              <w:t>计入期内视为恒定，以本底调查值为准</w:t>
            </w:r>
          </w:p>
        </w:tc>
      </w:tr>
    </w:tbl>
    <w:p w14:paraId="119CAA0E">
      <w:pPr>
        <w:pStyle w:val="4"/>
      </w:pPr>
      <w:r>
        <w:t>表</w:t>
      </w:r>
      <w:r>
        <w:rPr>
          <w:rFonts w:hint="eastAsia"/>
        </w:rPr>
        <w:t>1</w:t>
      </w:r>
      <w:r>
        <w:rPr>
          <w:rFonts w:hint="eastAsia"/>
          <w:lang w:val="en-US" w:eastAsia="zh-CN"/>
        </w:rPr>
        <w:t>0</w:t>
      </w:r>
      <w:r>
        <w:t>基线CH</w:t>
      </w:r>
      <w:r>
        <w:rPr>
          <w:rFonts w:hint="eastAsia"/>
          <w:vertAlign w:val="subscript"/>
          <w:lang w:val="en-US" w:eastAsia="zh-CN"/>
        </w:rPr>
        <w:t>4</w:t>
      </w:r>
      <w:r>
        <w:t>排放因子</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348"/>
        <w:gridCol w:w="5965"/>
      </w:tblGrid>
      <w:tr w14:paraId="5BBA9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2" w:type="pct"/>
            <w:tcMar>
              <w:top w:w="150" w:type="dxa"/>
              <w:left w:w="0" w:type="dxa"/>
              <w:bottom w:w="150" w:type="dxa"/>
              <w:right w:w="240" w:type="dxa"/>
            </w:tcMar>
            <w:vAlign w:val="center"/>
          </w:tcPr>
          <w:p w14:paraId="423486EB">
            <w:pPr>
              <w:pStyle w:val="5"/>
              <w:keepNext w:val="0"/>
              <w:jc w:val="center"/>
              <w:rPr>
                <w:rFonts w:hint="eastAsia" w:ascii="黑体" w:hAnsi="黑体" w:eastAsia="黑体" w:cs="黑体"/>
              </w:rPr>
            </w:pPr>
            <w:r>
              <w:rPr>
                <w:rFonts w:ascii="黑体" w:hAnsi="黑体" w:eastAsia="黑体" w:cs="黑体"/>
              </w:rPr>
              <w:t>数据/参数名称</w:t>
            </w:r>
          </w:p>
        </w:tc>
        <w:tc>
          <w:tcPr>
            <w:tcW w:w="3587" w:type="pct"/>
            <w:tcMar>
              <w:top w:w="150" w:type="dxa"/>
              <w:left w:w="240" w:type="dxa"/>
              <w:bottom w:w="150" w:type="dxa"/>
              <w:right w:w="0" w:type="dxa"/>
            </w:tcMar>
            <w:vAlign w:val="center"/>
          </w:tcPr>
          <w:p w14:paraId="7428C92C">
            <w:pPr>
              <w:pStyle w:val="5"/>
              <w:keepNext w:val="0"/>
            </w:pPr>
            <m:oMathPara>
              <m:oMathParaPr>
                <m:jc m:val="left"/>
              </m:oMathParaPr>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r>
                      <m:rPr>
                        <m:sty m:val="p"/>
                      </m:rPr>
                      <w:rPr>
                        <w:rFonts w:ascii="Cambria Math" w:hAnsi="Cambria Math"/>
                      </w:rPr>
                      <m:t>,BSL</m:t>
                    </m:r>
                    <m:ctrlPr>
                      <w:rPr>
                        <w:rFonts w:ascii="Cambria Math" w:hAnsi="Cambria Math"/>
                      </w:rPr>
                    </m:ctrlPr>
                  </m:sub>
                </m:sSub>
              </m:oMath>
            </m:oMathPara>
          </w:p>
        </w:tc>
      </w:tr>
      <w:tr w14:paraId="4C1D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2" w:type="pct"/>
            <w:tcMar>
              <w:top w:w="150" w:type="dxa"/>
              <w:left w:w="0" w:type="dxa"/>
              <w:bottom w:w="150" w:type="dxa"/>
              <w:right w:w="240" w:type="dxa"/>
            </w:tcMar>
            <w:vAlign w:val="center"/>
          </w:tcPr>
          <w:p w14:paraId="20DC8FCF">
            <w:pPr>
              <w:pStyle w:val="5"/>
              <w:keepNext w:val="0"/>
              <w:jc w:val="center"/>
              <w:rPr>
                <w:rFonts w:hint="eastAsia" w:ascii="黑体" w:hAnsi="黑体" w:eastAsia="黑体" w:cs="黑体"/>
              </w:rPr>
            </w:pPr>
            <w:r>
              <w:rPr>
                <w:rFonts w:ascii="黑体" w:hAnsi="黑体" w:eastAsia="黑体" w:cs="黑体"/>
              </w:rPr>
              <w:t>应用的公式编号</w:t>
            </w:r>
          </w:p>
        </w:tc>
        <w:tc>
          <w:tcPr>
            <w:tcW w:w="3587" w:type="pct"/>
            <w:tcMar>
              <w:top w:w="150" w:type="dxa"/>
              <w:left w:w="240" w:type="dxa"/>
              <w:bottom w:w="150" w:type="dxa"/>
              <w:right w:w="0" w:type="dxa"/>
            </w:tcMar>
            <w:vAlign w:val="center"/>
          </w:tcPr>
          <w:p w14:paraId="4885B27E">
            <w:pPr>
              <w:pStyle w:val="5"/>
              <w:keepNext w:val="0"/>
            </w:pPr>
            <w:r>
              <w:t>公式（5）</w:t>
            </w:r>
          </w:p>
        </w:tc>
      </w:tr>
      <w:tr w14:paraId="7CD4A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2" w:type="pct"/>
            <w:tcMar>
              <w:top w:w="150" w:type="dxa"/>
              <w:left w:w="0" w:type="dxa"/>
              <w:bottom w:w="150" w:type="dxa"/>
              <w:right w:w="240" w:type="dxa"/>
            </w:tcMar>
            <w:vAlign w:val="center"/>
          </w:tcPr>
          <w:p w14:paraId="20A1B4C2">
            <w:pPr>
              <w:pStyle w:val="5"/>
              <w:keepNext w:val="0"/>
              <w:jc w:val="center"/>
              <w:rPr>
                <w:rFonts w:hint="eastAsia" w:ascii="黑体" w:hAnsi="黑体" w:eastAsia="黑体" w:cs="黑体"/>
              </w:rPr>
            </w:pPr>
            <w:r>
              <w:rPr>
                <w:rFonts w:ascii="黑体" w:hAnsi="黑体" w:eastAsia="黑体" w:cs="黑体"/>
              </w:rPr>
              <w:t>数据描述</w:t>
            </w:r>
          </w:p>
        </w:tc>
        <w:tc>
          <w:tcPr>
            <w:tcW w:w="3587" w:type="pct"/>
            <w:tcMar>
              <w:top w:w="150" w:type="dxa"/>
              <w:left w:w="240" w:type="dxa"/>
              <w:bottom w:w="150" w:type="dxa"/>
              <w:right w:w="0" w:type="dxa"/>
            </w:tcMar>
            <w:vAlign w:val="center"/>
          </w:tcPr>
          <w:p w14:paraId="76A0406E">
            <w:pPr>
              <w:pStyle w:val="5"/>
              <w:keepNext w:val="0"/>
            </w:pPr>
            <w:r>
              <w:t>基线情景下单位面积CH</w:t>
            </w:r>
            <w:r>
              <w:rPr>
                <w:rFonts w:hint="eastAsia"/>
                <w:vertAlign w:val="subscript"/>
                <w:lang w:val="en-US" w:eastAsia="zh-CN"/>
              </w:rPr>
              <w:t>4</w:t>
            </w:r>
            <w:r>
              <w:t>排放因子</w:t>
            </w:r>
          </w:p>
        </w:tc>
      </w:tr>
      <w:tr w14:paraId="2383D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2" w:type="pct"/>
            <w:tcMar>
              <w:top w:w="150" w:type="dxa"/>
              <w:left w:w="0" w:type="dxa"/>
              <w:bottom w:w="150" w:type="dxa"/>
              <w:right w:w="240" w:type="dxa"/>
            </w:tcMar>
            <w:vAlign w:val="center"/>
          </w:tcPr>
          <w:p w14:paraId="041EB8CE">
            <w:pPr>
              <w:pStyle w:val="5"/>
              <w:keepNext w:val="0"/>
              <w:jc w:val="center"/>
              <w:rPr>
                <w:rFonts w:hint="eastAsia" w:ascii="黑体" w:hAnsi="黑体" w:eastAsia="黑体" w:cs="黑体"/>
              </w:rPr>
            </w:pPr>
            <w:r>
              <w:rPr>
                <w:rFonts w:ascii="黑体" w:hAnsi="黑体" w:eastAsia="黑体" w:cs="黑体"/>
              </w:rPr>
              <w:t>数据单位</w:t>
            </w:r>
          </w:p>
        </w:tc>
        <w:tc>
          <w:tcPr>
            <w:tcW w:w="3587" w:type="pct"/>
            <w:tcMar>
              <w:top w:w="150" w:type="dxa"/>
              <w:left w:w="240" w:type="dxa"/>
              <w:bottom w:w="150" w:type="dxa"/>
              <w:right w:w="0" w:type="dxa"/>
            </w:tcMar>
            <w:vAlign w:val="center"/>
          </w:tcPr>
          <w:p w14:paraId="29A46A03">
            <w:pPr>
              <w:pStyle w:val="5"/>
              <w:keepNext w:val="0"/>
            </w:pPr>
            <w:r>
              <w:t>kg CH</w:t>
            </w:r>
            <w:r>
              <w:rPr>
                <w:rFonts w:hint="eastAsia"/>
                <w:vertAlign w:val="subscript"/>
                <w:lang w:val="en-US" w:eastAsia="zh-CN"/>
              </w:rPr>
              <w:t>4</w:t>
            </w:r>
            <w:r>
              <w:t>/</w:t>
            </w:r>
            <w:r>
              <w:rPr>
                <w:rFonts w:hint="eastAsia"/>
                <w:lang w:eastAsia="zh-CN"/>
              </w:rPr>
              <w:t>(</w:t>
            </w:r>
            <w:r>
              <w:t>hm²·a</w:t>
            </w:r>
            <w:r>
              <w:rPr>
                <w:rFonts w:hint="eastAsia"/>
                <w:lang w:eastAsia="zh-CN"/>
              </w:rPr>
              <w:t>)</w:t>
            </w:r>
          </w:p>
        </w:tc>
      </w:tr>
      <w:tr w14:paraId="1DD1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2" w:type="pct"/>
            <w:tcMar>
              <w:top w:w="150" w:type="dxa"/>
              <w:left w:w="0" w:type="dxa"/>
              <w:bottom w:w="150" w:type="dxa"/>
              <w:right w:w="240" w:type="dxa"/>
            </w:tcMar>
            <w:vAlign w:val="center"/>
          </w:tcPr>
          <w:p w14:paraId="12FF6E20">
            <w:pPr>
              <w:pStyle w:val="5"/>
              <w:keepNext w:val="0"/>
              <w:jc w:val="center"/>
              <w:rPr>
                <w:rFonts w:hint="eastAsia" w:ascii="黑体" w:hAnsi="黑体" w:eastAsia="黑体" w:cs="黑体"/>
              </w:rPr>
            </w:pPr>
            <w:r>
              <w:rPr>
                <w:rFonts w:ascii="黑体" w:hAnsi="黑体" w:eastAsia="黑体" w:cs="黑体"/>
              </w:rPr>
              <w:t>数据来源</w:t>
            </w:r>
          </w:p>
        </w:tc>
        <w:tc>
          <w:tcPr>
            <w:tcW w:w="3587" w:type="pct"/>
            <w:tcMar>
              <w:top w:w="150" w:type="dxa"/>
              <w:left w:w="240" w:type="dxa"/>
              <w:bottom w:w="150" w:type="dxa"/>
              <w:right w:w="0" w:type="dxa"/>
            </w:tcMar>
            <w:vAlign w:val="center"/>
          </w:tcPr>
          <w:p w14:paraId="6C308E59">
            <w:pPr>
              <w:pStyle w:val="5"/>
              <w:keepNext w:val="0"/>
            </w:pPr>
            <w:r>
              <w:t>项目业主须按照如下优先顺序选择：</w:t>
            </w:r>
            <w:r>
              <w:br w:type="textWrapping"/>
            </w:r>
            <w:r>
              <w:t>a）南京地区湿地的实测数据；</w:t>
            </w:r>
            <w:r>
              <w:br w:type="textWrapping"/>
            </w:r>
            <w:r>
              <w:t>b）IPCC国家温室气体清单指南缺省值；</w:t>
            </w:r>
            <w:r>
              <w:br w:type="textWrapping"/>
            </w:r>
            <w:r>
              <w:t>c）国内同类研究文献值</w:t>
            </w:r>
          </w:p>
        </w:tc>
      </w:tr>
      <w:tr w14:paraId="3B43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2" w:type="pct"/>
            <w:tcMar>
              <w:top w:w="150" w:type="dxa"/>
              <w:left w:w="0" w:type="dxa"/>
              <w:bottom w:w="150" w:type="dxa"/>
              <w:right w:w="240" w:type="dxa"/>
            </w:tcMar>
            <w:vAlign w:val="center"/>
          </w:tcPr>
          <w:p w14:paraId="196C1585">
            <w:pPr>
              <w:pStyle w:val="5"/>
              <w:keepNext w:val="0"/>
              <w:jc w:val="center"/>
              <w:rPr>
                <w:rFonts w:hint="eastAsia" w:ascii="黑体" w:hAnsi="黑体" w:eastAsia="黑体" w:cs="黑体"/>
              </w:rPr>
            </w:pPr>
            <w:r>
              <w:rPr>
                <w:rFonts w:ascii="黑体" w:hAnsi="黑体" w:eastAsia="黑体" w:cs="黑体"/>
              </w:rPr>
              <w:t>数据选用的合理性</w:t>
            </w:r>
          </w:p>
        </w:tc>
        <w:tc>
          <w:tcPr>
            <w:tcW w:w="3587" w:type="pct"/>
            <w:tcMar>
              <w:top w:w="150" w:type="dxa"/>
              <w:left w:w="240" w:type="dxa"/>
              <w:bottom w:w="150" w:type="dxa"/>
              <w:right w:w="0" w:type="dxa"/>
            </w:tcMar>
            <w:vAlign w:val="center"/>
          </w:tcPr>
          <w:p w14:paraId="6282494F">
            <w:pPr>
              <w:pStyle w:val="5"/>
              <w:keepNext w:val="0"/>
            </w:pPr>
            <w:r>
              <w:t>CH</w:t>
            </w:r>
            <w:r>
              <w:rPr>
                <w:rFonts w:hint="eastAsia"/>
                <w:vertAlign w:val="subscript"/>
                <w:lang w:val="en-US" w:eastAsia="zh-CN"/>
              </w:rPr>
              <w:t>4</w:t>
            </w:r>
            <w:r>
              <w:t>是湿地主要温室气体排放源，采用本地排放因子可提高核算准确性</w:t>
            </w:r>
          </w:p>
        </w:tc>
      </w:tr>
      <w:tr w14:paraId="7D15B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2" w:type="pct"/>
            <w:tcMar>
              <w:top w:w="150" w:type="dxa"/>
              <w:left w:w="0" w:type="dxa"/>
              <w:bottom w:w="150" w:type="dxa"/>
              <w:right w:w="240" w:type="dxa"/>
            </w:tcMar>
            <w:vAlign w:val="center"/>
          </w:tcPr>
          <w:p w14:paraId="1FCDD9C0">
            <w:pPr>
              <w:pStyle w:val="5"/>
              <w:keepNext w:val="0"/>
              <w:jc w:val="center"/>
              <w:rPr>
                <w:rFonts w:hint="eastAsia" w:ascii="黑体" w:hAnsi="黑体" w:eastAsia="黑体" w:cs="黑体"/>
              </w:rPr>
            </w:pPr>
            <w:r>
              <w:rPr>
                <w:rFonts w:ascii="黑体" w:hAnsi="黑体" w:eastAsia="黑体" w:cs="黑体"/>
              </w:rPr>
              <w:t>数值（如有）</w:t>
            </w:r>
          </w:p>
        </w:tc>
        <w:tc>
          <w:tcPr>
            <w:tcW w:w="3587" w:type="pct"/>
            <w:tcMar>
              <w:top w:w="150" w:type="dxa"/>
              <w:left w:w="240" w:type="dxa"/>
              <w:bottom w:w="150" w:type="dxa"/>
              <w:right w:w="0" w:type="dxa"/>
            </w:tcMar>
            <w:vAlign w:val="center"/>
          </w:tcPr>
          <w:p w14:paraId="37276335">
            <w:pPr>
              <w:pStyle w:val="5"/>
              <w:keepNext w:val="0"/>
            </w:pPr>
            <w:r>
              <w:t>优先采用南京地区实测值，若无则采用IPCC缺省值</w:t>
            </w:r>
          </w:p>
        </w:tc>
      </w:tr>
      <w:tr w14:paraId="0C12F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2" w:type="pct"/>
            <w:tcMar>
              <w:top w:w="150" w:type="dxa"/>
              <w:left w:w="0" w:type="dxa"/>
              <w:bottom w:w="150" w:type="dxa"/>
              <w:right w:w="240" w:type="dxa"/>
            </w:tcMar>
            <w:vAlign w:val="center"/>
          </w:tcPr>
          <w:p w14:paraId="44BB9BCC">
            <w:pPr>
              <w:pStyle w:val="5"/>
              <w:keepNext w:val="0"/>
              <w:jc w:val="center"/>
              <w:rPr>
                <w:rFonts w:hint="eastAsia" w:ascii="黑体" w:hAnsi="黑体" w:eastAsia="黑体" w:cs="黑体"/>
              </w:rPr>
            </w:pPr>
            <w:r>
              <w:rPr>
                <w:rFonts w:ascii="黑体" w:hAnsi="黑体" w:eastAsia="黑体" w:cs="黑体"/>
              </w:rPr>
              <w:t>数据用途</w:t>
            </w:r>
          </w:p>
        </w:tc>
        <w:tc>
          <w:tcPr>
            <w:tcW w:w="3587" w:type="pct"/>
            <w:tcMar>
              <w:top w:w="150" w:type="dxa"/>
              <w:left w:w="240" w:type="dxa"/>
              <w:bottom w:w="150" w:type="dxa"/>
              <w:right w:w="0" w:type="dxa"/>
            </w:tcMar>
            <w:vAlign w:val="center"/>
          </w:tcPr>
          <w:p w14:paraId="6C54CB95">
            <w:pPr>
              <w:pStyle w:val="5"/>
              <w:keepNext w:val="0"/>
            </w:pPr>
            <w:r>
              <w:t>用于计算基线情景下CH</w:t>
            </w:r>
            <w:r>
              <w:rPr>
                <w:rFonts w:hint="eastAsia"/>
                <w:vertAlign w:val="subscript"/>
                <w:lang w:val="en-US" w:eastAsia="zh-CN"/>
              </w:rPr>
              <w:t>4</w:t>
            </w:r>
            <w:r>
              <w:t>排放量</w:t>
            </w:r>
          </w:p>
        </w:tc>
      </w:tr>
      <w:tr w14:paraId="0813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12" w:type="pct"/>
            <w:tcMar>
              <w:top w:w="150" w:type="dxa"/>
              <w:left w:w="0" w:type="dxa"/>
              <w:bottom w:w="150" w:type="dxa"/>
              <w:right w:w="240" w:type="dxa"/>
            </w:tcMar>
            <w:vAlign w:val="center"/>
          </w:tcPr>
          <w:p w14:paraId="4DBD9065">
            <w:pPr>
              <w:pStyle w:val="5"/>
              <w:keepNext w:val="0"/>
              <w:jc w:val="center"/>
              <w:rPr>
                <w:rFonts w:hint="eastAsia" w:ascii="黑体" w:hAnsi="黑体" w:eastAsia="黑体" w:cs="黑体"/>
              </w:rPr>
            </w:pPr>
            <w:r>
              <w:rPr>
                <w:rFonts w:ascii="黑体" w:hAnsi="黑体" w:eastAsia="黑体" w:cs="黑体"/>
              </w:rPr>
              <w:t>备注</w:t>
            </w:r>
          </w:p>
        </w:tc>
        <w:tc>
          <w:tcPr>
            <w:tcW w:w="3587" w:type="pct"/>
            <w:tcMar>
              <w:top w:w="150" w:type="dxa"/>
              <w:left w:w="240" w:type="dxa"/>
              <w:bottom w:w="150" w:type="dxa"/>
              <w:right w:w="0" w:type="dxa"/>
            </w:tcMar>
            <w:vAlign w:val="center"/>
          </w:tcPr>
          <w:p w14:paraId="7C59475B">
            <w:pPr>
              <w:pStyle w:val="5"/>
              <w:keepNext w:val="0"/>
            </w:pPr>
            <w:r>
              <w:t>按湖泊湿地、河流湿地、沼泽湿地</w:t>
            </w:r>
            <w:r>
              <w:rPr>
                <w:rFonts w:hint="eastAsia"/>
                <w:lang w:eastAsia="zh-CN"/>
              </w:rPr>
              <w:t>、</w:t>
            </w:r>
            <w:r>
              <w:rPr>
                <w:rFonts w:hint="eastAsia"/>
                <w:lang w:val="en-US" w:eastAsia="zh-CN"/>
              </w:rPr>
              <w:t>乡村小微湿地</w:t>
            </w:r>
            <w:r>
              <w:t>分别取值</w:t>
            </w:r>
          </w:p>
        </w:tc>
      </w:tr>
    </w:tbl>
    <w:p w14:paraId="6DEF8146">
      <w:pPr>
        <w:pStyle w:val="4"/>
      </w:pPr>
      <w:r>
        <w:t>表1</w:t>
      </w:r>
      <w:r>
        <w:rPr>
          <w:rFonts w:hint="eastAsia"/>
          <w:lang w:val="en-US" w:eastAsia="zh-CN"/>
        </w:rPr>
        <w:t>1</w:t>
      </w:r>
      <w:r>
        <w:t xml:space="preserve"> 基线</w:t>
      </w:r>
      <w:r>
        <w:rPr>
          <w:rFonts w:cs="Times New Roman"/>
        </w:rPr>
        <w:t>N</w:t>
      </w:r>
      <w:r>
        <w:rPr>
          <w:rFonts w:hint="eastAsia" w:cs="Times New Roman"/>
          <w:vertAlign w:val="subscript"/>
          <w:lang w:val="en-US" w:eastAsia="zh-CN"/>
        </w:rPr>
        <w:t>2</w:t>
      </w:r>
      <w:r>
        <w:rPr>
          <w:rFonts w:cs="Times New Roman"/>
        </w:rPr>
        <w:t>O</w:t>
      </w:r>
      <w:r>
        <w:t>排放因子</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286"/>
        <w:gridCol w:w="6027"/>
      </w:tblGrid>
      <w:tr w14:paraId="1C67F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75" w:type="pct"/>
            <w:tcMar>
              <w:top w:w="150" w:type="dxa"/>
              <w:left w:w="0" w:type="dxa"/>
              <w:bottom w:w="150" w:type="dxa"/>
              <w:right w:w="240" w:type="dxa"/>
            </w:tcMar>
            <w:vAlign w:val="center"/>
          </w:tcPr>
          <w:p w14:paraId="183F3C24">
            <w:pPr>
              <w:pStyle w:val="5"/>
              <w:keepNext w:val="0"/>
              <w:jc w:val="center"/>
              <w:rPr>
                <w:rFonts w:hint="eastAsia" w:ascii="黑体" w:hAnsi="黑体" w:eastAsia="黑体" w:cs="黑体"/>
              </w:rPr>
            </w:pPr>
            <w:r>
              <w:rPr>
                <w:rFonts w:ascii="黑体" w:hAnsi="黑体" w:eastAsia="黑体" w:cs="黑体"/>
              </w:rPr>
              <w:t>数据/参数名称</w:t>
            </w:r>
          </w:p>
        </w:tc>
        <w:tc>
          <w:tcPr>
            <w:tcW w:w="3624" w:type="pct"/>
            <w:tcMar>
              <w:top w:w="150" w:type="dxa"/>
              <w:left w:w="240" w:type="dxa"/>
              <w:bottom w:w="150" w:type="dxa"/>
              <w:right w:w="0" w:type="dxa"/>
            </w:tcMar>
            <w:vAlign w:val="center"/>
          </w:tcPr>
          <w:p w14:paraId="4CF2DF29">
            <w:pPr>
              <w:pStyle w:val="5"/>
              <w:keepNext w:val="0"/>
            </w:pPr>
            <m:oMathPara>
              <m:oMathParaPr>
                <m:jc m:val="left"/>
              </m:oMathParaPr>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O,BSL</m:t>
                    </m:r>
                    <m:ctrlPr>
                      <w:rPr>
                        <w:rFonts w:ascii="Cambria Math" w:hAnsi="Cambria Math"/>
                      </w:rPr>
                    </m:ctrlPr>
                  </m:sub>
                </m:sSub>
              </m:oMath>
            </m:oMathPara>
          </w:p>
        </w:tc>
      </w:tr>
      <w:tr w14:paraId="7819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75" w:type="pct"/>
            <w:tcMar>
              <w:top w:w="150" w:type="dxa"/>
              <w:left w:w="0" w:type="dxa"/>
              <w:bottom w:w="150" w:type="dxa"/>
              <w:right w:w="240" w:type="dxa"/>
            </w:tcMar>
            <w:vAlign w:val="center"/>
          </w:tcPr>
          <w:p w14:paraId="5B6B0E3D">
            <w:pPr>
              <w:pStyle w:val="5"/>
              <w:keepNext w:val="0"/>
              <w:jc w:val="center"/>
              <w:rPr>
                <w:rFonts w:hint="eastAsia" w:ascii="黑体" w:hAnsi="黑体" w:eastAsia="黑体" w:cs="黑体"/>
              </w:rPr>
            </w:pPr>
            <w:r>
              <w:rPr>
                <w:rFonts w:ascii="黑体" w:hAnsi="黑体" w:eastAsia="黑体" w:cs="黑体"/>
              </w:rPr>
              <w:t>应用的公式编号</w:t>
            </w:r>
          </w:p>
        </w:tc>
        <w:tc>
          <w:tcPr>
            <w:tcW w:w="3624" w:type="pct"/>
            <w:tcMar>
              <w:top w:w="150" w:type="dxa"/>
              <w:left w:w="240" w:type="dxa"/>
              <w:bottom w:w="150" w:type="dxa"/>
              <w:right w:w="0" w:type="dxa"/>
            </w:tcMar>
            <w:vAlign w:val="center"/>
          </w:tcPr>
          <w:p w14:paraId="350E13C6">
            <w:pPr>
              <w:pStyle w:val="5"/>
              <w:keepNext w:val="0"/>
            </w:pPr>
            <w:r>
              <w:t>公式（5）</w:t>
            </w:r>
          </w:p>
        </w:tc>
      </w:tr>
      <w:tr w14:paraId="0701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75" w:type="pct"/>
            <w:tcMar>
              <w:top w:w="150" w:type="dxa"/>
              <w:left w:w="0" w:type="dxa"/>
              <w:bottom w:w="150" w:type="dxa"/>
              <w:right w:w="240" w:type="dxa"/>
            </w:tcMar>
            <w:vAlign w:val="center"/>
          </w:tcPr>
          <w:p w14:paraId="03D30335">
            <w:pPr>
              <w:pStyle w:val="5"/>
              <w:keepNext w:val="0"/>
              <w:jc w:val="center"/>
              <w:rPr>
                <w:rFonts w:hint="eastAsia" w:ascii="黑体" w:hAnsi="黑体" w:eastAsia="黑体" w:cs="黑体"/>
              </w:rPr>
            </w:pPr>
            <w:r>
              <w:rPr>
                <w:rFonts w:ascii="黑体" w:hAnsi="黑体" w:eastAsia="黑体" w:cs="黑体"/>
              </w:rPr>
              <w:t>数据描述</w:t>
            </w:r>
          </w:p>
        </w:tc>
        <w:tc>
          <w:tcPr>
            <w:tcW w:w="3624" w:type="pct"/>
            <w:tcMar>
              <w:top w:w="150" w:type="dxa"/>
              <w:left w:w="240" w:type="dxa"/>
              <w:bottom w:w="150" w:type="dxa"/>
              <w:right w:w="0" w:type="dxa"/>
            </w:tcMar>
            <w:vAlign w:val="center"/>
          </w:tcPr>
          <w:p w14:paraId="512EAF24">
            <w:pPr>
              <w:pStyle w:val="5"/>
              <w:keepNext w:val="0"/>
            </w:pPr>
            <w:r>
              <w:t>基线情景下单位面积</w:t>
            </w:r>
            <w:r>
              <w:rPr>
                <w:rFonts w:cs="Times New Roman"/>
              </w:rPr>
              <w:t>N</w:t>
            </w:r>
            <w:r>
              <w:rPr>
                <w:rFonts w:hint="eastAsia" w:cs="Times New Roman"/>
                <w:vertAlign w:val="subscript"/>
                <w:lang w:val="en-US" w:eastAsia="zh-CN"/>
              </w:rPr>
              <w:t>2</w:t>
            </w:r>
            <w:r>
              <w:rPr>
                <w:rFonts w:cs="Times New Roman"/>
              </w:rPr>
              <w:t>O</w:t>
            </w:r>
            <w:r>
              <w:t>排放因子</w:t>
            </w:r>
          </w:p>
        </w:tc>
      </w:tr>
      <w:tr w14:paraId="3856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75" w:type="pct"/>
            <w:tcMar>
              <w:top w:w="150" w:type="dxa"/>
              <w:left w:w="0" w:type="dxa"/>
              <w:bottom w:w="150" w:type="dxa"/>
              <w:right w:w="240" w:type="dxa"/>
            </w:tcMar>
            <w:vAlign w:val="center"/>
          </w:tcPr>
          <w:p w14:paraId="6D6E8410">
            <w:pPr>
              <w:pStyle w:val="5"/>
              <w:keepNext w:val="0"/>
              <w:jc w:val="center"/>
              <w:rPr>
                <w:rFonts w:hint="eastAsia" w:ascii="黑体" w:hAnsi="黑体" w:eastAsia="黑体" w:cs="黑体"/>
              </w:rPr>
            </w:pPr>
            <w:r>
              <w:rPr>
                <w:rFonts w:ascii="黑体" w:hAnsi="黑体" w:eastAsia="黑体" w:cs="黑体"/>
              </w:rPr>
              <w:t>数据单位</w:t>
            </w:r>
          </w:p>
        </w:tc>
        <w:tc>
          <w:tcPr>
            <w:tcW w:w="3624" w:type="pct"/>
            <w:tcMar>
              <w:top w:w="150" w:type="dxa"/>
              <w:left w:w="240" w:type="dxa"/>
              <w:bottom w:w="150" w:type="dxa"/>
              <w:right w:w="0" w:type="dxa"/>
            </w:tcMar>
            <w:vAlign w:val="center"/>
          </w:tcPr>
          <w:p w14:paraId="43CD5C30">
            <w:pPr>
              <w:pStyle w:val="5"/>
              <w:keepNext w:val="0"/>
            </w:pPr>
            <w:r>
              <w:t xml:space="preserve">kg </w:t>
            </w:r>
            <w:r>
              <w:rPr>
                <w:rFonts w:cs="Times New Roman"/>
              </w:rPr>
              <w:t>N</w:t>
            </w:r>
            <w:r>
              <w:rPr>
                <w:rFonts w:hint="eastAsia" w:cs="Times New Roman"/>
                <w:vertAlign w:val="subscript"/>
                <w:lang w:val="en-US" w:eastAsia="zh-CN"/>
              </w:rPr>
              <w:t>2</w:t>
            </w:r>
            <w:r>
              <w:rPr>
                <w:rFonts w:cs="Times New Roman"/>
              </w:rPr>
              <w:t>O</w:t>
            </w:r>
            <w:r>
              <w:t>/</w:t>
            </w:r>
            <w:r>
              <w:rPr>
                <w:rFonts w:hint="eastAsia"/>
                <w:lang w:eastAsia="zh-CN"/>
              </w:rPr>
              <w:t>(</w:t>
            </w:r>
            <w:r>
              <w:t>hm²·a</w:t>
            </w:r>
            <w:r>
              <w:rPr>
                <w:rFonts w:hint="eastAsia"/>
                <w:lang w:eastAsia="zh-CN"/>
              </w:rPr>
              <w:t>)</w:t>
            </w:r>
          </w:p>
        </w:tc>
      </w:tr>
      <w:tr w14:paraId="7CEAC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75" w:type="pct"/>
            <w:tcMar>
              <w:top w:w="150" w:type="dxa"/>
              <w:left w:w="0" w:type="dxa"/>
              <w:bottom w:w="150" w:type="dxa"/>
              <w:right w:w="240" w:type="dxa"/>
            </w:tcMar>
            <w:vAlign w:val="center"/>
          </w:tcPr>
          <w:p w14:paraId="687B2CD7">
            <w:pPr>
              <w:pStyle w:val="5"/>
              <w:keepNext w:val="0"/>
              <w:jc w:val="center"/>
              <w:rPr>
                <w:rFonts w:hint="eastAsia" w:ascii="黑体" w:hAnsi="黑体" w:eastAsia="黑体" w:cs="黑体"/>
              </w:rPr>
            </w:pPr>
            <w:r>
              <w:rPr>
                <w:rFonts w:ascii="黑体" w:hAnsi="黑体" w:eastAsia="黑体" w:cs="黑体"/>
              </w:rPr>
              <w:t>数据来源</w:t>
            </w:r>
          </w:p>
        </w:tc>
        <w:tc>
          <w:tcPr>
            <w:tcW w:w="3624" w:type="pct"/>
            <w:tcMar>
              <w:top w:w="150" w:type="dxa"/>
              <w:left w:w="240" w:type="dxa"/>
              <w:bottom w:w="150" w:type="dxa"/>
              <w:right w:w="0" w:type="dxa"/>
            </w:tcMar>
            <w:vAlign w:val="center"/>
          </w:tcPr>
          <w:p w14:paraId="5874338F">
            <w:pPr>
              <w:pStyle w:val="5"/>
              <w:keepNext w:val="0"/>
            </w:pPr>
            <w:r>
              <w:t>项目业主须按照如下优先顺序选择：</w:t>
            </w:r>
            <w:r>
              <w:br w:type="textWrapping"/>
            </w:r>
            <w:r>
              <w:t>a）南京地区湿地的实测数据；</w:t>
            </w:r>
            <w:r>
              <w:br w:type="textWrapping"/>
            </w:r>
            <w:r>
              <w:t>b）IPCC国家温室气体清单指南缺省值；</w:t>
            </w:r>
            <w:r>
              <w:br w:type="textWrapping"/>
            </w:r>
            <w:r>
              <w:t>c）国内同类研究文献值</w:t>
            </w:r>
          </w:p>
        </w:tc>
      </w:tr>
      <w:tr w14:paraId="6F59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75" w:type="pct"/>
            <w:tcMar>
              <w:top w:w="150" w:type="dxa"/>
              <w:left w:w="0" w:type="dxa"/>
              <w:bottom w:w="150" w:type="dxa"/>
              <w:right w:w="240" w:type="dxa"/>
            </w:tcMar>
            <w:vAlign w:val="center"/>
          </w:tcPr>
          <w:p w14:paraId="56E0CEFE">
            <w:pPr>
              <w:pStyle w:val="5"/>
              <w:keepNext w:val="0"/>
              <w:jc w:val="center"/>
              <w:rPr>
                <w:rFonts w:hint="eastAsia" w:ascii="黑体" w:hAnsi="黑体" w:eastAsia="黑体" w:cs="黑体"/>
              </w:rPr>
            </w:pPr>
            <w:r>
              <w:rPr>
                <w:rFonts w:ascii="黑体" w:hAnsi="黑体" w:eastAsia="黑体" w:cs="黑体"/>
              </w:rPr>
              <w:t>数据选用的合理性</w:t>
            </w:r>
          </w:p>
        </w:tc>
        <w:tc>
          <w:tcPr>
            <w:tcW w:w="3624" w:type="pct"/>
            <w:tcMar>
              <w:top w:w="150" w:type="dxa"/>
              <w:left w:w="240" w:type="dxa"/>
              <w:bottom w:w="150" w:type="dxa"/>
              <w:right w:w="0" w:type="dxa"/>
            </w:tcMar>
            <w:vAlign w:val="center"/>
          </w:tcPr>
          <w:p w14:paraId="0971D732">
            <w:pPr>
              <w:pStyle w:val="5"/>
              <w:keepNext w:val="0"/>
            </w:pPr>
            <w:r>
              <w:rPr>
                <w:rFonts w:cs="Times New Roman"/>
              </w:rPr>
              <w:t>N</w:t>
            </w:r>
            <w:r>
              <w:rPr>
                <w:rFonts w:hint="eastAsia" w:cs="Times New Roman"/>
                <w:vertAlign w:val="subscript"/>
                <w:lang w:val="en-US" w:eastAsia="zh-CN"/>
              </w:rPr>
              <w:t>2</w:t>
            </w:r>
            <w:r>
              <w:rPr>
                <w:rFonts w:cs="Times New Roman"/>
              </w:rPr>
              <w:t>O</w:t>
            </w:r>
            <w:r>
              <w:t>是湿地重要温室气体排放源，采用本地排放因子可提高核算准确性</w:t>
            </w:r>
          </w:p>
        </w:tc>
      </w:tr>
      <w:tr w14:paraId="5E23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75" w:type="pct"/>
            <w:tcMar>
              <w:top w:w="150" w:type="dxa"/>
              <w:left w:w="0" w:type="dxa"/>
              <w:bottom w:w="150" w:type="dxa"/>
              <w:right w:w="240" w:type="dxa"/>
            </w:tcMar>
            <w:vAlign w:val="center"/>
          </w:tcPr>
          <w:p w14:paraId="4E5432F8">
            <w:pPr>
              <w:pStyle w:val="5"/>
              <w:keepNext w:val="0"/>
              <w:jc w:val="center"/>
              <w:rPr>
                <w:rFonts w:hint="eastAsia" w:ascii="黑体" w:hAnsi="黑体" w:eastAsia="黑体" w:cs="黑体"/>
              </w:rPr>
            </w:pPr>
            <w:r>
              <w:rPr>
                <w:rFonts w:ascii="黑体" w:hAnsi="黑体" w:eastAsia="黑体" w:cs="黑体"/>
              </w:rPr>
              <w:t>数值（如有）</w:t>
            </w:r>
          </w:p>
        </w:tc>
        <w:tc>
          <w:tcPr>
            <w:tcW w:w="3624" w:type="pct"/>
            <w:tcMar>
              <w:top w:w="150" w:type="dxa"/>
              <w:left w:w="240" w:type="dxa"/>
              <w:bottom w:w="150" w:type="dxa"/>
              <w:right w:w="0" w:type="dxa"/>
            </w:tcMar>
            <w:vAlign w:val="center"/>
          </w:tcPr>
          <w:p w14:paraId="0F3422B2">
            <w:pPr>
              <w:pStyle w:val="5"/>
              <w:keepNext w:val="0"/>
            </w:pPr>
            <w:r>
              <w:t>优先采用南京地区实测值，若无则采用IPCC缺省值</w:t>
            </w:r>
          </w:p>
        </w:tc>
      </w:tr>
      <w:tr w14:paraId="438AC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75" w:type="pct"/>
            <w:tcMar>
              <w:top w:w="150" w:type="dxa"/>
              <w:left w:w="0" w:type="dxa"/>
              <w:bottom w:w="150" w:type="dxa"/>
              <w:right w:w="240" w:type="dxa"/>
            </w:tcMar>
            <w:vAlign w:val="center"/>
          </w:tcPr>
          <w:p w14:paraId="1EC504EE">
            <w:pPr>
              <w:pStyle w:val="5"/>
              <w:keepNext w:val="0"/>
              <w:jc w:val="center"/>
              <w:rPr>
                <w:rFonts w:hint="eastAsia" w:ascii="黑体" w:hAnsi="黑体" w:eastAsia="黑体" w:cs="黑体"/>
              </w:rPr>
            </w:pPr>
            <w:r>
              <w:rPr>
                <w:rFonts w:ascii="黑体" w:hAnsi="黑体" w:eastAsia="黑体" w:cs="黑体"/>
              </w:rPr>
              <w:t>数据用途</w:t>
            </w:r>
          </w:p>
        </w:tc>
        <w:tc>
          <w:tcPr>
            <w:tcW w:w="3624" w:type="pct"/>
            <w:tcMar>
              <w:top w:w="150" w:type="dxa"/>
              <w:left w:w="240" w:type="dxa"/>
              <w:bottom w:w="150" w:type="dxa"/>
              <w:right w:w="0" w:type="dxa"/>
            </w:tcMar>
            <w:vAlign w:val="center"/>
          </w:tcPr>
          <w:p w14:paraId="075ADADB">
            <w:pPr>
              <w:pStyle w:val="5"/>
              <w:keepNext w:val="0"/>
            </w:pPr>
            <w:r>
              <w:t>用于计算基线情景下</w:t>
            </w:r>
            <w:r>
              <w:rPr>
                <w:rFonts w:cs="Times New Roman"/>
              </w:rPr>
              <w:t>N</w:t>
            </w:r>
            <w:r>
              <w:rPr>
                <w:rFonts w:hint="eastAsia" w:cs="Times New Roman"/>
                <w:vertAlign w:val="subscript"/>
                <w:lang w:val="en-US" w:eastAsia="zh-CN"/>
              </w:rPr>
              <w:t>2</w:t>
            </w:r>
            <w:r>
              <w:rPr>
                <w:rFonts w:cs="Times New Roman"/>
              </w:rPr>
              <w:t>O</w:t>
            </w:r>
            <w:r>
              <w:t>排放量</w:t>
            </w:r>
          </w:p>
        </w:tc>
      </w:tr>
      <w:tr w14:paraId="76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375" w:type="pct"/>
            <w:tcMar>
              <w:top w:w="150" w:type="dxa"/>
              <w:left w:w="0" w:type="dxa"/>
              <w:bottom w:w="150" w:type="dxa"/>
              <w:right w:w="240" w:type="dxa"/>
            </w:tcMar>
            <w:vAlign w:val="center"/>
          </w:tcPr>
          <w:p w14:paraId="3DECCB4D">
            <w:pPr>
              <w:pStyle w:val="5"/>
              <w:keepNext w:val="0"/>
              <w:jc w:val="center"/>
              <w:rPr>
                <w:rFonts w:hint="eastAsia" w:ascii="黑体" w:hAnsi="黑体" w:eastAsia="黑体" w:cs="黑体"/>
              </w:rPr>
            </w:pPr>
            <w:r>
              <w:rPr>
                <w:rFonts w:ascii="黑体" w:hAnsi="黑体" w:eastAsia="黑体" w:cs="黑体"/>
              </w:rPr>
              <w:t>备注</w:t>
            </w:r>
          </w:p>
        </w:tc>
        <w:tc>
          <w:tcPr>
            <w:tcW w:w="3624" w:type="pct"/>
            <w:tcMar>
              <w:top w:w="150" w:type="dxa"/>
              <w:left w:w="240" w:type="dxa"/>
              <w:bottom w:w="150" w:type="dxa"/>
              <w:right w:w="0" w:type="dxa"/>
            </w:tcMar>
            <w:vAlign w:val="center"/>
          </w:tcPr>
          <w:p w14:paraId="40401D6B">
            <w:pPr>
              <w:pStyle w:val="5"/>
              <w:keepNext w:val="0"/>
            </w:pPr>
            <w:r>
              <w:t>按湖泊湿地、河流湿地、沼泽湿地</w:t>
            </w:r>
            <w:r>
              <w:rPr>
                <w:rFonts w:hint="eastAsia"/>
                <w:lang w:eastAsia="zh-CN"/>
              </w:rPr>
              <w:t>、</w:t>
            </w:r>
            <w:r>
              <w:rPr>
                <w:rFonts w:hint="eastAsia"/>
                <w:lang w:val="en-US" w:eastAsia="zh-CN"/>
              </w:rPr>
              <w:t>乡村小微湿地</w:t>
            </w:r>
            <w:r>
              <w:t>分别取值</w:t>
            </w:r>
          </w:p>
        </w:tc>
      </w:tr>
    </w:tbl>
    <w:p w14:paraId="2745AA0F">
      <w:pPr>
        <w:pStyle w:val="4"/>
      </w:pPr>
      <w:r>
        <w:t>表1</w:t>
      </w:r>
      <w:r>
        <w:rPr>
          <w:rFonts w:hint="eastAsia"/>
          <w:lang w:val="en-US" w:eastAsia="zh-CN"/>
        </w:rPr>
        <w:t>2</w:t>
      </w:r>
      <w:r>
        <w:t xml:space="preserve"> CH</w:t>
      </w:r>
      <w:r>
        <w:rPr>
          <w:rFonts w:hint="eastAsia"/>
          <w:vertAlign w:val="subscript"/>
          <w:lang w:val="en-US" w:eastAsia="zh-CN"/>
        </w:rPr>
        <w:t>4</w:t>
      </w:r>
      <w:r>
        <w:t>全球增温潜势</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376"/>
        <w:gridCol w:w="5937"/>
      </w:tblGrid>
      <w:tr w14:paraId="7D30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29" w:type="pct"/>
            <w:tcMar>
              <w:top w:w="150" w:type="dxa"/>
              <w:left w:w="0" w:type="dxa"/>
              <w:bottom w:w="150" w:type="dxa"/>
              <w:right w:w="240" w:type="dxa"/>
            </w:tcMar>
            <w:vAlign w:val="center"/>
          </w:tcPr>
          <w:p w14:paraId="3699DB24">
            <w:pPr>
              <w:pStyle w:val="5"/>
              <w:keepNext w:val="0"/>
              <w:jc w:val="center"/>
              <w:rPr>
                <w:rFonts w:hint="eastAsia" w:ascii="黑体" w:hAnsi="黑体" w:eastAsia="黑体" w:cs="黑体"/>
              </w:rPr>
            </w:pPr>
            <w:r>
              <w:rPr>
                <w:rFonts w:ascii="黑体" w:hAnsi="黑体" w:eastAsia="黑体" w:cs="黑体"/>
              </w:rPr>
              <w:t>数据/参数名称</w:t>
            </w:r>
          </w:p>
        </w:tc>
        <w:tc>
          <w:tcPr>
            <w:tcW w:w="3570" w:type="pct"/>
            <w:tcMar>
              <w:top w:w="150" w:type="dxa"/>
              <w:left w:w="240" w:type="dxa"/>
              <w:bottom w:w="150" w:type="dxa"/>
              <w:right w:w="0" w:type="dxa"/>
            </w:tcMar>
            <w:vAlign w:val="center"/>
          </w:tcPr>
          <w:p w14:paraId="4778B7D0">
            <w:pPr>
              <w:pStyle w:val="5"/>
              <w:keepNext w:val="0"/>
            </w:pPr>
            <m:oMathPara>
              <m:oMathParaPr>
                <m:jc m:val="left"/>
              </m:oMathParaPr>
              <m:oMath>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ctrlPr>
                      <w:rPr>
                        <w:rFonts w:ascii="Cambria Math" w:hAnsi="Cambria Math"/>
                      </w:rPr>
                    </m:ctrlPr>
                  </m:sub>
                </m:sSub>
              </m:oMath>
            </m:oMathPara>
          </w:p>
        </w:tc>
      </w:tr>
      <w:tr w14:paraId="2C5B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29" w:type="pct"/>
            <w:tcMar>
              <w:top w:w="150" w:type="dxa"/>
              <w:left w:w="0" w:type="dxa"/>
              <w:bottom w:w="150" w:type="dxa"/>
              <w:right w:w="240" w:type="dxa"/>
            </w:tcMar>
            <w:vAlign w:val="center"/>
          </w:tcPr>
          <w:p w14:paraId="49E5B3A4">
            <w:pPr>
              <w:pStyle w:val="5"/>
              <w:keepNext w:val="0"/>
              <w:jc w:val="center"/>
              <w:rPr>
                <w:rFonts w:hint="eastAsia" w:ascii="黑体" w:hAnsi="黑体" w:eastAsia="黑体" w:cs="黑体"/>
              </w:rPr>
            </w:pPr>
            <w:r>
              <w:rPr>
                <w:rFonts w:ascii="黑体" w:hAnsi="黑体" w:eastAsia="黑体" w:cs="黑体"/>
              </w:rPr>
              <w:t>应用的公式编号</w:t>
            </w:r>
          </w:p>
        </w:tc>
        <w:tc>
          <w:tcPr>
            <w:tcW w:w="3570" w:type="pct"/>
            <w:tcMar>
              <w:top w:w="150" w:type="dxa"/>
              <w:left w:w="240" w:type="dxa"/>
              <w:bottom w:w="150" w:type="dxa"/>
              <w:right w:w="0" w:type="dxa"/>
            </w:tcMar>
            <w:vAlign w:val="center"/>
          </w:tcPr>
          <w:p w14:paraId="0C296D87">
            <w:pPr>
              <w:pStyle w:val="5"/>
              <w:keepNext w:val="0"/>
            </w:pPr>
            <w:r>
              <w:rPr>
                <w:rFonts w:hint="eastAsia"/>
              </w:rPr>
              <w:t>公式（</w:t>
            </w:r>
            <w:r>
              <w:t>5</w:t>
            </w:r>
            <w:r>
              <w:rPr>
                <w:rFonts w:hint="eastAsia"/>
              </w:rPr>
              <w:t>）、公式（</w:t>
            </w:r>
            <w:r>
              <w:t>18</w:t>
            </w:r>
            <w:r>
              <w:rPr>
                <w:rFonts w:hint="eastAsia"/>
              </w:rPr>
              <w:t>）、公式（</w:t>
            </w:r>
            <w:r>
              <w:t>19</w:t>
            </w:r>
            <w:r>
              <w:rPr>
                <w:rFonts w:hint="eastAsia"/>
              </w:rPr>
              <w:t>）</w:t>
            </w:r>
          </w:p>
        </w:tc>
      </w:tr>
      <w:tr w14:paraId="2516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29" w:type="pct"/>
            <w:tcMar>
              <w:top w:w="150" w:type="dxa"/>
              <w:left w:w="0" w:type="dxa"/>
              <w:bottom w:w="150" w:type="dxa"/>
              <w:right w:w="240" w:type="dxa"/>
            </w:tcMar>
            <w:vAlign w:val="center"/>
          </w:tcPr>
          <w:p w14:paraId="4EDAE5F2">
            <w:pPr>
              <w:pStyle w:val="5"/>
              <w:keepNext w:val="0"/>
              <w:jc w:val="center"/>
              <w:rPr>
                <w:rFonts w:hint="eastAsia" w:ascii="黑体" w:hAnsi="黑体" w:eastAsia="黑体" w:cs="黑体"/>
              </w:rPr>
            </w:pPr>
            <w:r>
              <w:rPr>
                <w:rFonts w:ascii="黑体" w:hAnsi="黑体" w:eastAsia="黑体" w:cs="黑体"/>
              </w:rPr>
              <w:t>数据描述</w:t>
            </w:r>
          </w:p>
        </w:tc>
        <w:tc>
          <w:tcPr>
            <w:tcW w:w="3570" w:type="pct"/>
            <w:tcMar>
              <w:top w:w="150" w:type="dxa"/>
              <w:left w:w="240" w:type="dxa"/>
              <w:bottom w:w="150" w:type="dxa"/>
              <w:right w:w="0" w:type="dxa"/>
            </w:tcMar>
            <w:vAlign w:val="center"/>
          </w:tcPr>
          <w:p w14:paraId="3EB44709">
            <w:pPr>
              <w:pStyle w:val="5"/>
              <w:keepNext w:val="0"/>
            </w:pPr>
            <w:r>
              <w:t>CH</w:t>
            </w:r>
            <w:r>
              <w:rPr>
                <w:rFonts w:hint="eastAsia"/>
                <w:vertAlign w:val="subscript"/>
                <w:lang w:val="en-US" w:eastAsia="zh-CN"/>
              </w:rPr>
              <w:t>4</w:t>
            </w:r>
            <w:r>
              <w:t>的全球增温潜势，用于将CH</w:t>
            </w:r>
            <w:r>
              <w:rPr>
                <w:rFonts w:hint="eastAsia"/>
                <w:vertAlign w:val="subscript"/>
                <w:lang w:val="en-US" w:eastAsia="zh-CN"/>
              </w:rPr>
              <w:t>4</w:t>
            </w:r>
            <w:r>
              <w:t>排放量转化为</w:t>
            </w:r>
            <w:r>
              <w:rPr>
                <w:rFonts w:cs="Times New Roman"/>
              </w:rPr>
              <w:t>CO</w:t>
            </w:r>
            <w:r>
              <w:rPr>
                <w:rFonts w:hint="eastAsia" w:cs="Times New Roman"/>
                <w:vertAlign w:val="subscript"/>
                <w:lang w:val="en-US" w:eastAsia="zh-CN"/>
              </w:rPr>
              <w:t>2</w:t>
            </w:r>
            <w:r>
              <w:t>当量</w:t>
            </w:r>
          </w:p>
        </w:tc>
      </w:tr>
      <w:tr w14:paraId="0321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29" w:type="pct"/>
            <w:tcMar>
              <w:top w:w="150" w:type="dxa"/>
              <w:left w:w="0" w:type="dxa"/>
              <w:bottom w:w="150" w:type="dxa"/>
              <w:right w:w="240" w:type="dxa"/>
            </w:tcMar>
            <w:vAlign w:val="center"/>
          </w:tcPr>
          <w:p w14:paraId="583544AB">
            <w:pPr>
              <w:pStyle w:val="5"/>
              <w:keepNext w:val="0"/>
              <w:jc w:val="center"/>
              <w:rPr>
                <w:rFonts w:hint="eastAsia" w:ascii="黑体" w:hAnsi="黑体" w:eastAsia="黑体" w:cs="黑体"/>
              </w:rPr>
            </w:pPr>
            <w:r>
              <w:rPr>
                <w:rFonts w:ascii="黑体" w:hAnsi="黑体" w:eastAsia="黑体" w:cs="黑体"/>
              </w:rPr>
              <w:t>数据单位</w:t>
            </w:r>
          </w:p>
        </w:tc>
        <w:tc>
          <w:tcPr>
            <w:tcW w:w="3570" w:type="pct"/>
            <w:tcMar>
              <w:top w:w="150" w:type="dxa"/>
              <w:left w:w="240" w:type="dxa"/>
              <w:bottom w:w="150" w:type="dxa"/>
              <w:right w:w="0" w:type="dxa"/>
            </w:tcMar>
            <w:vAlign w:val="center"/>
          </w:tcPr>
          <w:p w14:paraId="0E98487D">
            <w:pPr>
              <w:pStyle w:val="5"/>
              <w:keepNext w:val="0"/>
            </w:pPr>
            <w:r>
              <w:t>无量纲</w:t>
            </w:r>
          </w:p>
        </w:tc>
      </w:tr>
      <w:tr w14:paraId="3939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29" w:type="pct"/>
            <w:tcMar>
              <w:top w:w="150" w:type="dxa"/>
              <w:left w:w="0" w:type="dxa"/>
              <w:bottom w:w="150" w:type="dxa"/>
              <w:right w:w="240" w:type="dxa"/>
            </w:tcMar>
            <w:vAlign w:val="center"/>
          </w:tcPr>
          <w:p w14:paraId="3B27AE51">
            <w:pPr>
              <w:pStyle w:val="5"/>
              <w:keepNext w:val="0"/>
              <w:jc w:val="center"/>
              <w:rPr>
                <w:rFonts w:hint="eastAsia" w:ascii="黑体" w:hAnsi="黑体" w:eastAsia="黑体" w:cs="黑体"/>
              </w:rPr>
            </w:pPr>
            <w:r>
              <w:rPr>
                <w:rFonts w:ascii="黑体" w:hAnsi="黑体" w:eastAsia="黑体" w:cs="黑体"/>
              </w:rPr>
              <w:t>数据来源</w:t>
            </w:r>
          </w:p>
        </w:tc>
        <w:tc>
          <w:tcPr>
            <w:tcW w:w="3570" w:type="pct"/>
            <w:tcMar>
              <w:top w:w="150" w:type="dxa"/>
              <w:left w:w="240" w:type="dxa"/>
              <w:bottom w:w="150" w:type="dxa"/>
              <w:right w:w="0" w:type="dxa"/>
            </w:tcMar>
            <w:vAlign w:val="center"/>
          </w:tcPr>
          <w:p w14:paraId="7C57392F">
            <w:pPr>
              <w:pStyle w:val="5"/>
              <w:keepNext w:val="0"/>
            </w:pPr>
            <w:r>
              <w:t>IPCC第六次评估报告（AR6）</w:t>
            </w:r>
          </w:p>
        </w:tc>
      </w:tr>
      <w:tr w14:paraId="23CC2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29" w:type="pct"/>
            <w:tcMar>
              <w:top w:w="150" w:type="dxa"/>
              <w:left w:w="0" w:type="dxa"/>
              <w:bottom w:w="150" w:type="dxa"/>
              <w:right w:w="240" w:type="dxa"/>
            </w:tcMar>
            <w:vAlign w:val="center"/>
          </w:tcPr>
          <w:p w14:paraId="760E26EC">
            <w:pPr>
              <w:pStyle w:val="5"/>
              <w:keepNext w:val="0"/>
              <w:jc w:val="center"/>
              <w:rPr>
                <w:rFonts w:hint="eastAsia" w:ascii="黑体" w:hAnsi="黑体" w:eastAsia="黑体" w:cs="黑体"/>
              </w:rPr>
            </w:pPr>
            <w:r>
              <w:rPr>
                <w:rFonts w:ascii="黑体" w:hAnsi="黑体" w:eastAsia="黑体" w:cs="黑体"/>
              </w:rPr>
              <w:t>数据选用的合理性</w:t>
            </w:r>
          </w:p>
        </w:tc>
        <w:tc>
          <w:tcPr>
            <w:tcW w:w="3570" w:type="pct"/>
            <w:tcMar>
              <w:top w:w="150" w:type="dxa"/>
              <w:left w:w="240" w:type="dxa"/>
              <w:bottom w:w="150" w:type="dxa"/>
              <w:right w:w="0" w:type="dxa"/>
            </w:tcMar>
            <w:vAlign w:val="center"/>
          </w:tcPr>
          <w:p w14:paraId="17F81862">
            <w:pPr>
              <w:pStyle w:val="5"/>
              <w:keepNext w:val="0"/>
            </w:pPr>
            <w:r>
              <w:t>全球增温潜势是国际通用的温室气体折算参数，IPCC AR6为最新评估结果</w:t>
            </w:r>
          </w:p>
        </w:tc>
      </w:tr>
      <w:tr w14:paraId="463A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29" w:type="pct"/>
            <w:tcMar>
              <w:top w:w="150" w:type="dxa"/>
              <w:left w:w="0" w:type="dxa"/>
              <w:bottom w:w="150" w:type="dxa"/>
              <w:right w:w="240" w:type="dxa"/>
            </w:tcMar>
            <w:vAlign w:val="center"/>
          </w:tcPr>
          <w:p w14:paraId="6A6B0696">
            <w:pPr>
              <w:pStyle w:val="5"/>
              <w:keepNext w:val="0"/>
              <w:jc w:val="center"/>
              <w:rPr>
                <w:rFonts w:hint="eastAsia" w:ascii="黑体" w:hAnsi="黑体" w:eastAsia="黑体" w:cs="黑体"/>
              </w:rPr>
            </w:pPr>
            <w:r>
              <w:rPr>
                <w:rFonts w:ascii="黑体" w:hAnsi="黑体" w:eastAsia="黑体" w:cs="黑体"/>
              </w:rPr>
              <w:t>数值（如有）</w:t>
            </w:r>
          </w:p>
        </w:tc>
        <w:tc>
          <w:tcPr>
            <w:tcW w:w="3570" w:type="pct"/>
            <w:tcMar>
              <w:top w:w="150" w:type="dxa"/>
              <w:left w:w="240" w:type="dxa"/>
              <w:bottom w:w="150" w:type="dxa"/>
              <w:right w:w="0" w:type="dxa"/>
            </w:tcMar>
            <w:vAlign w:val="center"/>
          </w:tcPr>
          <w:p w14:paraId="26E8A626">
            <w:pPr>
              <w:pStyle w:val="5"/>
              <w:keepNext w:val="0"/>
            </w:pPr>
            <w:r>
              <w:t>27.9</w:t>
            </w:r>
          </w:p>
        </w:tc>
      </w:tr>
      <w:tr w14:paraId="3E090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29" w:type="pct"/>
            <w:tcMar>
              <w:top w:w="150" w:type="dxa"/>
              <w:left w:w="0" w:type="dxa"/>
              <w:bottom w:w="150" w:type="dxa"/>
              <w:right w:w="240" w:type="dxa"/>
            </w:tcMar>
            <w:vAlign w:val="center"/>
          </w:tcPr>
          <w:p w14:paraId="58805A59">
            <w:pPr>
              <w:pStyle w:val="5"/>
              <w:keepNext w:val="0"/>
              <w:jc w:val="center"/>
              <w:rPr>
                <w:rFonts w:hint="eastAsia" w:ascii="黑体" w:hAnsi="黑体" w:eastAsia="黑体" w:cs="黑体"/>
              </w:rPr>
            </w:pPr>
            <w:r>
              <w:rPr>
                <w:rFonts w:ascii="黑体" w:hAnsi="黑体" w:eastAsia="黑体" w:cs="黑体"/>
              </w:rPr>
              <w:t>数据用途</w:t>
            </w:r>
          </w:p>
        </w:tc>
        <w:tc>
          <w:tcPr>
            <w:tcW w:w="3570" w:type="pct"/>
            <w:tcMar>
              <w:top w:w="150" w:type="dxa"/>
              <w:left w:w="240" w:type="dxa"/>
              <w:bottom w:w="150" w:type="dxa"/>
              <w:right w:w="0" w:type="dxa"/>
            </w:tcMar>
            <w:vAlign w:val="center"/>
          </w:tcPr>
          <w:p w14:paraId="4F16F02F">
            <w:pPr>
              <w:pStyle w:val="5"/>
              <w:keepNext w:val="0"/>
            </w:pPr>
            <w:r>
              <w:t>将CH</w:t>
            </w:r>
            <w:r>
              <w:rPr>
                <w:rFonts w:hint="eastAsia"/>
                <w:vertAlign w:val="subscript"/>
                <w:lang w:val="en-US" w:eastAsia="zh-CN"/>
              </w:rPr>
              <w:t>4</w:t>
            </w:r>
            <w:r>
              <w:t>排放量转化为</w:t>
            </w:r>
            <w:r>
              <w:rPr>
                <w:rFonts w:cs="Times New Roman"/>
              </w:rPr>
              <w:t>CO</w:t>
            </w:r>
            <w:r>
              <w:rPr>
                <w:rFonts w:hint="eastAsia" w:cs="Times New Roman"/>
                <w:vertAlign w:val="subscript"/>
                <w:lang w:val="en-US" w:eastAsia="zh-CN"/>
              </w:rPr>
              <w:t>2</w:t>
            </w:r>
            <w:r>
              <w:t>当量</w:t>
            </w:r>
          </w:p>
        </w:tc>
      </w:tr>
      <w:tr w14:paraId="39FFF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29" w:type="pct"/>
            <w:tcMar>
              <w:top w:w="150" w:type="dxa"/>
              <w:left w:w="0" w:type="dxa"/>
              <w:bottom w:w="150" w:type="dxa"/>
              <w:right w:w="240" w:type="dxa"/>
            </w:tcMar>
            <w:vAlign w:val="center"/>
          </w:tcPr>
          <w:p w14:paraId="7C09F6F9">
            <w:pPr>
              <w:pStyle w:val="5"/>
              <w:keepNext w:val="0"/>
              <w:jc w:val="center"/>
              <w:rPr>
                <w:rFonts w:hint="eastAsia" w:ascii="黑体" w:hAnsi="黑体" w:eastAsia="黑体" w:cs="黑体"/>
              </w:rPr>
            </w:pPr>
            <w:r>
              <w:rPr>
                <w:rFonts w:ascii="黑体" w:hAnsi="黑体" w:eastAsia="黑体" w:cs="黑体"/>
              </w:rPr>
              <w:t>备注</w:t>
            </w:r>
          </w:p>
        </w:tc>
        <w:tc>
          <w:tcPr>
            <w:tcW w:w="3570" w:type="pct"/>
            <w:tcMar>
              <w:top w:w="150" w:type="dxa"/>
              <w:left w:w="240" w:type="dxa"/>
              <w:bottom w:w="150" w:type="dxa"/>
              <w:right w:w="0" w:type="dxa"/>
            </w:tcMar>
            <w:vAlign w:val="center"/>
          </w:tcPr>
          <w:p w14:paraId="25549C61">
            <w:pPr>
              <w:pStyle w:val="5"/>
              <w:keepNext w:val="0"/>
            </w:pPr>
            <w:r>
              <w:t>如IPCC发布更新数值，以最新版本为准</w:t>
            </w:r>
          </w:p>
        </w:tc>
      </w:tr>
    </w:tbl>
    <w:p w14:paraId="2C41671E">
      <w:pPr>
        <w:pStyle w:val="4"/>
      </w:pPr>
      <w:r>
        <w:t>表1</w:t>
      </w:r>
      <w:r>
        <w:rPr>
          <w:rFonts w:hint="eastAsia"/>
          <w:lang w:val="en-US" w:eastAsia="zh-CN"/>
        </w:rPr>
        <w:t>3</w:t>
      </w:r>
      <w:r>
        <w:rPr>
          <w:rFonts w:cs="Times New Roman"/>
        </w:rPr>
        <w:t>N</w:t>
      </w:r>
      <w:r>
        <w:rPr>
          <w:rFonts w:hint="eastAsia" w:cs="Times New Roman"/>
          <w:vertAlign w:val="subscript"/>
          <w:lang w:val="en-US" w:eastAsia="zh-CN"/>
        </w:rPr>
        <w:t>2</w:t>
      </w:r>
      <w:r>
        <w:rPr>
          <w:rFonts w:cs="Times New Roman"/>
        </w:rPr>
        <w:t>O</w:t>
      </w:r>
      <w:r>
        <w:t>全球增温潜势</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372"/>
        <w:gridCol w:w="5943"/>
      </w:tblGrid>
      <w:tr w14:paraId="420CD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372" w:type="dxa"/>
            <w:tcMar>
              <w:top w:w="150" w:type="dxa"/>
              <w:left w:w="0" w:type="dxa"/>
              <w:bottom w:w="150" w:type="dxa"/>
              <w:right w:w="240" w:type="dxa"/>
            </w:tcMar>
            <w:vAlign w:val="center"/>
          </w:tcPr>
          <w:p w14:paraId="641DA551">
            <w:pPr>
              <w:pStyle w:val="5"/>
              <w:keepNext w:val="0"/>
              <w:jc w:val="center"/>
              <w:rPr>
                <w:rFonts w:hint="eastAsia" w:ascii="黑体" w:hAnsi="黑体" w:eastAsia="黑体" w:cs="黑体"/>
              </w:rPr>
            </w:pPr>
            <w:r>
              <w:rPr>
                <w:rFonts w:ascii="黑体" w:hAnsi="黑体" w:eastAsia="黑体" w:cs="黑体"/>
              </w:rPr>
              <w:t>数据/参数名称</w:t>
            </w:r>
          </w:p>
        </w:tc>
        <w:tc>
          <w:tcPr>
            <w:tcW w:w="5943" w:type="dxa"/>
            <w:tcMar>
              <w:top w:w="150" w:type="dxa"/>
              <w:left w:w="240" w:type="dxa"/>
              <w:bottom w:w="150" w:type="dxa"/>
              <w:right w:w="0" w:type="dxa"/>
            </w:tcMar>
            <w:vAlign w:val="center"/>
          </w:tcPr>
          <w:p w14:paraId="605BEFD6">
            <w:pPr>
              <w:pStyle w:val="5"/>
              <w:keepNext w:val="0"/>
            </w:pPr>
            <m:oMathPara>
              <m:oMathParaPr>
                <m:jc m:val="left"/>
              </m:oMathParaPr>
              <m:oMath>
                <m:sSub>
                  <m:sSubPr>
                    <m:ctrlPr>
                      <w:rPr>
                        <w:rFonts w:ascii="Cambria Math" w:hAnsi="Cambria Math"/>
                      </w:rPr>
                    </m:ctrlPr>
                  </m:sSubPr>
                  <m:e>
                    <m:r>
                      <m:rPr>
                        <m:sty m:val="p"/>
                      </m:rPr>
                      <w:rPr>
                        <w:rFonts w:ascii="Cambria Math" w:hAnsi="Cambria Math"/>
                      </w:rPr>
                      <m:t>GWP</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ctrlPr>
                      <w:rPr>
                        <w:rFonts w:ascii="Cambria Math" w:hAnsi="Cambria Math"/>
                      </w:rPr>
                    </m:ctrlPr>
                  </m:sub>
                </m:sSub>
              </m:oMath>
            </m:oMathPara>
          </w:p>
        </w:tc>
      </w:tr>
      <w:tr w14:paraId="1DF0D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372" w:type="dxa"/>
            <w:tcMar>
              <w:top w:w="150" w:type="dxa"/>
              <w:left w:w="0" w:type="dxa"/>
              <w:bottom w:w="150" w:type="dxa"/>
              <w:right w:w="240" w:type="dxa"/>
            </w:tcMar>
            <w:vAlign w:val="center"/>
          </w:tcPr>
          <w:p w14:paraId="016D83F9">
            <w:pPr>
              <w:pStyle w:val="5"/>
              <w:keepNext w:val="0"/>
              <w:jc w:val="center"/>
              <w:rPr>
                <w:rFonts w:hint="eastAsia" w:ascii="黑体" w:hAnsi="黑体" w:eastAsia="黑体" w:cs="黑体"/>
              </w:rPr>
            </w:pPr>
            <w:r>
              <w:rPr>
                <w:rFonts w:ascii="黑体" w:hAnsi="黑体" w:eastAsia="黑体" w:cs="黑体"/>
              </w:rPr>
              <w:t>应用的公式编号</w:t>
            </w:r>
          </w:p>
        </w:tc>
        <w:tc>
          <w:tcPr>
            <w:tcW w:w="5943" w:type="dxa"/>
            <w:tcMar>
              <w:top w:w="150" w:type="dxa"/>
              <w:left w:w="240" w:type="dxa"/>
              <w:bottom w:w="150" w:type="dxa"/>
              <w:right w:w="0" w:type="dxa"/>
            </w:tcMar>
            <w:vAlign w:val="center"/>
          </w:tcPr>
          <w:p w14:paraId="616C972F">
            <w:pPr>
              <w:pStyle w:val="5"/>
              <w:keepNext w:val="0"/>
            </w:pPr>
            <w:r>
              <w:t>公式（5）、公式（18）、公式（19）</w:t>
            </w:r>
          </w:p>
        </w:tc>
      </w:tr>
      <w:tr w14:paraId="3660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372" w:type="dxa"/>
            <w:tcMar>
              <w:top w:w="150" w:type="dxa"/>
              <w:left w:w="0" w:type="dxa"/>
              <w:bottom w:w="150" w:type="dxa"/>
              <w:right w:w="240" w:type="dxa"/>
            </w:tcMar>
            <w:vAlign w:val="center"/>
          </w:tcPr>
          <w:p w14:paraId="3C0D0275">
            <w:pPr>
              <w:pStyle w:val="5"/>
              <w:keepNext w:val="0"/>
              <w:jc w:val="center"/>
              <w:rPr>
                <w:rFonts w:hint="eastAsia" w:ascii="黑体" w:hAnsi="黑体" w:eastAsia="黑体" w:cs="黑体"/>
              </w:rPr>
            </w:pPr>
            <w:r>
              <w:rPr>
                <w:rFonts w:ascii="黑体" w:hAnsi="黑体" w:eastAsia="黑体" w:cs="黑体"/>
              </w:rPr>
              <w:t>数据描述</w:t>
            </w:r>
          </w:p>
        </w:tc>
        <w:tc>
          <w:tcPr>
            <w:tcW w:w="5943" w:type="dxa"/>
            <w:tcMar>
              <w:top w:w="150" w:type="dxa"/>
              <w:left w:w="240" w:type="dxa"/>
              <w:bottom w:w="150" w:type="dxa"/>
              <w:right w:w="0" w:type="dxa"/>
            </w:tcMar>
            <w:vAlign w:val="center"/>
          </w:tcPr>
          <w:p w14:paraId="5A241C57">
            <w:pPr>
              <w:pStyle w:val="5"/>
              <w:keepNext w:val="0"/>
            </w:pPr>
            <w:r>
              <w:rPr>
                <w:rFonts w:cs="Times New Roman"/>
              </w:rPr>
              <w:t>N</w:t>
            </w:r>
            <w:r>
              <w:rPr>
                <w:rFonts w:hint="eastAsia" w:cs="Times New Roman"/>
                <w:vertAlign w:val="subscript"/>
                <w:lang w:val="en-US" w:eastAsia="zh-CN"/>
              </w:rPr>
              <w:t>2</w:t>
            </w:r>
            <w:r>
              <w:rPr>
                <w:rFonts w:cs="Times New Roman"/>
              </w:rPr>
              <w:t>O</w:t>
            </w:r>
            <w:r>
              <w:t>的全球增温潜势，用于将</w:t>
            </w:r>
            <w:r>
              <w:rPr>
                <w:rFonts w:cs="Times New Roman"/>
              </w:rPr>
              <w:t>N</w:t>
            </w:r>
            <w:r>
              <w:rPr>
                <w:rFonts w:hint="eastAsia" w:cs="Times New Roman"/>
                <w:vertAlign w:val="subscript"/>
                <w:lang w:val="en-US" w:eastAsia="zh-CN"/>
              </w:rPr>
              <w:t>2</w:t>
            </w:r>
            <w:r>
              <w:rPr>
                <w:rFonts w:cs="Times New Roman"/>
              </w:rPr>
              <w:t>O</w:t>
            </w:r>
            <w:r>
              <w:t>排放量转化为</w:t>
            </w:r>
            <w:r>
              <w:rPr>
                <w:rFonts w:cs="Times New Roman"/>
              </w:rPr>
              <w:t>CO</w:t>
            </w:r>
            <w:r>
              <w:rPr>
                <w:rFonts w:hint="eastAsia" w:cs="Times New Roman"/>
                <w:vertAlign w:val="subscript"/>
                <w:lang w:val="en-US" w:eastAsia="zh-CN"/>
              </w:rPr>
              <w:t>2</w:t>
            </w:r>
            <w:r>
              <w:t>当量</w:t>
            </w:r>
          </w:p>
        </w:tc>
      </w:tr>
      <w:tr w14:paraId="3636D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372" w:type="dxa"/>
            <w:tcMar>
              <w:top w:w="150" w:type="dxa"/>
              <w:left w:w="0" w:type="dxa"/>
              <w:bottom w:w="150" w:type="dxa"/>
              <w:right w:w="240" w:type="dxa"/>
            </w:tcMar>
            <w:vAlign w:val="center"/>
          </w:tcPr>
          <w:p w14:paraId="22C3C5F8">
            <w:pPr>
              <w:pStyle w:val="5"/>
              <w:keepNext w:val="0"/>
              <w:jc w:val="center"/>
              <w:rPr>
                <w:rFonts w:hint="eastAsia" w:ascii="黑体" w:hAnsi="黑体" w:eastAsia="黑体" w:cs="黑体"/>
              </w:rPr>
            </w:pPr>
            <w:r>
              <w:rPr>
                <w:rFonts w:ascii="黑体" w:hAnsi="黑体" w:eastAsia="黑体" w:cs="黑体"/>
              </w:rPr>
              <w:t>数据单位</w:t>
            </w:r>
          </w:p>
        </w:tc>
        <w:tc>
          <w:tcPr>
            <w:tcW w:w="5943" w:type="dxa"/>
            <w:tcMar>
              <w:top w:w="150" w:type="dxa"/>
              <w:left w:w="240" w:type="dxa"/>
              <w:bottom w:w="150" w:type="dxa"/>
              <w:right w:w="0" w:type="dxa"/>
            </w:tcMar>
            <w:vAlign w:val="center"/>
          </w:tcPr>
          <w:p w14:paraId="4B8E8952">
            <w:pPr>
              <w:pStyle w:val="5"/>
              <w:keepNext w:val="0"/>
            </w:pPr>
            <w:r>
              <w:t>无量纲</w:t>
            </w:r>
          </w:p>
        </w:tc>
      </w:tr>
      <w:tr w14:paraId="27A5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372" w:type="dxa"/>
            <w:tcMar>
              <w:top w:w="150" w:type="dxa"/>
              <w:left w:w="0" w:type="dxa"/>
              <w:bottom w:w="150" w:type="dxa"/>
              <w:right w:w="240" w:type="dxa"/>
            </w:tcMar>
            <w:vAlign w:val="center"/>
          </w:tcPr>
          <w:p w14:paraId="716AD278">
            <w:pPr>
              <w:pStyle w:val="5"/>
              <w:keepNext w:val="0"/>
              <w:jc w:val="center"/>
              <w:rPr>
                <w:rFonts w:hint="eastAsia" w:ascii="黑体" w:hAnsi="黑体" w:eastAsia="黑体" w:cs="黑体"/>
              </w:rPr>
            </w:pPr>
            <w:r>
              <w:rPr>
                <w:rFonts w:ascii="黑体" w:hAnsi="黑体" w:eastAsia="黑体" w:cs="黑体"/>
              </w:rPr>
              <w:t>数据来源</w:t>
            </w:r>
          </w:p>
        </w:tc>
        <w:tc>
          <w:tcPr>
            <w:tcW w:w="5943" w:type="dxa"/>
            <w:tcMar>
              <w:top w:w="150" w:type="dxa"/>
              <w:left w:w="240" w:type="dxa"/>
              <w:bottom w:w="150" w:type="dxa"/>
              <w:right w:w="0" w:type="dxa"/>
            </w:tcMar>
            <w:vAlign w:val="center"/>
          </w:tcPr>
          <w:p w14:paraId="2A194CD7">
            <w:pPr>
              <w:pStyle w:val="5"/>
              <w:keepNext w:val="0"/>
            </w:pPr>
            <w:r>
              <w:t>IPCC第六次评估报告（AR6）</w:t>
            </w:r>
          </w:p>
        </w:tc>
      </w:tr>
      <w:tr w14:paraId="5BE6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372" w:type="dxa"/>
            <w:tcMar>
              <w:top w:w="150" w:type="dxa"/>
              <w:left w:w="0" w:type="dxa"/>
              <w:bottom w:w="150" w:type="dxa"/>
              <w:right w:w="240" w:type="dxa"/>
            </w:tcMar>
            <w:vAlign w:val="center"/>
          </w:tcPr>
          <w:p w14:paraId="1945B7A4">
            <w:pPr>
              <w:pStyle w:val="5"/>
              <w:keepNext w:val="0"/>
              <w:jc w:val="center"/>
              <w:rPr>
                <w:rFonts w:hint="eastAsia" w:ascii="黑体" w:hAnsi="黑体" w:eastAsia="黑体" w:cs="黑体"/>
              </w:rPr>
            </w:pPr>
            <w:r>
              <w:rPr>
                <w:rFonts w:ascii="黑体" w:hAnsi="黑体" w:eastAsia="黑体" w:cs="黑体"/>
              </w:rPr>
              <w:t>数据选用的合理性</w:t>
            </w:r>
          </w:p>
        </w:tc>
        <w:tc>
          <w:tcPr>
            <w:tcW w:w="5943" w:type="dxa"/>
            <w:tcMar>
              <w:top w:w="150" w:type="dxa"/>
              <w:left w:w="240" w:type="dxa"/>
              <w:bottom w:w="150" w:type="dxa"/>
              <w:right w:w="0" w:type="dxa"/>
            </w:tcMar>
            <w:vAlign w:val="center"/>
          </w:tcPr>
          <w:p w14:paraId="22A2D58A">
            <w:pPr>
              <w:pStyle w:val="5"/>
              <w:keepNext w:val="0"/>
            </w:pPr>
            <w:r>
              <w:t>全球增温潜势是国际通用的温室气体折算参数，IPCC AR6为最新评估结果</w:t>
            </w:r>
          </w:p>
        </w:tc>
      </w:tr>
      <w:tr w14:paraId="3763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372" w:type="dxa"/>
            <w:tcMar>
              <w:top w:w="150" w:type="dxa"/>
              <w:left w:w="0" w:type="dxa"/>
              <w:bottom w:w="150" w:type="dxa"/>
              <w:right w:w="240" w:type="dxa"/>
            </w:tcMar>
            <w:vAlign w:val="center"/>
          </w:tcPr>
          <w:p w14:paraId="3ED8CB70">
            <w:pPr>
              <w:pStyle w:val="5"/>
              <w:keepNext w:val="0"/>
              <w:jc w:val="center"/>
              <w:rPr>
                <w:rFonts w:hint="eastAsia" w:ascii="黑体" w:hAnsi="黑体" w:eastAsia="黑体" w:cs="黑体"/>
              </w:rPr>
            </w:pPr>
            <w:r>
              <w:rPr>
                <w:rFonts w:ascii="黑体" w:hAnsi="黑体" w:eastAsia="黑体" w:cs="黑体"/>
              </w:rPr>
              <w:t>数值（如有）</w:t>
            </w:r>
          </w:p>
        </w:tc>
        <w:tc>
          <w:tcPr>
            <w:tcW w:w="5943" w:type="dxa"/>
            <w:tcMar>
              <w:top w:w="150" w:type="dxa"/>
              <w:left w:w="240" w:type="dxa"/>
              <w:bottom w:w="150" w:type="dxa"/>
              <w:right w:w="0" w:type="dxa"/>
            </w:tcMar>
            <w:vAlign w:val="center"/>
          </w:tcPr>
          <w:p w14:paraId="1E016A98">
            <w:pPr>
              <w:pStyle w:val="5"/>
              <w:keepNext w:val="0"/>
            </w:pPr>
            <w:r>
              <w:t>273</w:t>
            </w:r>
          </w:p>
        </w:tc>
      </w:tr>
      <w:tr w14:paraId="6C180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372" w:type="dxa"/>
            <w:tcMar>
              <w:top w:w="150" w:type="dxa"/>
              <w:left w:w="0" w:type="dxa"/>
              <w:bottom w:w="150" w:type="dxa"/>
              <w:right w:w="240" w:type="dxa"/>
            </w:tcMar>
            <w:vAlign w:val="center"/>
          </w:tcPr>
          <w:p w14:paraId="6FEBD7A3">
            <w:pPr>
              <w:pStyle w:val="5"/>
              <w:keepNext w:val="0"/>
              <w:jc w:val="center"/>
              <w:rPr>
                <w:rFonts w:hint="eastAsia" w:ascii="黑体" w:hAnsi="黑体" w:eastAsia="黑体" w:cs="黑体"/>
              </w:rPr>
            </w:pPr>
            <w:r>
              <w:rPr>
                <w:rFonts w:ascii="黑体" w:hAnsi="黑体" w:eastAsia="黑体" w:cs="黑体"/>
              </w:rPr>
              <w:t>数据用途</w:t>
            </w:r>
          </w:p>
        </w:tc>
        <w:tc>
          <w:tcPr>
            <w:tcW w:w="5943" w:type="dxa"/>
            <w:tcMar>
              <w:top w:w="150" w:type="dxa"/>
              <w:left w:w="240" w:type="dxa"/>
              <w:bottom w:w="150" w:type="dxa"/>
              <w:right w:w="0" w:type="dxa"/>
            </w:tcMar>
            <w:vAlign w:val="center"/>
          </w:tcPr>
          <w:p w14:paraId="45BC83C6">
            <w:pPr>
              <w:pStyle w:val="5"/>
              <w:keepNext w:val="0"/>
            </w:pPr>
            <w:r>
              <w:t>将</w:t>
            </w:r>
            <w:r>
              <w:rPr>
                <w:rFonts w:cs="Times New Roman"/>
              </w:rPr>
              <w:t>N</w:t>
            </w:r>
            <w:r>
              <w:rPr>
                <w:rFonts w:hint="eastAsia" w:cs="Times New Roman"/>
                <w:vertAlign w:val="subscript"/>
                <w:lang w:val="en-US" w:eastAsia="zh-CN"/>
              </w:rPr>
              <w:t>2</w:t>
            </w:r>
            <w:r>
              <w:rPr>
                <w:rFonts w:cs="Times New Roman"/>
              </w:rPr>
              <w:t>O</w:t>
            </w:r>
            <w:r>
              <w:t>排放量转化为</w:t>
            </w:r>
            <w:r>
              <w:rPr>
                <w:rFonts w:cs="Times New Roman"/>
              </w:rPr>
              <w:t>CO</w:t>
            </w:r>
            <w:r>
              <w:rPr>
                <w:rFonts w:hint="eastAsia" w:cs="Times New Roman"/>
                <w:vertAlign w:val="subscript"/>
                <w:lang w:val="en-US" w:eastAsia="zh-CN"/>
              </w:rPr>
              <w:t>2</w:t>
            </w:r>
            <w:r>
              <w:t>当量</w:t>
            </w:r>
          </w:p>
        </w:tc>
      </w:tr>
      <w:tr w14:paraId="1D5AE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372" w:type="dxa"/>
            <w:tcMar>
              <w:top w:w="150" w:type="dxa"/>
              <w:left w:w="0" w:type="dxa"/>
              <w:bottom w:w="150" w:type="dxa"/>
              <w:right w:w="240" w:type="dxa"/>
            </w:tcMar>
            <w:vAlign w:val="center"/>
          </w:tcPr>
          <w:p w14:paraId="715CE288">
            <w:pPr>
              <w:pStyle w:val="5"/>
              <w:keepNext w:val="0"/>
              <w:jc w:val="center"/>
              <w:rPr>
                <w:rFonts w:hint="eastAsia" w:ascii="黑体" w:hAnsi="黑体" w:eastAsia="黑体" w:cs="黑体"/>
              </w:rPr>
            </w:pPr>
            <w:r>
              <w:rPr>
                <w:rFonts w:ascii="黑体" w:hAnsi="黑体" w:eastAsia="黑体" w:cs="黑体"/>
              </w:rPr>
              <w:t>备注</w:t>
            </w:r>
          </w:p>
        </w:tc>
        <w:tc>
          <w:tcPr>
            <w:tcW w:w="5943" w:type="dxa"/>
            <w:tcMar>
              <w:top w:w="150" w:type="dxa"/>
              <w:left w:w="240" w:type="dxa"/>
              <w:bottom w:w="150" w:type="dxa"/>
              <w:right w:w="0" w:type="dxa"/>
            </w:tcMar>
            <w:vAlign w:val="center"/>
          </w:tcPr>
          <w:p w14:paraId="136B7B03">
            <w:pPr>
              <w:pStyle w:val="5"/>
              <w:keepNext w:val="0"/>
            </w:pPr>
            <w:r>
              <w:t>如IPCC发布更新数值，以最新版本为准</w:t>
            </w:r>
          </w:p>
        </w:tc>
      </w:tr>
    </w:tbl>
    <w:p w14:paraId="42AE571B">
      <w:pPr>
        <w:pStyle w:val="4"/>
      </w:pPr>
      <w:r>
        <w:t>表1</w:t>
      </w:r>
      <w:r>
        <w:rPr>
          <w:rFonts w:hint="eastAsia"/>
          <w:lang w:val="en-US" w:eastAsia="zh-CN"/>
        </w:rPr>
        <w:t>4</w:t>
      </w:r>
      <w:r>
        <w:t xml:space="preserve"> 碳转化为二氧化碳折算系数</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448"/>
        <w:gridCol w:w="5865"/>
      </w:tblGrid>
      <w:tr w14:paraId="2A1AB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72" w:type="pct"/>
            <w:tcMar>
              <w:top w:w="150" w:type="dxa"/>
              <w:left w:w="0" w:type="dxa"/>
              <w:bottom w:w="150" w:type="dxa"/>
              <w:right w:w="240" w:type="dxa"/>
            </w:tcMar>
            <w:vAlign w:val="center"/>
          </w:tcPr>
          <w:p w14:paraId="35506DEB">
            <w:pPr>
              <w:pStyle w:val="5"/>
              <w:keepNext w:val="0"/>
              <w:jc w:val="center"/>
              <w:rPr>
                <w:rFonts w:hint="eastAsia" w:ascii="黑体" w:hAnsi="黑体" w:eastAsia="黑体" w:cs="黑体"/>
              </w:rPr>
            </w:pPr>
            <w:r>
              <w:rPr>
                <w:rFonts w:ascii="黑体" w:hAnsi="黑体" w:eastAsia="黑体" w:cs="黑体"/>
              </w:rPr>
              <w:t>数据/参数名称</w:t>
            </w:r>
          </w:p>
        </w:tc>
        <w:tc>
          <w:tcPr>
            <w:tcW w:w="3527" w:type="pct"/>
            <w:tcMar>
              <w:top w:w="150" w:type="dxa"/>
              <w:left w:w="240" w:type="dxa"/>
              <w:bottom w:w="150" w:type="dxa"/>
              <w:right w:w="0" w:type="dxa"/>
            </w:tcMar>
            <w:vAlign w:val="center"/>
          </w:tcPr>
          <w:p w14:paraId="6995924E">
            <w:pPr>
              <w:pStyle w:val="5"/>
              <w:keepNext w:val="0"/>
            </w:pPr>
            <w:r>
              <w:t>44/12</w:t>
            </w:r>
          </w:p>
        </w:tc>
      </w:tr>
      <w:tr w14:paraId="3A53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72" w:type="pct"/>
            <w:tcMar>
              <w:top w:w="150" w:type="dxa"/>
              <w:left w:w="0" w:type="dxa"/>
              <w:bottom w:w="150" w:type="dxa"/>
              <w:right w:w="240" w:type="dxa"/>
            </w:tcMar>
            <w:vAlign w:val="center"/>
          </w:tcPr>
          <w:p w14:paraId="5D8D1C26">
            <w:pPr>
              <w:pStyle w:val="5"/>
              <w:keepNext w:val="0"/>
              <w:jc w:val="center"/>
              <w:rPr>
                <w:rFonts w:hint="eastAsia" w:ascii="黑体" w:hAnsi="黑体" w:eastAsia="黑体" w:cs="黑体"/>
              </w:rPr>
            </w:pPr>
            <w:r>
              <w:rPr>
                <w:rFonts w:ascii="黑体" w:hAnsi="黑体" w:eastAsia="黑体" w:cs="黑体"/>
              </w:rPr>
              <w:t>应用的公式编号</w:t>
            </w:r>
          </w:p>
        </w:tc>
        <w:tc>
          <w:tcPr>
            <w:tcW w:w="3527" w:type="pct"/>
            <w:tcMar>
              <w:top w:w="150" w:type="dxa"/>
              <w:left w:w="240" w:type="dxa"/>
              <w:bottom w:w="150" w:type="dxa"/>
              <w:right w:w="0" w:type="dxa"/>
            </w:tcMar>
            <w:vAlign w:val="center"/>
          </w:tcPr>
          <w:p w14:paraId="097DCDFA">
            <w:pPr>
              <w:pStyle w:val="5"/>
              <w:keepNext w:val="0"/>
            </w:pPr>
            <w:r>
              <w:t>公式（1）、公式（6）、公式（7）、公式（8）、公式（9）、公式（10）、公式（11）、公式（12）、公式（13）</w:t>
            </w:r>
            <w:r>
              <w:rPr>
                <w:rFonts w:hint="eastAsia"/>
              </w:rPr>
              <w:t>、</w:t>
            </w:r>
            <w:r>
              <w:t>公式（15）、公式（16）</w:t>
            </w:r>
          </w:p>
        </w:tc>
      </w:tr>
      <w:tr w14:paraId="6B355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72" w:type="pct"/>
            <w:tcMar>
              <w:top w:w="150" w:type="dxa"/>
              <w:left w:w="0" w:type="dxa"/>
              <w:bottom w:w="150" w:type="dxa"/>
              <w:right w:w="240" w:type="dxa"/>
            </w:tcMar>
            <w:vAlign w:val="center"/>
          </w:tcPr>
          <w:p w14:paraId="3530D1D8">
            <w:pPr>
              <w:pStyle w:val="5"/>
              <w:keepNext w:val="0"/>
              <w:jc w:val="center"/>
              <w:rPr>
                <w:rFonts w:hint="eastAsia" w:ascii="黑体" w:hAnsi="黑体" w:eastAsia="黑体" w:cs="黑体"/>
              </w:rPr>
            </w:pPr>
            <w:r>
              <w:rPr>
                <w:rFonts w:ascii="黑体" w:hAnsi="黑体" w:eastAsia="黑体" w:cs="黑体"/>
              </w:rPr>
              <w:t>数据描述</w:t>
            </w:r>
          </w:p>
        </w:tc>
        <w:tc>
          <w:tcPr>
            <w:tcW w:w="3527" w:type="pct"/>
            <w:tcMar>
              <w:top w:w="150" w:type="dxa"/>
              <w:left w:w="240" w:type="dxa"/>
              <w:bottom w:w="150" w:type="dxa"/>
              <w:right w:w="0" w:type="dxa"/>
            </w:tcMar>
            <w:vAlign w:val="center"/>
          </w:tcPr>
          <w:p w14:paraId="2CEF1640">
            <w:pPr>
              <w:pStyle w:val="5"/>
              <w:keepNext w:val="0"/>
            </w:pPr>
            <w:r>
              <w:t>碳（C）转化为二氧化碳（</w:t>
            </w:r>
            <w:r>
              <w:rPr>
                <w:rFonts w:cs="Times New Roman"/>
              </w:rPr>
              <w:t>CO</w:t>
            </w:r>
            <w:r>
              <w:rPr>
                <w:rFonts w:hint="eastAsia" w:cs="Times New Roman"/>
                <w:vertAlign w:val="subscript"/>
                <w:lang w:val="en-US" w:eastAsia="zh-CN"/>
              </w:rPr>
              <w:t>2</w:t>
            </w:r>
            <w:r>
              <w:t>）的当量折算固定系数</w:t>
            </w:r>
          </w:p>
        </w:tc>
      </w:tr>
      <w:tr w14:paraId="0CAB7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72" w:type="pct"/>
            <w:tcMar>
              <w:top w:w="150" w:type="dxa"/>
              <w:left w:w="0" w:type="dxa"/>
              <w:bottom w:w="150" w:type="dxa"/>
              <w:right w:w="240" w:type="dxa"/>
            </w:tcMar>
            <w:vAlign w:val="center"/>
          </w:tcPr>
          <w:p w14:paraId="77CC06E0">
            <w:pPr>
              <w:pStyle w:val="5"/>
              <w:keepNext w:val="0"/>
              <w:jc w:val="center"/>
              <w:rPr>
                <w:rFonts w:hint="eastAsia" w:ascii="黑体" w:hAnsi="黑体" w:eastAsia="黑体" w:cs="黑体"/>
              </w:rPr>
            </w:pPr>
            <w:r>
              <w:rPr>
                <w:rFonts w:ascii="黑体" w:hAnsi="黑体" w:eastAsia="黑体" w:cs="黑体"/>
              </w:rPr>
              <w:t>数据单位</w:t>
            </w:r>
          </w:p>
        </w:tc>
        <w:tc>
          <w:tcPr>
            <w:tcW w:w="3527" w:type="pct"/>
            <w:tcMar>
              <w:top w:w="150" w:type="dxa"/>
              <w:left w:w="240" w:type="dxa"/>
              <w:bottom w:w="150" w:type="dxa"/>
              <w:right w:w="0" w:type="dxa"/>
            </w:tcMar>
            <w:vAlign w:val="center"/>
          </w:tcPr>
          <w:p w14:paraId="6930B563">
            <w:pPr>
              <w:pStyle w:val="5"/>
              <w:keepNext w:val="0"/>
            </w:pPr>
            <w:r>
              <w:t>无量纲</w:t>
            </w:r>
          </w:p>
        </w:tc>
      </w:tr>
      <w:tr w14:paraId="388F2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72" w:type="pct"/>
            <w:tcMar>
              <w:top w:w="150" w:type="dxa"/>
              <w:left w:w="0" w:type="dxa"/>
              <w:bottom w:w="150" w:type="dxa"/>
              <w:right w:w="240" w:type="dxa"/>
            </w:tcMar>
            <w:vAlign w:val="center"/>
          </w:tcPr>
          <w:p w14:paraId="2891DAD2">
            <w:pPr>
              <w:pStyle w:val="5"/>
              <w:keepNext w:val="0"/>
              <w:jc w:val="center"/>
              <w:rPr>
                <w:rFonts w:hint="eastAsia" w:ascii="黑体" w:hAnsi="黑体" w:eastAsia="黑体" w:cs="黑体"/>
              </w:rPr>
            </w:pPr>
            <w:r>
              <w:rPr>
                <w:rFonts w:ascii="黑体" w:hAnsi="黑体" w:eastAsia="黑体" w:cs="黑体"/>
              </w:rPr>
              <w:t>数据来源</w:t>
            </w:r>
          </w:p>
        </w:tc>
        <w:tc>
          <w:tcPr>
            <w:tcW w:w="3527" w:type="pct"/>
            <w:tcMar>
              <w:top w:w="150" w:type="dxa"/>
              <w:left w:w="240" w:type="dxa"/>
              <w:bottom w:w="150" w:type="dxa"/>
              <w:right w:w="0" w:type="dxa"/>
            </w:tcMar>
            <w:vAlign w:val="center"/>
          </w:tcPr>
          <w:p w14:paraId="7E8467CD">
            <w:pPr>
              <w:pStyle w:val="5"/>
              <w:keepNext w:val="0"/>
            </w:pPr>
            <w:r>
              <w:t>国际通用化学计量折算系数</w:t>
            </w:r>
          </w:p>
        </w:tc>
      </w:tr>
      <w:tr w14:paraId="1ECF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72" w:type="pct"/>
            <w:tcMar>
              <w:top w:w="150" w:type="dxa"/>
              <w:left w:w="0" w:type="dxa"/>
              <w:bottom w:w="150" w:type="dxa"/>
              <w:right w:w="240" w:type="dxa"/>
            </w:tcMar>
            <w:vAlign w:val="center"/>
          </w:tcPr>
          <w:p w14:paraId="67134D1C">
            <w:pPr>
              <w:pStyle w:val="5"/>
              <w:keepNext w:val="0"/>
              <w:jc w:val="center"/>
              <w:rPr>
                <w:rFonts w:hint="eastAsia" w:ascii="黑体" w:hAnsi="黑体" w:eastAsia="黑体" w:cs="黑体"/>
              </w:rPr>
            </w:pPr>
            <w:r>
              <w:rPr>
                <w:rFonts w:ascii="黑体" w:hAnsi="黑体" w:eastAsia="黑体" w:cs="黑体"/>
              </w:rPr>
              <w:t>数据选用的合理性</w:t>
            </w:r>
          </w:p>
        </w:tc>
        <w:tc>
          <w:tcPr>
            <w:tcW w:w="3527" w:type="pct"/>
            <w:tcMar>
              <w:top w:w="150" w:type="dxa"/>
              <w:left w:w="240" w:type="dxa"/>
              <w:bottom w:w="150" w:type="dxa"/>
              <w:right w:w="0" w:type="dxa"/>
            </w:tcMar>
            <w:vAlign w:val="center"/>
          </w:tcPr>
          <w:p w14:paraId="6A822B99">
            <w:pPr>
              <w:pStyle w:val="5"/>
              <w:keepNext w:val="0"/>
            </w:pPr>
            <w:r>
              <w:t>基于碳与二氧化碳的相对分子质量之比（44/12），为国际公认的固定折算系数</w:t>
            </w:r>
          </w:p>
        </w:tc>
      </w:tr>
      <w:tr w14:paraId="23EF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72" w:type="pct"/>
            <w:tcMar>
              <w:top w:w="150" w:type="dxa"/>
              <w:left w:w="0" w:type="dxa"/>
              <w:bottom w:w="150" w:type="dxa"/>
              <w:right w:w="240" w:type="dxa"/>
            </w:tcMar>
            <w:vAlign w:val="center"/>
          </w:tcPr>
          <w:p w14:paraId="1781B8EC">
            <w:pPr>
              <w:pStyle w:val="5"/>
              <w:keepNext w:val="0"/>
              <w:jc w:val="center"/>
              <w:rPr>
                <w:rFonts w:hint="eastAsia" w:ascii="黑体" w:hAnsi="黑体" w:eastAsia="黑体" w:cs="黑体"/>
              </w:rPr>
            </w:pPr>
            <w:r>
              <w:rPr>
                <w:rFonts w:ascii="黑体" w:hAnsi="黑体" w:eastAsia="黑体" w:cs="黑体"/>
              </w:rPr>
              <w:t>数值（如有）</w:t>
            </w:r>
          </w:p>
        </w:tc>
        <w:tc>
          <w:tcPr>
            <w:tcW w:w="3527" w:type="pct"/>
            <w:tcMar>
              <w:top w:w="150" w:type="dxa"/>
              <w:left w:w="240" w:type="dxa"/>
              <w:bottom w:w="150" w:type="dxa"/>
              <w:right w:w="0" w:type="dxa"/>
            </w:tcMar>
            <w:vAlign w:val="center"/>
          </w:tcPr>
          <w:p w14:paraId="66A00515">
            <w:pPr>
              <w:pStyle w:val="5"/>
              <w:keepNext w:val="0"/>
            </w:pPr>
            <w:r>
              <w:t>44/12 ≈ 3.6667</w:t>
            </w:r>
          </w:p>
        </w:tc>
      </w:tr>
      <w:tr w14:paraId="332F6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72" w:type="pct"/>
            <w:tcMar>
              <w:top w:w="150" w:type="dxa"/>
              <w:left w:w="0" w:type="dxa"/>
              <w:bottom w:w="150" w:type="dxa"/>
              <w:right w:w="240" w:type="dxa"/>
            </w:tcMar>
            <w:vAlign w:val="center"/>
          </w:tcPr>
          <w:p w14:paraId="442B6599">
            <w:pPr>
              <w:pStyle w:val="5"/>
              <w:keepNext w:val="0"/>
              <w:jc w:val="center"/>
              <w:rPr>
                <w:rFonts w:hint="eastAsia" w:ascii="黑体" w:hAnsi="黑体" w:eastAsia="黑体" w:cs="黑体"/>
              </w:rPr>
            </w:pPr>
            <w:r>
              <w:rPr>
                <w:rFonts w:ascii="黑体" w:hAnsi="黑体" w:eastAsia="黑体" w:cs="黑体"/>
              </w:rPr>
              <w:t>数据用途</w:t>
            </w:r>
          </w:p>
        </w:tc>
        <w:tc>
          <w:tcPr>
            <w:tcW w:w="3527" w:type="pct"/>
            <w:tcMar>
              <w:top w:w="150" w:type="dxa"/>
              <w:left w:w="240" w:type="dxa"/>
              <w:bottom w:w="150" w:type="dxa"/>
              <w:right w:w="0" w:type="dxa"/>
            </w:tcMar>
            <w:vAlign w:val="center"/>
          </w:tcPr>
          <w:p w14:paraId="4FE58515">
            <w:pPr>
              <w:pStyle w:val="5"/>
              <w:keepNext w:val="0"/>
            </w:pPr>
            <w:r>
              <w:t>将碳单位（tC）转化为二氧化碳当量（t</w:t>
            </w:r>
            <w:r>
              <w:rPr>
                <w:rFonts w:hint="eastAsia"/>
                <w:highlight w:val="none"/>
                <w:lang w:eastAsia="zh-CN"/>
              </w:rPr>
              <w:t>CO</w:t>
            </w:r>
            <w:r>
              <w:rPr>
                <w:rFonts w:hint="eastAsia"/>
                <w:highlight w:val="none"/>
                <w:vertAlign w:val="subscript"/>
                <w:lang w:eastAsia="zh-CN"/>
              </w:rPr>
              <w:t>2e</w:t>
            </w:r>
            <w:r>
              <w:t>）</w:t>
            </w:r>
          </w:p>
        </w:tc>
      </w:tr>
      <w:tr w14:paraId="71CD4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472" w:type="pct"/>
            <w:tcMar>
              <w:top w:w="150" w:type="dxa"/>
              <w:left w:w="0" w:type="dxa"/>
              <w:bottom w:w="150" w:type="dxa"/>
              <w:right w:w="240" w:type="dxa"/>
            </w:tcMar>
            <w:vAlign w:val="center"/>
          </w:tcPr>
          <w:p w14:paraId="3BF7BD31">
            <w:pPr>
              <w:pStyle w:val="5"/>
              <w:keepNext w:val="0"/>
              <w:jc w:val="center"/>
            </w:pPr>
            <w:r>
              <w:rPr>
                <w:rFonts w:ascii="黑体" w:hAnsi="黑体" w:eastAsia="黑体" w:cs="黑体"/>
              </w:rPr>
              <w:t>备注</w:t>
            </w:r>
          </w:p>
        </w:tc>
        <w:tc>
          <w:tcPr>
            <w:tcW w:w="3527" w:type="pct"/>
            <w:tcMar>
              <w:top w:w="150" w:type="dxa"/>
              <w:left w:w="240" w:type="dxa"/>
              <w:bottom w:w="150" w:type="dxa"/>
              <w:right w:w="0" w:type="dxa"/>
            </w:tcMar>
            <w:vAlign w:val="center"/>
          </w:tcPr>
          <w:p w14:paraId="2A21E7FB">
            <w:pPr>
              <w:pStyle w:val="5"/>
              <w:keepNext w:val="0"/>
            </w:pPr>
            <w:r>
              <w:t>固定系数，不可更改</w:t>
            </w:r>
          </w:p>
        </w:tc>
      </w:tr>
    </w:tbl>
    <w:p w14:paraId="6A25EC2D">
      <w:pPr>
        <w:outlineLvl w:val="1"/>
      </w:pPr>
      <w:bookmarkStart w:id="155" w:name="_Toc7174"/>
      <w:r>
        <w:t>8.2 减排项目实施阶段需监测的参数和数据</w:t>
      </w:r>
      <w:bookmarkEnd w:id="155"/>
    </w:p>
    <w:p w14:paraId="4BE264F8">
      <w:pPr>
        <w:pStyle w:val="4"/>
      </w:pPr>
      <w:r>
        <w:t>表1</w:t>
      </w:r>
      <w:r>
        <w:rPr>
          <w:rFonts w:hint="eastAsia"/>
          <w:lang w:val="en-US" w:eastAsia="zh-CN"/>
        </w:rPr>
        <w:t>5</w:t>
      </w:r>
      <w:r>
        <w:t xml:space="preserve"> 植被种植面积</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611"/>
        <w:gridCol w:w="5702"/>
      </w:tblGrid>
      <w:tr w14:paraId="29B48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47486A24">
            <w:pPr>
              <w:pStyle w:val="5"/>
              <w:keepNext w:val="0"/>
              <w:jc w:val="center"/>
              <w:rPr>
                <w:rFonts w:hint="eastAsia" w:ascii="黑体" w:hAnsi="黑体" w:eastAsia="黑体" w:cs="黑体"/>
              </w:rPr>
            </w:pPr>
            <w:r>
              <w:rPr>
                <w:rFonts w:ascii="黑体" w:hAnsi="黑体" w:eastAsia="黑体" w:cs="黑体"/>
              </w:rPr>
              <w:t>数据/参数名称</w:t>
            </w:r>
          </w:p>
        </w:tc>
        <w:tc>
          <w:tcPr>
            <w:tcW w:w="3429" w:type="pct"/>
            <w:tcMar>
              <w:top w:w="150" w:type="dxa"/>
              <w:left w:w="240" w:type="dxa"/>
              <w:bottom w:w="150" w:type="dxa"/>
              <w:right w:w="0" w:type="dxa"/>
            </w:tcMar>
            <w:vAlign w:val="center"/>
          </w:tcPr>
          <w:p w14:paraId="401CBE12">
            <w:pPr>
              <w:pStyle w:val="5"/>
              <w:keepNext w:val="0"/>
            </w:pPr>
            <m:oMathPara>
              <m:oMathParaPr>
                <m:jc m:val="left"/>
              </m:oMathParaPr>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plant</m:t>
                    </m:r>
                    <m:r>
                      <m:rPr>
                        <m:sty m:val="p"/>
                      </m:rPr>
                      <w:rPr>
                        <w:rFonts w:ascii="Cambria Math" w:hAnsi="Cambria Math"/>
                      </w:rPr>
                      <m:t>,</m:t>
                    </m:r>
                    <m:r>
                      <m:rPr>
                        <m:sty m:val="p"/>
                      </m:rPr>
                      <w:rPr>
                        <w:rFonts w:hint="eastAsia" w:ascii="Cambria Math" w:hAnsi="Cambria Math"/>
                      </w:rPr>
                      <m:t>k</m:t>
                    </m:r>
                    <m:r>
                      <m:rPr>
                        <m:sty m:val="p"/>
                      </m:rPr>
                      <w:rPr>
                        <w:rFonts w:ascii="Cambria Math" w:hAnsi="Cambria Math"/>
                      </w:rPr>
                      <m:t>,</m:t>
                    </m:r>
                    <m:sSub>
                      <m:sSubPr>
                        <m:ctrlPr>
                          <w:rPr>
                            <w:rFonts w:ascii="Cambria Math" w:hAnsi="Cambria Math"/>
                          </w:rPr>
                        </m:ctrlPr>
                      </m:sSubPr>
                      <m:e>
                        <m:r>
                          <m:rPr>
                            <m:sty m:val="p"/>
                          </m:rPr>
                          <w:rPr>
                            <w:rFonts w:hint="eastAsia" w:ascii="Cambria Math" w:hAnsi="Cambria Math"/>
                          </w:rPr>
                          <m:t>t</m:t>
                        </m:r>
                        <m:ctrlPr>
                          <w:rPr>
                            <w:rFonts w:ascii="Cambria Math" w:hAnsi="Cambria Math"/>
                          </w:rPr>
                        </m:ctrlPr>
                      </m:e>
                      <m:sub>
                        <m:r>
                          <m:rPr>
                            <m:sty m:val="p"/>
                          </m:rPr>
                          <w:rPr>
                            <w:rFonts w:ascii="Cambria Math" w:hAnsi="Cambria Math"/>
                          </w:rPr>
                          <m:t>1</m:t>
                        </m:r>
                        <m:ctrlPr>
                          <w:rPr>
                            <w:rFonts w:ascii="Cambria Math" w:hAnsi="Cambria Math"/>
                          </w:rPr>
                        </m:ctrlPr>
                      </m:sub>
                    </m:sSub>
                    <m:ctrlPr>
                      <w:rPr>
                        <w:rFonts w:ascii="Cambria Math" w:hAnsi="Cambria Math"/>
                      </w:rPr>
                    </m:ctrlPr>
                  </m:sub>
                </m:sSub>
              </m:oMath>
            </m:oMathPara>
          </w:p>
        </w:tc>
      </w:tr>
      <w:tr w14:paraId="286C6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0EB6CC8B">
            <w:pPr>
              <w:pStyle w:val="5"/>
              <w:keepNext w:val="0"/>
              <w:jc w:val="center"/>
              <w:rPr>
                <w:rFonts w:hint="eastAsia" w:ascii="黑体" w:hAnsi="黑体" w:eastAsia="黑体" w:cs="黑体"/>
              </w:rPr>
            </w:pPr>
            <w:r>
              <w:rPr>
                <w:rFonts w:ascii="黑体" w:hAnsi="黑体" w:eastAsia="黑体" w:cs="黑体"/>
              </w:rPr>
              <w:t>应用的公式编号</w:t>
            </w:r>
          </w:p>
        </w:tc>
        <w:tc>
          <w:tcPr>
            <w:tcW w:w="3429" w:type="pct"/>
            <w:tcMar>
              <w:top w:w="150" w:type="dxa"/>
              <w:left w:w="240" w:type="dxa"/>
              <w:bottom w:w="150" w:type="dxa"/>
              <w:right w:w="0" w:type="dxa"/>
            </w:tcMar>
            <w:vAlign w:val="center"/>
          </w:tcPr>
          <w:p w14:paraId="15D1B07D">
            <w:pPr>
              <w:pStyle w:val="5"/>
              <w:keepNext w:val="0"/>
            </w:pPr>
            <w:r>
              <w:t>公式（7）、公式（9）</w:t>
            </w:r>
          </w:p>
        </w:tc>
      </w:tr>
      <w:tr w14:paraId="7000D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6133341E">
            <w:pPr>
              <w:pStyle w:val="5"/>
              <w:keepNext w:val="0"/>
              <w:jc w:val="center"/>
              <w:rPr>
                <w:rFonts w:hint="eastAsia" w:ascii="黑体" w:hAnsi="黑体" w:eastAsia="黑体" w:cs="黑体"/>
              </w:rPr>
            </w:pPr>
            <w:r>
              <w:rPr>
                <w:rFonts w:ascii="黑体" w:hAnsi="黑体" w:eastAsia="黑体" w:cs="黑体"/>
              </w:rPr>
              <w:t>数据描述</w:t>
            </w:r>
          </w:p>
        </w:tc>
        <w:tc>
          <w:tcPr>
            <w:tcW w:w="3429" w:type="pct"/>
            <w:tcMar>
              <w:top w:w="150" w:type="dxa"/>
              <w:left w:w="240" w:type="dxa"/>
              <w:bottom w:w="150" w:type="dxa"/>
              <w:right w:w="0" w:type="dxa"/>
            </w:tcMar>
            <w:vAlign w:val="center"/>
          </w:tcPr>
          <w:p w14:paraId="04634954">
            <w:pPr>
              <w:pStyle w:val="5"/>
              <w:keepNext w:val="0"/>
            </w:pPr>
            <w:r>
              <w:t>第t年第k类水生植物实际种植面积</w:t>
            </w:r>
          </w:p>
        </w:tc>
      </w:tr>
      <w:tr w14:paraId="2A792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6BCF43E6">
            <w:pPr>
              <w:pStyle w:val="5"/>
              <w:keepNext w:val="0"/>
              <w:jc w:val="center"/>
              <w:rPr>
                <w:rFonts w:hint="eastAsia" w:ascii="黑体" w:hAnsi="黑体" w:eastAsia="黑体" w:cs="黑体"/>
              </w:rPr>
            </w:pPr>
            <w:r>
              <w:rPr>
                <w:rFonts w:ascii="黑体" w:hAnsi="黑体" w:eastAsia="黑体" w:cs="黑体"/>
              </w:rPr>
              <w:t>数据单位</w:t>
            </w:r>
          </w:p>
        </w:tc>
        <w:tc>
          <w:tcPr>
            <w:tcW w:w="3429" w:type="pct"/>
            <w:tcMar>
              <w:top w:w="150" w:type="dxa"/>
              <w:left w:w="240" w:type="dxa"/>
              <w:bottom w:w="150" w:type="dxa"/>
              <w:right w:w="0" w:type="dxa"/>
            </w:tcMar>
            <w:vAlign w:val="center"/>
          </w:tcPr>
          <w:p w14:paraId="096CB56F">
            <w:pPr>
              <w:pStyle w:val="5"/>
              <w:keepNext w:val="0"/>
            </w:pPr>
            <w:r>
              <w:t>hm²</w:t>
            </w:r>
          </w:p>
        </w:tc>
      </w:tr>
      <w:tr w14:paraId="45891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04B12E06">
            <w:pPr>
              <w:pStyle w:val="5"/>
              <w:keepNext w:val="0"/>
              <w:jc w:val="center"/>
              <w:rPr>
                <w:rFonts w:hint="eastAsia" w:ascii="黑体" w:hAnsi="黑体" w:eastAsia="黑体" w:cs="黑体"/>
              </w:rPr>
            </w:pPr>
            <w:r>
              <w:rPr>
                <w:rFonts w:ascii="黑体" w:hAnsi="黑体" w:eastAsia="黑体" w:cs="黑体"/>
              </w:rPr>
              <w:t>数据来源</w:t>
            </w:r>
          </w:p>
        </w:tc>
        <w:tc>
          <w:tcPr>
            <w:tcW w:w="3429" w:type="pct"/>
            <w:tcMar>
              <w:top w:w="150" w:type="dxa"/>
              <w:left w:w="240" w:type="dxa"/>
              <w:bottom w:w="150" w:type="dxa"/>
              <w:right w:w="0" w:type="dxa"/>
            </w:tcMar>
            <w:vAlign w:val="center"/>
          </w:tcPr>
          <w:p w14:paraId="1C3F5ABF">
            <w:pPr>
              <w:pStyle w:val="5"/>
              <w:keepNext w:val="0"/>
            </w:pPr>
            <w:r>
              <w:t>野外实测、施工验收记录、遥感影像解译</w:t>
            </w:r>
          </w:p>
        </w:tc>
      </w:tr>
      <w:tr w14:paraId="070D7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38665799">
            <w:pPr>
              <w:pStyle w:val="5"/>
              <w:keepNext w:val="0"/>
              <w:jc w:val="center"/>
              <w:rPr>
                <w:rFonts w:hint="eastAsia" w:ascii="黑体" w:hAnsi="黑体" w:eastAsia="黑体" w:cs="黑体"/>
              </w:rPr>
            </w:pPr>
            <w:r>
              <w:rPr>
                <w:rFonts w:ascii="黑体" w:hAnsi="黑体" w:eastAsia="黑体" w:cs="黑体"/>
              </w:rPr>
              <w:t>监测点要求</w:t>
            </w:r>
          </w:p>
        </w:tc>
        <w:tc>
          <w:tcPr>
            <w:tcW w:w="3429" w:type="pct"/>
            <w:tcMar>
              <w:top w:w="150" w:type="dxa"/>
              <w:left w:w="240" w:type="dxa"/>
              <w:bottom w:w="150" w:type="dxa"/>
              <w:right w:w="0" w:type="dxa"/>
            </w:tcMar>
            <w:vAlign w:val="center"/>
          </w:tcPr>
          <w:p w14:paraId="493B67E4">
            <w:pPr>
              <w:pStyle w:val="5"/>
              <w:keepNext w:val="0"/>
            </w:pPr>
            <w:r>
              <w:t>所有实施植被种植的项目地块</w:t>
            </w:r>
          </w:p>
        </w:tc>
      </w:tr>
      <w:tr w14:paraId="55C68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29C6C1B1">
            <w:pPr>
              <w:pStyle w:val="5"/>
              <w:keepNext w:val="0"/>
              <w:jc w:val="center"/>
              <w:rPr>
                <w:rFonts w:hint="eastAsia" w:ascii="黑体" w:hAnsi="黑体" w:eastAsia="黑体" w:cs="黑体"/>
              </w:rPr>
            </w:pPr>
            <w:r>
              <w:rPr>
                <w:rFonts w:ascii="黑体" w:hAnsi="黑体" w:eastAsia="黑体" w:cs="黑体"/>
              </w:rPr>
              <w:t>监测仪表要求</w:t>
            </w:r>
          </w:p>
        </w:tc>
        <w:tc>
          <w:tcPr>
            <w:tcW w:w="3429" w:type="pct"/>
            <w:tcMar>
              <w:top w:w="150" w:type="dxa"/>
              <w:left w:w="240" w:type="dxa"/>
              <w:bottom w:w="150" w:type="dxa"/>
              <w:right w:w="0" w:type="dxa"/>
            </w:tcMar>
            <w:vAlign w:val="center"/>
          </w:tcPr>
          <w:p w14:paraId="49016683">
            <w:pPr>
              <w:pStyle w:val="5"/>
              <w:keepNext w:val="0"/>
            </w:pPr>
            <w:r>
              <w:t>RTK、GPS/BDS等卫星定位系统（CGCS2000坐标系），空间分辨率不低于2m的卫星遥感影像</w:t>
            </w:r>
          </w:p>
        </w:tc>
      </w:tr>
      <w:tr w14:paraId="18A6E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3C2E7729">
            <w:pPr>
              <w:pStyle w:val="5"/>
              <w:keepNext w:val="0"/>
              <w:jc w:val="center"/>
              <w:rPr>
                <w:rFonts w:hint="eastAsia" w:ascii="黑体" w:hAnsi="黑体" w:eastAsia="黑体" w:cs="黑体"/>
              </w:rPr>
            </w:pPr>
            <w:r>
              <w:rPr>
                <w:rFonts w:ascii="黑体" w:hAnsi="黑体" w:eastAsia="黑体" w:cs="黑体"/>
              </w:rPr>
              <w:t>监测程序与方法要求</w:t>
            </w:r>
          </w:p>
        </w:tc>
        <w:tc>
          <w:tcPr>
            <w:tcW w:w="3429" w:type="pct"/>
            <w:tcMar>
              <w:top w:w="150" w:type="dxa"/>
              <w:left w:w="240" w:type="dxa"/>
              <w:bottom w:w="150" w:type="dxa"/>
              <w:right w:w="0" w:type="dxa"/>
            </w:tcMar>
            <w:vAlign w:val="center"/>
          </w:tcPr>
          <w:p w14:paraId="5D9E3011">
            <w:pPr>
              <w:pStyle w:val="5"/>
              <w:keepNext w:val="0"/>
            </w:pPr>
            <w:r>
              <w:t>施工验收时逐块测量种植区域边界拐点坐标；采用遥感影像辅助核实种植范围；边界测量误差不超过±5%</w:t>
            </w:r>
          </w:p>
        </w:tc>
      </w:tr>
      <w:tr w14:paraId="162F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55785196">
            <w:pPr>
              <w:pStyle w:val="5"/>
              <w:keepNext w:val="0"/>
              <w:jc w:val="center"/>
              <w:rPr>
                <w:rFonts w:hint="eastAsia" w:ascii="黑体" w:hAnsi="黑体" w:eastAsia="黑体" w:cs="黑体"/>
              </w:rPr>
            </w:pPr>
            <w:r>
              <w:rPr>
                <w:rFonts w:ascii="黑体" w:hAnsi="黑体" w:eastAsia="黑体" w:cs="黑体"/>
              </w:rPr>
              <w:t>监测频次与记录要求</w:t>
            </w:r>
          </w:p>
        </w:tc>
        <w:tc>
          <w:tcPr>
            <w:tcW w:w="3429" w:type="pct"/>
            <w:tcMar>
              <w:top w:w="150" w:type="dxa"/>
              <w:left w:w="240" w:type="dxa"/>
              <w:bottom w:w="150" w:type="dxa"/>
              <w:right w:w="0" w:type="dxa"/>
            </w:tcMar>
            <w:vAlign w:val="center"/>
          </w:tcPr>
          <w:p w14:paraId="03DED21F">
            <w:pPr>
              <w:pStyle w:val="5"/>
              <w:keepNext w:val="0"/>
            </w:pPr>
            <w:r>
              <w:t>工程实施当年监测1次；计入期内如发生补植、扩种，应于当年补测；记录种植区域边界.shp或.kml文件</w:t>
            </w:r>
          </w:p>
        </w:tc>
      </w:tr>
      <w:tr w14:paraId="02D5C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397DC11F">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429" w:type="pct"/>
            <w:tcMar>
              <w:top w:w="150" w:type="dxa"/>
              <w:left w:w="240" w:type="dxa"/>
              <w:bottom w:w="150" w:type="dxa"/>
              <w:right w:w="0" w:type="dxa"/>
            </w:tcMar>
            <w:vAlign w:val="center"/>
          </w:tcPr>
          <w:p w14:paraId="286697AF">
            <w:pPr>
              <w:pStyle w:val="5"/>
              <w:keepNext w:val="0"/>
            </w:pPr>
            <w:r>
              <w:t>采用双重核实（施工验收+遥感比对）；边界数据须经项目业主、施工方、监理方三方签字确认</w:t>
            </w:r>
          </w:p>
        </w:tc>
      </w:tr>
      <w:tr w14:paraId="5E16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5ECFE7BD">
            <w:pPr>
              <w:pStyle w:val="5"/>
              <w:keepNext w:val="0"/>
              <w:jc w:val="center"/>
              <w:rPr>
                <w:rFonts w:hint="eastAsia" w:ascii="黑体" w:hAnsi="黑体" w:eastAsia="黑体" w:cs="黑体"/>
              </w:rPr>
            </w:pPr>
            <w:r>
              <w:rPr>
                <w:rFonts w:ascii="黑体" w:hAnsi="黑体" w:eastAsia="黑体" w:cs="黑体"/>
              </w:rPr>
              <w:t>数据用途</w:t>
            </w:r>
          </w:p>
        </w:tc>
        <w:tc>
          <w:tcPr>
            <w:tcW w:w="3429" w:type="pct"/>
            <w:tcMar>
              <w:top w:w="150" w:type="dxa"/>
              <w:left w:w="240" w:type="dxa"/>
              <w:bottom w:w="150" w:type="dxa"/>
              <w:right w:w="0" w:type="dxa"/>
            </w:tcMar>
            <w:vAlign w:val="center"/>
          </w:tcPr>
          <w:p w14:paraId="68FA1C25">
            <w:pPr>
              <w:pStyle w:val="5"/>
              <w:keepNext w:val="0"/>
            </w:pPr>
            <w:r>
              <w:t>用于计算工程实施当年人工种植水生植被的碳汇量</w:t>
            </w:r>
          </w:p>
        </w:tc>
      </w:tr>
      <w:tr w14:paraId="336E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0" w:type="pct"/>
            <w:tcMar>
              <w:top w:w="150" w:type="dxa"/>
              <w:left w:w="0" w:type="dxa"/>
              <w:bottom w:w="150" w:type="dxa"/>
              <w:right w:w="240" w:type="dxa"/>
            </w:tcMar>
            <w:vAlign w:val="center"/>
          </w:tcPr>
          <w:p w14:paraId="268A9DE5">
            <w:pPr>
              <w:pStyle w:val="5"/>
              <w:keepNext w:val="0"/>
              <w:jc w:val="center"/>
              <w:rPr>
                <w:rFonts w:hint="eastAsia" w:ascii="黑体" w:hAnsi="黑体" w:eastAsia="黑体" w:cs="黑体"/>
              </w:rPr>
            </w:pPr>
            <w:r>
              <w:rPr>
                <w:rFonts w:ascii="黑体" w:hAnsi="黑体" w:eastAsia="黑体" w:cs="黑体"/>
              </w:rPr>
              <w:t>备注</w:t>
            </w:r>
          </w:p>
        </w:tc>
        <w:tc>
          <w:tcPr>
            <w:tcW w:w="3429" w:type="pct"/>
            <w:tcMar>
              <w:top w:w="150" w:type="dxa"/>
              <w:left w:w="240" w:type="dxa"/>
              <w:bottom w:w="150" w:type="dxa"/>
              <w:right w:w="0" w:type="dxa"/>
            </w:tcMar>
            <w:vAlign w:val="center"/>
          </w:tcPr>
          <w:p w14:paraId="2ED81A1B">
            <w:pPr>
              <w:pStyle w:val="5"/>
              <w:keepNext w:val="0"/>
            </w:pPr>
            <w:r>
              <w:t>按挺水植物、浮叶植物、沉水植物分别记录</w:t>
            </w:r>
          </w:p>
        </w:tc>
      </w:tr>
    </w:tbl>
    <w:p w14:paraId="2ACC30FD">
      <w:pPr>
        <w:pStyle w:val="4"/>
        <w:rPr>
          <w:highlight w:val="none"/>
        </w:rPr>
      </w:pPr>
      <w:r>
        <w:rPr>
          <w:highlight w:val="none"/>
        </w:rPr>
        <w:t>表</w:t>
      </w:r>
      <w:r>
        <w:rPr>
          <w:rFonts w:hint="eastAsia"/>
          <w:highlight w:val="none"/>
          <w:lang w:val="en-US" w:eastAsia="zh-CN"/>
        </w:rPr>
        <w:t>16</w:t>
      </w:r>
      <w:r>
        <w:rPr>
          <w:highlight w:val="none"/>
        </w:rPr>
        <w:t xml:space="preserve"> 植被地上鲜重</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616"/>
        <w:gridCol w:w="5697"/>
      </w:tblGrid>
      <w:tr w14:paraId="0CF39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76801999">
            <w:pPr>
              <w:pStyle w:val="5"/>
              <w:keepNext w:val="0"/>
              <w:jc w:val="center"/>
              <w:rPr>
                <w:rFonts w:hint="eastAsia" w:ascii="黑体" w:hAnsi="黑体" w:eastAsia="黑体" w:cs="黑体"/>
              </w:rPr>
            </w:pPr>
            <w:r>
              <w:rPr>
                <w:rFonts w:ascii="黑体" w:hAnsi="黑体" w:eastAsia="黑体" w:cs="黑体"/>
              </w:rPr>
              <w:t>数据/参数名称</w:t>
            </w:r>
          </w:p>
        </w:tc>
        <w:tc>
          <w:tcPr>
            <w:tcW w:w="3426" w:type="pct"/>
            <w:tcMar>
              <w:top w:w="150" w:type="dxa"/>
              <w:left w:w="240" w:type="dxa"/>
              <w:bottom w:w="150" w:type="dxa"/>
              <w:right w:w="0" w:type="dxa"/>
            </w:tcMar>
            <w:vAlign w:val="center"/>
          </w:tcPr>
          <w:p w14:paraId="2B62EB8F">
            <w:pPr>
              <w:pStyle w:val="5"/>
              <w:keepNext w:val="0"/>
            </w:pPr>
            <w:r>
              <w:t>Fresh_above</w:t>
            </w:r>
          </w:p>
        </w:tc>
      </w:tr>
      <w:tr w14:paraId="746FF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7755C774">
            <w:pPr>
              <w:pStyle w:val="5"/>
              <w:keepNext w:val="0"/>
              <w:jc w:val="center"/>
              <w:rPr>
                <w:rFonts w:hint="eastAsia" w:ascii="黑体" w:hAnsi="黑体" w:eastAsia="黑体" w:cs="黑体"/>
              </w:rPr>
            </w:pPr>
            <w:r>
              <w:rPr>
                <w:rFonts w:ascii="黑体" w:hAnsi="黑体" w:eastAsia="黑体" w:cs="黑体"/>
              </w:rPr>
              <w:t>应用的公式编号</w:t>
            </w:r>
          </w:p>
        </w:tc>
        <w:tc>
          <w:tcPr>
            <w:tcW w:w="3426" w:type="pct"/>
            <w:tcMar>
              <w:top w:w="150" w:type="dxa"/>
              <w:left w:w="240" w:type="dxa"/>
              <w:bottom w:w="150" w:type="dxa"/>
              <w:right w:w="0" w:type="dxa"/>
            </w:tcMar>
            <w:vAlign w:val="center"/>
          </w:tcPr>
          <w:p w14:paraId="30D19C8F">
            <w:pPr>
              <w:pStyle w:val="5"/>
              <w:keepNext w:val="0"/>
            </w:pPr>
            <w:r>
              <w:t>附录A湿地植被样地调查记录表</w:t>
            </w:r>
          </w:p>
        </w:tc>
      </w:tr>
      <w:tr w14:paraId="25D6D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067DD755">
            <w:pPr>
              <w:pStyle w:val="5"/>
              <w:keepNext w:val="0"/>
              <w:jc w:val="center"/>
              <w:rPr>
                <w:rFonts w:hint="eastAsia" w:ascii="黑体" w:hAnsi="黑体" w:eastAsia="黑体" w:cs="黑体"/>
              </w:rPr>
            </w:pPr>
            <w:r>
              <w:rPr>
                <w:rFonts w:ascii="黑体" w:hAnsi="黑体" w:eastAsia="黑体" w:cs="黑体"/>
              </w:rPr>
              <w:t>数据描述</w:t>
            </w:r>
          </w:p>
        </w:tc>
        <w:tc>
          <w:tcPr>
            <w:tcW w:w="3426" w:type="pct"/>
            <w:tcMar>
              <w:top w:w="150" w:type="dxa"/>
              <w:left w:w="240" w:type="dxa"/>
              <w:bottom w:w="150" w:type="dxa"/>
              <w:right w:w="0" w:type="dxa"/>
            </w:tcMar>
            <w:vAlign w:val="center"/>
          </w:tcPr>
          <w:p w14:paraId="24BA9AF1">
            <w:pPr>
              <w:pStyle w:val="5"/>
              <w:keepNext w:val="0"/>
            </w:pPr>
            <w:r>
              <w:t>样方内植被地上部分鲜重</w:t>
            </w:r>
          </w:p>
        </w:tc>
      </w:tr>
      <w:tr w14:paraId="2E40A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3E492F95">
            <w:pPr>
              <w:pStyle w:val="5"/>
              <w:keepNext w:val="0"/>
              <w:jc w:val="center"/>
              <w:rPr>
                <w:rFonts w:hint="eastAsia" w:ascii="黑体" w:hAnsi="黑体" w:eastAsia="黑体" w:cs="黑体"/>
              </w:rPr>
            </w:pPr>
            <w:r>
              <w:rPr>
                <w:rFonts w:ascii="黑体" w:hAnsi="黑体" w:eastAsia="黑体" w:cs="黑体"/>
              </w:rPr>
              <w:t>数据单位</w:t>
            </w:r>
          </w:p>
        </w:tc>
        <w:tc>
          <w:tcPr>
            <w:tcW w:w="3426" w:type="pct"/>
            <w:tcMar>
              <w:top w:w="150" w:type="dxa"/>
              <w:left w:w="240" w:type="dxa"/>
              <w:bottom w:w="150" w:type="dxa"/>
              <w:right w:w="0" w:type="dxa"/>
            </w:tcMar>
            <w:vAlign w:val="center"/>
          </w:tcPr>
          <w:p w14:paraId="18B3368E">
            <w:pPr>
              <w:pStyle w:val="5"/>
              <w:keepNext w:val="0"/>
            </w:pPr>
            <w:r>
              <w:t>g</w:t>
            </w:r>
          </w:p>
        </w:tc>
      </w:tr>
      <w:tr w14:paraId="2B7B3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025628CB">
            <w:pPr>
              <w:pStyle w:val="5"/>
              <w:keepNext w:val="0"/>
              <w:jc w:val="center"/>
              <w:rPr>
                <w:rFonts w:hint="eastAsia" w:ascii="黑体" w:hAnsi="黑体" w:eastAsia="黑体" w:cs="黑体"/>
              </w:rPr>
            </w:pPr>
            <w:r>
              <w:rPr>
                <w:rFonts w:ascii="黑体" w:hAnsi="黑体" w:eastAsia="黑体" w:cs="黑体"/>
              </w:rPr>
              <w:t>数据来源</w:t>
            </w:r>
          </w:p>
        </w:tc>
        <w:tc>
          <w:tcPr>
            <w:tcW w:w="3426" w:type="pct"/>
            <w:tcMar>
              <w:top w:w="150" w:type="dxa"/>
              <w:left w:w="240" w:type="dxa"/>
              <w:bottom w:w="150" w:type="dxa"/>
              <w:right w:w="0" w:type="dxa"/>
            </w:tcMar>
            <w:vAlign w:val="center"/>
          </w:tcPr>
          <w:p w14:paraId="3E67B443">
            <w:pPr>
              <w:pStyle w:val="5"/>
              <w:keepNext w:val="0"/>
            </w:pPr>
            <w:r>
              <w:t>野外样地采样测定</w:t>
            </w:r>
          </w:p>
        </w:tc>
      </w:tr>
      <w:tr w14:paraId="629F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300EFD9B">
            <w:pPr>
              <w:pStyle w:val="5"/>
              <w:keepNext w:val="0"/>
              <w:jc w:val="center"/>
              <w:rPr>
                <w:rFonts w:hint="eastAsia" w:ascii="黑体" w:hAnsi="黑体" w:eastAsia="黑体" w:cs="黑体"/>
              </w:rPr>
            </w:pPr>
            <w:r>
              <w:rPr>
                <w:rFonts w:ascii="黑体" w:hAnsi="黑体" w:eastAsia="黑体" w:cs="黑体"/>
              </w:rPr>
              <w:t>监测点要求</w:t>
            </w:r>
          </w:p>
        </w:tc>
        <w:tc>
          <w:tcPr>
            <w:tcW w:w="3426" w:type="pct"/>
            <w:tcMar>
              <w:top w:w="150" w:type="dxa"/>
              <w:left w:w="240" w:type="dxa"/>
              <w:bottom w:w="150" w:type="dxa"/>
              <w:right w:w="0" w:type="dxa"/>
            </w:tcMar>
            <w:vAlign w:val="center"/>
          </w:tcPr>
          <w:p w14:paraId="4A24034B">
            <w:pPr>
              <w:pStyle w:val="5"/>
              <w:keepNext w:val="0"/>
            </w:pPr>
            <w:r>
              <w:t>所有布设的植被监测样地</w:t>
            </w:r>
          </w:p>
        </w:tc>
      </w:tr>
      <w:tr w14:paraId="09D54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0DE348BF">
            <w:pPr>
              <w:pStyle w:val="5"/>
              <w:keepNext w:val="0"/>
              <w:jc w:val="center"/>
              <w:rPr>
                <w:rFonts w:hint="eastAsia" w:ascii="黑体" w:hAnsi="黑体" w:eastAsia="黑体" w:cs="黑体"/>
              </w:rPr>
            </w:pPr>
            <w:r>
              <w:rPr>
                <w:rFonts w:ascii="黑体" w:hAnsi="黑体" w:eastAsia="黑体" w:cs="黑体"/>
              </w:rPr>
              <w:t>监测仪表要求</w:t>
            </w:r>
          </w:p>
        </w:tc>
        <w:tc>
          <w:tcPr>
            <w:tcW w:w="3426" w:type="pct"/>
            <w:tcMar>
              <w:top w:w="150" w:type="dxa"/>
              <w:left w:w="240" w:type="dxa"/>
              <w:bottom w:w="150" w:type="dxa"/>
              <w:right w:w="0" w:type="dxa"/>
            </w:tcMar>
            <w:vAlign w:val="center"/>
          </w:tcPr>
          <w:p w14:paraId="636A8DF8">
            <w:pPr>
              <w:pStyle w:val="5"/>
              <w:keepNext w:val="0"/>
            </w:pPr>
            <w:r>
              <w:t>电子天平（精度0.1g）、样方框（1m×1m或2m×2m）、枝剪、样品袋</w:t>
            </w:r>
          </w:p>
        </w:tc>
      </w:tr>
      <w:tr w14:paraId="3E080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552AA783">
            <w:pPr>
              <w:pStyle w:val="5"/>
              <w:keepNext w:val="0"/>
              <w:jc w:val="center"/>
              <w:rPr>
                <w:rFonts w:hint="eastAsia" w:ascii="黑体" w:hAnsi="黑体" w:eastAsia="黑体" w:cs="黑体"/>
              </w:rPr>
            </w:pPr>
            <w:r>
              <w:rPr>
                <w:rFonts w:ascii="黑体" w:hAnsi="黑体" w:eastAsia="黑体" w:cs="黑体"/>
              </w:rPr>
              <w:t>监测程序与方法要求</w:t>
            </w:r>
          </w:p>
        </w:tc>
        <w:tc>
          <w:tcPr>
            <w:tcW w:w="3426" w:type="pct"/>
            <w:tcMar>
              <w:top w:w="150" w:type="dxa"/>
              <w:left w:w="240" w:type="dxa"/>
              <w:bottom w:w="150" w:type="dxa"/>
              <w:right w:w="0" w:type="dxa"/>
            </w:tcMar>
            <w:vAlign w:val="center"/>
          </w:tcPr>
          <w:p w14:paraId="60692D9F">
            <w:pPr>
              <w:pStyle w:val="5"/>
              <w:keepNext w:val="0"/>
            </w:pPr>
            <w:r>
              <w:t>按照HJ 1169-2021湿地生态系统野外观测技术规范执行；样方内齐地面刈割地上部分，现场称量鲜重；每样方采集不少于3个重复样品</w:t>
            </w:r>
          </w:p>
        </w:tc>
      </w:tr>
      <w:tr w14:paraId="75B3B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563CA4BE">
            <w:pPr>
              <w:pStyle w:val="5"/>
              <w:keepNext w:val="0"/>
              <w:jc w:val="center"/>
              <w:rPr>
                <w:rFonts w:hint="eastAsia" w:ascii="黑体" w:hAnsi="黑体" w:eastAsia="黑体" w:cs="黑体"/>
              </w:rPr>
            </w:pPr>
            <w:r>
              <w:rPr>
                <w:rFonts w:ascii="黑体" w:hAnsi="黑体" w:eastAsia="黑体" w:cs="黑体"/>
              </w:rPr>
              <w:t>监测频次与记录要求</w:t>
            </w:r>
          </w:p>
        </w:tc>
        <w:tc>
          <w:tcPr>
            <w:tcW w:w="3426" w:type="pct"/>
            <w:tcMar>
              <w:top w:w="150" w:type="dxa"/>
              <w:left w:w="240" w:type="dxa"/>
              <w:bottom w:w="150" w:type="dxa"/>
              <w:right w:w="0" w:type="dxa"/>
            </w:tcMar>
            <w:vAlign w:val="center"/>
          </w:tcPr>
          <w:p w14:paraId="6F88FF36">
            <w:pPr>
              <w:pStyle w:val="5"/>
              <w:keepNext w:val="0"/>
            </w:pPr>
            <w:r>
              <w:t>每年1次（9</w:t>
            </w:r>
            <w:r>
              <w:rPr>
                <w:rFonts w:hint="eastAsia"/>
                <w:lang w:eastAsia="zh-CN"/>
              </w:rPr>
              <w:t>—</w:t>
            </w:r>
            <w:r>
              <w:t>10月生物量高峰期）；记录样方编号、植被类型、鲜重数据</w:t>
            </w:r>
          </w:p>
        </w:tc>
      </w:tr>
      <w:tr w14:paraId="1E966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0A0A67F0">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426" w:type="pct"/>
            <w:tcMar>
              <w:top w:w="150" w:type="dxa"/>
              <w:left w:w="240" w:type="dxa"/>
              <w:bottom w:w="150" w:type="dxa"/>
              <w:right w:w="0" w:type="dxa"/>
            </w:tcMar>
            <w:vAlign w:val="center"/>
          </w:tcPr>
          <w:p w14:paraId="4C4217C3">
            <w:pPr>
              <w:pStyle w:val="5"/>
              <w:keepNext w:val="0"/>
            </w:pPr>
            <w:r>
              <w:t>样方设置随机化；平行样偏差不超过10%；采样人、记录人、审核人三级签字</w:t>
            </w:r>
          </w:p>
        </w:tc>
      </w:tr>
      <w:tr w14:paraId="2CD6F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0B3FA64B">
            <w:pPr>
              <w:pStyle w:val="5"/>
              <w:keepNext w:val="0"/>
              <w:jc w:val="center"/>
              <w:rPr>
                <w:rFonts w:hint="eastAsia" w:ascii="黑体" w:hAnsi="黑体" w:eastAsia="黑体" w:cs="黑体"/>
              </w:rPr>
            </w:pPr>
            <w:r>
              <w:rPr>
                <w:rFonts w:ascii="黑体" w:hAnsi="黑体" w:eastAsia="黑体" w:cs="黑体"/>
              </w:rPr>
              <w:t>数据用途</w:t>
            </w:r>
          </w:p>
        </w:tc>
        <w:tc>
          <w:tcPr>
            <w:tcW w:w="3426" w:type="pct"/>
            <w:tcMar>
              <w:top w:w="150" w:type="dxa"/>
              <w:left w:w="240" w:type="dxa"/>
              <w:bottom w:w="150" w:type="dxa"/>
              <w:right w:w="0" w:type="dxa"/>
            </w:tcMar>
            <w:vAlign w:val="center"/>
          </w:tcPr>
          <w:p w14:paraId="23DB3D9A">
            <w:pPr>
              <w:pStyle w:val="5"/>
              <w:keepNext w:val="0"/>
            </w:pPr>
            <w:r>
              <w:t>用于计算单位面积植被地上生物量</w:t>
            </w:r>
          </w:p>
        </w:tc>
      </w:tr>
      <w:tr w14:paraId="44C25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3" w:type="pct"/>
            <w:tcMar>
              <w:top w:w="150" w:type="dxa"/>
              <w:left w:w="0" w:type="dxa"/>
              <w:bottom w:w="150" w:type="dxa"/>
              <w:right w:w="240" w:type="dxa"/>
            </w:tcMar>
            <w:vAlign w:val="center"/>
          </w:tcPr>
          <w:p w14:paraId="4D2E2CC4">
            <w:pPr>
              <w:pStyle w:val="5"/>
              <w:keepNext w:val="0"/>
              <w:jc w:val="center"/>
              <w:rPr>
                <w:rFonts w:hint="eastAsia" w:ascii="黑体" w:hAnsi="黑体" w:eastAsia="黑体" w:cs="黑体"/>
              </w:rPr>
            </w:pPr>
            <w:r>
              <w:rPr>
                <w:rFonts w:ascii="黑体" w:hAnsi="黑体" w:eastAsia="黑体" w:cs="黑体"/>
              </w:rPr>
              <w:t>备注</w:t>
            </w:r>
          </w:p>
        </w:tc>
        <w:tc>
          <w:tcPr>
            <w:tcW w:w="3426" w:type="pct"/>
            <w:tcMar>
              <w:top w:w="150" w:type="dxa"/>
              <w:left w:w="240" w:type="dxa"/>
              <w:bottom w:w="150" w:type="dxa"/>
              <w:right w:w="0" w:type="dxa"/>
            </w:tcMar>
            <w:vAlign w:val="center"/>
          </w:tcPr>
          <w:p w14:paraId="7F784A2B">
            <w:pPr>
              <w:pStyle w:val="5"/>
              <w:keepNext w:val="0"/>
            </w:pPr>
            <w:r>
              <w:t>同步采集优势植被物种标本用于物种鉴定</w:t>
            </w:r>
          </w:p>
        </w:tc>
      </w:tr>
    </w:tbl>
    <w:p w14:paraId="6E24F6AD">
      <w:pPr>
        <w:pStyle w:val="4"/>
        <w:rPr>
          <w:highlight w:val="none"/>
        </w:rPr>
      </w:pPr>
      <w:r>
        <w:rPr>
          <w:highlight w:val="none"/>
        </w:rPr>
        <w:t>表1</w:t>
      </w:r>
      <w:r>
        <w:rPr>
          <w:rFonts w:hint="eastAsia"/>
          <w:highlight w:val="none"/>
          <w:lang w:val="en-US" w:eastAsia="zh-CN"/>
        </w:rPr>
        <w:t>7</w:t>
      </w:r>
      <w:r>
        <w:rPr>
          <w:highlight w:val="none"/>
        </w:rPr>
        <w:t xml:space="preserve"> 植被地下鲜重</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639"/>
        <w:gridCol w:w="5674"/>
      </w:tblGrid>
      <w:tr w14:paraId="3FBE9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1B1835FF">
            <w:pPr>
              <w:pStyle w:val="5"/>
              <w:keepNext w:val="0"/>
              <w:jc w:val="center"/>
              <w:rPr>
                <w:rFonts w:hint="eastAsia" w:ascii="黑体" w:hAnsi="黑体" w:eastAsia="黑体" w:cs="黑体"/>
              </w:rPr>
            </w:pPr>
            <w:r>
              <w:rPr>
                <w:rFonts w:ascii="黑体" w:hAnsi="黑体" w:eastAsia="黑体" w:cs="黑体"/>
              </w:rPr>
              <w:t>数据/参数名称</w:t>
            </w:r>
          </w:p>
        </w:tc>
        <w:tc>
          <w:tcPr>
            <w:tcW w:w="3412" w:type="pct"/>
            <w:tcMar>
              <w:top w:w="150" w:type="dxa"/>
              <w:left w:w="240" w:type="dxa"/>
              <w:bottom w:w="150" w:type="dxa"/>
              <w:right w:w="0" w:type="dxa"/>
            </w:tcMar>
            <w:vAlign w:val="center"/>
          </w:tcPr>
          <w:p w14:paraId="0ADC47E3">
            <w:pPr>
              <w:pStyle w:val="5"/>
              <w:keepNext w:val="0"/>
            </w:pPr>
            <w:r>
              <w:t>Fresh_under</w:t>
            </w:r>
          </w:p>
        </w:tc>
      </w:tr>
      <w:tr w14:paraId="2ECF3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0DC8A5A9">
            <w:pPr>
              <w:pStyle w:val="5"/>
              <w:keepNext w:val="0"/>
              <w:jc w:val="center"/>
              <w:rPr>
                <w:rFonts w:hint="eastAsia" w:ascii="黑体" w:hAnsi="黑体" w:eastAsia="黑体" w:cs="黑体"/>
              </w:rPr>
            </w:pPr>
            <w:r>
              <w:rPr>
                <w:rFonts w:ascii="黑体" w:hAnsi="黑体" w:eastAsia="黑体" w:cs="黑体"/>
              </w:rPr>
              <w:t>应用的公式编号</w:t>
            </w:r>
          </w:p>
        </w:tc>
        <w:tc>
          <w:tcPr>
            <w:tcW w:w="3412" w:type="pct"/>
            <w:tcMar>
              <w:top w:w="150" w:type="dxa"/>
              <w:left w:w="240" w:type="dxa"/>
              <w:bottom w:w="150" w:type="dxa"/>
              <w:right w:w="0" w:type="dxa"/>
            </w:tcMar>
            <w:vAlign w:val="center"/>
          </w:tcPr>
          <w:p w14:paraId="65880907">
            <w:pPr>
              <w:pStyle w:val="5"/>
              <w:keepNext w:val="0"/>
            </w:pPr>
            <w:r>
              <w:t>附录A湿地植被样地调查记录表</w:t>
            </w:r>
          </w:p>
        </w:tc>
      </w:tr>
      <w:tr w14:paraId="7A51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5EF386ED">
            <w:pPr>
              <w:pStyle w:val="5"/>
              <w:keepNext w:val="0"/>
              <w:jc w:val="center"/>
              <w:rPr>
                <w:rFonts w:hint="eastAsia" w:ascii="黑体" w:hAnsi="黑体" w:eastAsia="黑体" w:cs="黑体"/>
              </w:rPr>
            </w:pPr>
            <w:r>
              <w:rPr>
                <w:rFonts w:ascii="黑体" w:hAnsi="黑体" w:eastAsia="黑体" w:cs="黑体"/>
              </w:rPr>
              <w:t>数据描述</w:t>
            </w:r>
          </w:p>
        </w:tc>
        <w:tc>
          <w:tcPr>
            <w:tcW w:w="3412" w:type="pct"/>
            <w:tcMar>
              <w:top w:w="150" w:type="dxa"/>
              <w:left w:w="240" w:type="dxa"/>
              <w:bottom w:w="150" w:type="dxa"/>
              <w:right w:w="0" w:type="dxa"/>
            </w:tcMar>
            <w:vAlign w:val="center"/>
          </w:tcPr>
          <w:p w14:paraId="3F8C0964">
            <w:pPr>
              <w:pStyle w:val="5"/>
              <w:keepNext w:val="0"/>
            </w:pPr>
            <w:r>
              <w:t>样方内植被地下部分（根系）鲜重</w:t>
            </w:r>
          </w:p>
        </w:tc>
      </w:tr>
      <w:tr w14:paraId="6F1DE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12500C08">
            <w:pPr>
              <w:pStyle w:val="5"/>
              <w:keepNext w:val="0"/>
              <w:jc w:val="center"/>
              <w:rPr>
                <w:rFonts w:hint="eastAsia" w:ascii="黑体" w:hAnsi="黑体" w:eastAsia="黑体" w:cs="黑体"/>
              </w:rPr>
            </w:pPr>
            <w:r>
              <w:rPr>
                <w:rFonts w:ascii="黑体" w:hAnsi="黑体" w:eastAsia="黑体" w:cs="黑体"/>
              </w:rPr>
              <w:t>数据单位</w:t>
            </w:r>
          </w:p>
        </w:tc>
        <w:tc>
          <w:tcPr>
            <w:tcW w:w="3412" w:type="pct"/>
            <w:tcMar>
              <w:top w:w="150" w:type="dxa"/>
              <w:left w:w="240" w:type="dxa"/>
              <w:bottom w:w="150" w:type="dxa"/>
              <w:right w:w="0" w:type="dxa"/>
            </w:tcMar>
            <w:vAlign w:val="center"/>
          </w:tcPr>
          <w:p w14:paraId="23EA5078">
            <w:pPr>
              <w:pStyle w:val="5"/>
              <w:keepNext w:val="0"/>
            </w:pPr>
            <w:r>
              <w:t>g</w:t>
            </w:r>
          </w:p>
        </w:tc>
      </w:tr>
      <w:tr w14:paraId="3EAAF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6898C943">
            <w:pPr>
              <w:pStyle w:val="5"/>
              <w:keepNext w:val="0"/>
              <w:jc w:val="center"/>
              <w:rPr>
                <w:rFonts w:hint="eastAsia" w:ascii="黑体" w:hAnsi="黑体" w:eastAsia="黑体" w:cs="黑体"/>
              </w:rPr>
            </w:pPr>
            <w:r>
              <w:rPr>
                <w:rFonts w:ascii="黑体" w:hAnsi="黑体" w:eastAsia="黑体" w:cs="黑体"/>
              </w:rPr>
              <w:t>数据来源</w:t>
            </w:r>
          </w:p>
        </w:tc>
        <w:tc>
          <w:tcPr>
            <w:tcW w:w="3412" w:type="pct"/>
            <w:tcMar>
              <w:top w:w="150" w:type="dxa"/>
              <w:left w:w="240" w:type="dxa"/>
              <w:bottom w:w="150" w:type="dxa"/>
              <w:right w:w="0" w:type="dxa"/>
            </w:tcMar>
            <w:vAlign w:val="center"/>
          </w:tcPr>
          <w:p w14:paraId="486DFDB6">
            <w:pPr>
              <w:pStyle w:val="5"/>
              <w:keepNext w:val="0"/>
            </w:pPr>
            <w:r>
              <w:t>野外样地采样测定</w:t>
            </w:r>
          </w:p>
        </w:tc>
      </w:tr>
      <w:tr w14:paraId="1FC7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3FF6EE08">
            <w:pPr>
              <w:pStyle w:val="5"/>
              <w:keepNext w:val="0"/>
              <w:jc w:val="center"/>
              <w:rPr>
                <w:rFonts w:hint="eastAsia" w:ascii="黑体" w:hAnsi="黑体" w:eastAsia="黑体" w:cs="黑体"/>
              </w:rPr>
            </w:pPr>
            <w:r>
              <w:rPr>
                <w:rFonts w:ascii="黑体" w:hAnsi="黑体" w:eastAsia="黑体" w:cs="黑体"/>
              </w:rPr>
              <w:t>监测点要求</w:t>
            </w:r>
          </w:p>
        </w:tc>
        <w:tc>
          <w:tcPr>
            <w:tcW w:w="3412" w:type="pct"/>
            <w:tcMar>
              <w:top w:w="150" w:type="dxa"/>
              <w:left w:w="240" w:type="dxa"/>
              <w:bottom w:w="150" w:type="dxa"/>
              <w:right w:w="0" w:type="dxa"/>
            </w:tcMar>
            <w:vAlign w:val="center"/>
          </w:tcPr>
          <w:p w14:paraId="7F16910E">
            <w:pPr>
              <w:pStyle w:val="5"/>
              <w:keepNext w:val="0"/>
            </w:pPr>
            <w:r>
              <w:t>所有布设的植被监测样地</w:t>
            </w:r>
          </w:p>
        </w:tc>
      </w:tr>
      <w:tr w14:paraId="6FF6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4B123908">
            <w:pPr>
              <w:pStyle w:val="5"/>
              <w:keepNext w:val="0"/>
              <w:jc w:val="center"/>
              <w:rPr>
                <w:rFonts w:hint="eastAsia" w:ascii="黑体" w:hAnsi="黑体" w:eastAsia="黑体" w:cs="黑体"/>
              </w:rPr>
            </w:pPr>
            <w:r>
              <w:rPr>
                <w:rFonts w:ascii="黑体" w:hAnsi="黑体" w:eastAsia="黑体" w:cs="黑体"/>
              </w:rPr>
              <w:t>监测仪表要求</w:t>
            </w:r>
          </w:p>
        </w:tc>
        <w:tc>
          <w:tcPr>
            <w:tcW w:w="3412" w:type="pct"/>
            <w:tcMar>
              <w:top w:w="150" w:type="dxa"/>
              <w:left w:w="240" w:type="dxa"/>
              <w:bottom w:w="150" w:type="dxa"/>
              <w:right w:w="0" w:type="dxa"/>
            </w:tcMar>
            <w:vAlign w:val="center"/>
          </w:tcPr>
          <w:p w14:paraId="1522B7EF">
            <w:pPr>
              <w:pStyle w:val="5"/>
              <w:keepNext w:val="0"/>
            </w:pPr>
            <w:r>
              <w:t>电子天平（精度0.1g）、样方框（1m×1m或2m×2m）、根系取样工具、样品袋</w:t>
            </w:r>
          </w:p>
        </w:tc>
      </w:tr>
      <w:tr w14:paraId="78BFD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71A17F29">
            <w:pPr>
              <w:pStyle w:val="5"/>
              <w:keepNext w:val="0"/>
              <w:jc w:val="center"/>
              <w:rPr>
                <w:rFonts w:hint="eastAsia" w:ascii="黑体" w:hAnsi="黑体" w:eastAsia="黑体" w:cs="黑体"/>
              </w:rPr>
            </w:pPr>
            <w:r>
              <w:rPr>
                <w:rFonts w:ascii="黑体" w:hAnsi="黑体" w:eastAsia="黑体" w:cs="黑体"/>
              </w:rPr>
              <w:t>监测程序与方法要求</w:t>
            </w:r>
          </w:p>
        </w:tc>
        <w:tc>
          <w:tcPr>
            <w:tcW w:w="3412" w:type="pct"/>
            <w:tcMar>
              <w:top w:w="150" w:type="dxa"/>
              <w:left w:w="240" w:type="dxa"/>
              <w:bottom w:w="150" w:type="dxa"/>
              <w:right w:w="0" w:type="dxa"/>
            </w:tcMar>
            <w:vAlign w:val="center"/>
          </w:tcPr>
          <w:p w14:paraId="5B9831EB">
            <w:pPr>
              <w:pStyle w:val="5"/>
              <w:keepNext w:val="0"/>
            </w:pPr>
            <w:r>
              <w:t>按照</w:t>
            </w:r>
            <w:r>
              <w:rPr>
                <w:rFonts w:hint="eastAsia"/>
                <w:lang w:eastAsia="zh-CN"/>
              </w:rPr>
              <w:t>《HJ</w:t>
            </w:r>
            <w:r>
              <w:t xml:space="preserve"> 1169-2021湿地生态系统野外观测技术规范</w:t>
            </w:r>
            <w:r>
              <w:rPr>
                <w:rFonts w:hint="eastAsia"/>
                <w:lang w:eastAsia="zh-CN"/>
              </w:rPr>
              <w:t>》执行</w:t>
            </w:r>
            <w:r>
              <w:t>；在刈割地上部分后，采集0-30cm深度根系，清洗后称量鲜重；每样方采集不少于3个重复样品</w:t>
            </w:r>
          </w:p>
        </w:tc>
      </w:tr>
      <w:tr w14:paraId="6DA24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73DF0DBC">
            <w:pPr>
              <w:pStyle w:val="5"/>
              <w:keepNext w:val="0"/>
              <w:jc w:val="center"/>
              <w:rPr>
                <w:rFonts w:hint="eastAsia" w:ascii="黑体" w:hAnsi="黑体" w:eastAsia="黑体" w:cs="黑体"/>
              </w:rPr>
            </w:pPr>
            <w:r>
              <w:rPr>
                <w:rFonts w:ascii="黑体" w:hAnsi="黑体" w:eastAsia="黑体" w:cs="黑体"/>
              </w:rPr>
              <w:t>监测频次与记录要求</w:t>
            </w:r>
          </w:p>
        </w:tc>
        <w:tc>
          <w:tcPr>
            <w:tcW w:w="3412" w:type="pct"/>
            <w:tcMar>
              <w:top w:w="150" w:type="dxa"/>
              <w:left w:w="240" w:type="dxa"/>
              <w:bottom w:w="150" w:type="dxa"/>
              <w:right w:w="0" w:type="dxa"/>
            </w:tcMar>
            <w:vAlign w:val="center"/>
          </w:tcPr>
          <w:p w14:paraId="4F1EDA1C">
            <w:pPr>
              <w:pStyle w:val="5"/>
              <w:keepNext w:val="0"/>
            </w:pPr>
            <w:r>
              <w:t>每年1次（9</w:t>
            </w:r>
            <w:r>
              <w:rPr>
                <w:rFonts w:hint="eastAsia"/>
                <w:lang w:eastAsia="zh-CN"/>
              </w:rPr>
              <w:t>—</w:t>
            </w:r>
            <w:r>
              <w:t>10月，与地上部分同步）；记录样方编号、植被类型、根系鲜重数据</w:t>
            </w:r>
          </w:p>
        </w:tc>
      </w:tr>
      <w:tr w14:paraId="2AB6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053A3EDE">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412" w:type="pct"/>
            <w:tcMar>
              <w:top w:w="150" w:type="dxa"/>
              <w:left w:w="240" w:type="dxa"/>
              <w:bottom w:w="150" w:type="dxa"/>
              <w:right w:w="0" w:type="dxa"/>
            </w:tcMar>
            <w:vAlign w:val="center"/>
          </w:tcPr>
          <w:p w14:paraId="268A8252">
            <w:pPr>
              <w:pStyle w:val="5"/>
              <w:keepNext w:val="0"/>
            </w:pPr>
            <w:r>
              <w:t>样方设置随机化；平行样偏差不超过10%；采样人、记录人、审核人三级签字</w:t>
            </w:r>
          </w:p>
        </w:tc>
      </w:tr>
      <w:tr w14:paraId="17534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30F65DE1">
            <w:pPr>
              <w:pStyle w:val="5"/>
              <w:keepNext w:val="0"/>
              <w:jc w:val="center"/>
              <w:rPr>
                <w:rFonts w:hint="eastAsia" w:ascii="黑体" w:hAnsi="黑体" w:eastAsia="黑体" w:cs="黑体"/>
              </w:rPr>
            </w:pPr>
            <w:r>
              <w:rPr>
                <w:rFonts w:ascii="黑体" w:hAnsi="黑体" w:eastAsia="黑体" w:cs="黑体"/>
              </w:rPr>
              <w:t>数据用途</w:t>
            </w:r>
          </w:p>
        </w:tc>
        <w:tc>
          <w:tcPr>
            <w:tcW w:w="3412" w:type="pct"/>
            <w:tcMar>
              <w:top w:w="150" w:type="dxa"/>
              <w:left w:w="240" w:type="dxa"/>
              <w:bottom w:w="150" w:type="dxa"/>
              <w:right w:w="0" w:type="dxa"/>
            </w:tcMar>
            <w:vAlign w:val="center"/>
          </w:tcPr>
          <w:p w14:paraId="767C3D94">
            <w:pPr>
              <w:pStyle w:val="5"/>
              <w:keepNext w:val="0"/>
            </w:pPr>
            <w:r>
              <w:t>用于计算单位面积植被地下生物量</w:t>
            </w:r>
          </w:p>
        </w:tc>
      </w:tr>
      <w:tr w14:paraId="49EC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7050DB76">
            <w:pPr>
              <w:pStyle w:val="5"/>
              <w:keepNext w:val="0"/>
              <w:jc w:val="center"/>
              <w:rPr>
                <w:rFonts w:hint="eastAsia" w:ascii="黑体" w:hAnsi="黑体" w:eastAsia="黑体" w:cs="黑体"/>
              </w:rPr>
            </w:pPr>
            <w:r>
              <w:rPr>
                <w:rFonts w:ascii="黑体" w:hAnsi="黑体" w:eastAsia="黑体" w:cs="黑体"/>
              </w:rPr>
              <w:t>备注</w:t>
            </w:r>
          </w:p>
        </w:tc>
        <w:tc>
          <w:tcPr>
            <w:tcW w:w="3412" w:type="pct"/>
            <w:tcMar>
              <w:top w:w="150" w:type="dxa"/>
              <w:left w:w="240" w:type="dxa"/>
              <w:bottom w:w="150" w:type="dxa"/>
              <w:right w:w="0" w:type="dxa"/>
            </w:tcMar>
            <w:vAlign w:val="center"/>
          </w:tcPr>
          <w:p w14:paraId="690041E3">
            <w:pPr>
              <w:pStyle w:val="5"/>
              <w:keepNext w:val="0"/>
            </w:pPr>
            <w:r>
              <w:t>细根（直径≤2mm）与粗根应分别记录</w:t>
            </w:r>
          </w:p>
        </w:tc>
      </w:tr>
    </w:tbl>
    <w:p w14:paraId="16536B2D">
      <w:pPr>
        <w:pStyle w:val="4"/>
      </w:pPr>
      <w:r>
        <w:t>表1</w:t>
      </w:r>
      <w:r>
        <w:rPr>
          <w:rFonts w:hint="eastAsia"/>
          <w:lang w:val="en-US" w:eastAsia="zh-CN"/>
        </w:rPr>
        <w:t>8</w:t>
      </w:r>
      <w:r>
        <w:t xml:space="preserve"> 植被地上干重</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639"/>
        <w:gridCol w:w="5674"/>
      </w:tblGrid>
      <w:tr w14:paraId="7C07A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19435014">
            <w:pPr>
              <w:pStyle w:val="5"/>
              <w:keepNext w:val="0"/>
              <w:jc w:val="center"/>
              <w:rPr>
                <w:rFonts w:hint="eastAsia" w:ascii="黑体" w:hAnsi="黑体" w:eastAsia="黑体" w:cs="黑体"/>
              </w:rPr>
            </w:pPr>
            <w:r>
              <w:rPr>
                <w:rFonts w:ascii="黑体" w:hAnsi="黑体" w:eastAsia="黑体" w:cs="黑体"/>
              </w:rPr>
              <w:t>数据/参数名称</w:t>
            </w:r>
          </w:p>
        </w:tc>
        <w:tc>
          <w:tcPr>
            <w:tcW w:w="3412" w:type="pct"/>
            <w:tcMar>
              <w:top w:w="150" w:type="dxa"/>
              <w:left w:w="240" w:type="dxa"/>
              <w:bottom w:w="150" w:type="dxa"/>
              <w:right w:w="0" w:type="dxa"/>
            </w:tcMar>
            <w:vAlign w:val="center"/>
          </w:tcPr>
          <w:p w14:paraId="4663C19E">
            <w:pPr>
              <w:pStyle w:val="5"/>
              <w:keepNext w:val="0"/>
            </w:pPr>
            <w:r>
              <w:t>Dry_above</w:t>
            </w:r>
          </w:p>
        </w:tc>
      </w:tr>
      <w:tr w14:paraId="5E79D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4C9085B1">
            <w:pPr>
              <w:pStyle w:val="5"/>
              <w:keepNext w:val="0"/>
              <w:jc w:val="center"/>
              <w:rPr>
                <w:rFonts w:hint="eastAsia" w:ascii="黑体" w:hAnsi="黑体" w:eastAsia="黑体" w:cs="黑体"/>
              </w:rPr>
            </w:pPr>
            <w:r>
              <w:rPr>
                <w:rFonts w:ascii="黑体" w:hAnsi="黑体" w:eastAsia="黑体" w:cs="黑体"/>
              </w:rPr>
              <w:t>应用的公式编号</w:t>
            </w:r>
          </w:p>
        </w:tc>
        <w:tc>
          <w:tcPr>
            <w:tcW w:w="3412" w:type="pct"/>
            <w:tcMar>
              <w:top w:w="150" w:type="dxa"/>
              <w:left w:w="240" w:type="dxa"/>
              <w:bottom w:w="150" w:type="dxa"/>
              <w:right w:w="0" w:type="dxa"/>
            </w:tcMar>
            <w:vAlign w:val="center"/>
          </w:tcPr>
          <w:p w14:paraId="5F65C66B">
            <w:pPr>
              <w:pStyle w:val="5"/>
              <w:keepNext w:val="0"/>
            </w:pPr>
            <w:r>
              <w:t>附录A湿地植被样地调查记录表</w:t>
            </w:r>
          </w:p>
        </w:tc>
      </w:tr>
      <w:tr w14:paraId="5D8E5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046DAF17">
            <w:pPr>
              <w:pStyle w:val="5"/>
              <w:keepNext w:val="0"/>
              <w:jc w:val="center"/>
              <w:rPr>
                <w:rFonts w:hint="eastAsia" w:ascii="黑体" w:hAnsi="黑体" w:eastAsia="黑体" w:cs="黑体"/>
              </w:rPr>
            </w:pPr>
            <w:r>
              <w:rPr>
                <w:rFonts w:ascii="黑体" w:hAnsi="黑体" w:eastAsia="黑体" w:cs="黑体"/>
              </w:rPr>
              <w:t>数据描述</w:t>
            </w:r>
          </w:p>
        </w:tc>
        <w:tc>
          <w:tcPr>
            <w:tcW w:w="3412" w:type="pct"/>
            <w:tcMar>
              <w:top w:w="150" w:type="dxa"/>
              <w:left w:w="240" w:type="dxa"/>
              <w:bottom w:w="150" w:type="dxa"/>
              <w:right w:w="0" w:type="dxa"/>
            </w:tcMar>
            <w:vAlign w:val="center"/>
          </w:tcPr>
          <w:p w14:paraId="7EE2CAE3">
            <w:pPr>
              <w:pStyle w:val="5"/>
              <w:keepNext w:val="0"/>
            </w:pPr>
            <w:r>
              <w:t>样方内植被地上部分80℃烘干至恒重的干物质重量</w:t>
            </w:r>
          </w:p>
        </w:tc>
      </w:tr>
      <w:tr w14:paraId="189C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38819CD6">
            <w:pPr>
              <w:pStyle w:val="5"/>
              <w:keepNext w:val="0"/>
              <w:jc w:val="center"/>
              <w:rPr>
                <w:rFonts w:hint="eastAsia" w:ascii="黑体" w:hAnsi="黑体" w:eastAsia="黑体" w:cs="黑体"/>
              </w:rPr>
            </w:pPr>
            <w:r>
              <w:rPr>
                <w:rFonts w:ascii="黑体" w:hAnsi="黑体" w:eastAsia="黑体" w:cs="黑体"/>
              </w:rPr>
              <w:t>数据单位</w:t>
            </w:r>
          </w:p>
        </w:tc>
        <w:tc>
          <w:tcPr>
            <w:tcW w:w="3412" w:type="pct"/>
            <w:tcMar>
              <w:top w:w="150" w:type="dxa"/>
              <w:left w:w="240" w:type="dxa"/>
              <w:bottom w:w="150" w:type="dxa"/>
              <w:right w:w="0" w:type="dxa"/>
            </w:tcMar>
            <w:vAlign w:val="center"/>
          </w:tcPr>
          <w:p w14:paraId="5F6AA07F">
            <w:pPr>
              <w:pStyle w:val="5"/>
              <w:keepNext w:val="0"/>
            </w:pPr>
            <w:r>
              <w:t>g</w:t>
            </w:r>
          </w:p>
        </w:tc>
      </w:tr>
      <w:tr w14:paraId="333B1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3654CADA">
            <w:pPr>
              <w:pStyle w:val="5"/>
              <w:keepNext w:val="0"/>
              <w:jc w:val="center"/>
              <w:rPr>
                <w:rFonts w:hint="eastAsia" w:ascii="黑体" w:hAnsi="黑体" w:eastAsia="黑体" w:cs="黑体"/>
              </w:rPr>
            </w:pPr>
            <w:r>
              <w:rPr>
                <w:rFonts w:ascii="黑体" w:hAnsi="黑体" w:eastAsia="黑体" w:cs="黑体"/>
              </w:rPr>
              <w:t>数据来源</w:t>
            </w:r>
          </w:p>
        </w:tc>
        <w:tc>
          <w:tcPr>
            <w:tcW w:w="3412" w:type="pct"/>
            <w:tcMar>
              <w:top w:w="150" w:type="dxa"/>
              <w:left w:w="240" w:type="dxa"/>
              <w:bottom w:w="150" w:type="dxa"/>
              <w:right w:w="0" w:type="dxa"/>
            </w:tcMar>
            <w:vAlign w:val="center"/>
          </w:tcPr>
          <w:p w14:paraId="6DF6E1A3">
            <w:pPr>
              <w:pStyle w:val="5"/>
              <w:keepNext w:val="0"/>
            </w:pPr>
            <w:r>
              <w:t>实验室测定</w:t>
            </w:r>
          </w:p>
        </w:tc>
      </w:tr>
      <w:tr w14:paraId="7ACBC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7E2ACFF5">
            <w:pPr>
              <w:pStyle w:val="5"/>
              <w:keepNext w:val="0"/>
              <w:jc w:val="center"/>
              <w:rPr>
                <w:rFonts w:hint="eastAsia" w:ascii="黑体" w:hAnsi="黑体" w:eastAsia="黑体" w:cs="黑体"/>
              </w:rPr>
            </w:pPr>
            <w:r>
              <w:rPr>
                <w:rFonts w:ascii="黑体" w:hAnsi="黑体" w:eastAsia="黑体" w:cs="黑体"/>
              </w:rPr>
              <w:t>监测点要求</w:t>
            </w:r>
          </w:p>
        </w:tc>
        <w:tc>
          <w:tcPr>
            <w:tcW w:w="3412" w:type="pct"/>
            <w:tcMar>
              <w:top w:w="150" w:type="dxa"/>
              <w:left w:w="240" w:type="dxa"/>
              <w:bottom w:w="150" w:type="dxa"/>
              <w:right w:w="0" w:type="dxa"/>
            </w:tcMar>
            <w:vAlign w:val="center"/>
          </w:tcPr>
          <w:p w14:paraId="4B78F7EB">
            <w:pPr>
              <w:pStyle w:val="5"/>
              <w:keepNext w:val="0"/>
            </w:pPr>
            <w:r>
              <w:t>所有采集的植被地上样品</w:t>
            </w:r>
          </w:p>
        </w:tc>
      </w:tr>
      <w:tr w14:paraId="00FF2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77940337">
            <w:pPr>
              <w:pStyle w:val="5"/>
              <w:keepNext w:val="0"/>
              <w:jc w:val="center"/>
              <w:rPr>
                <w:rFonts w:hint="eastAsia" w:ascii="黑体" w:hAnsi="黑体" w:eastAsia="黑体" w:cs="黑体"/>
              </w:rPr>
            </w:pPr>
            <w:r>
              <w:rPr>
                <w:rFonts w:ascii="黑体" w:hAnsi="黑体" w:eastAsia="黑体" w:cs="黑体"/>
              </w:rPr>
              <w:t>监测仪表要求</w:t>
            </w:r>
          </w:p>
        </w:tc>
        <w:tc>
          <w:tcPr>
            <w:tcW w:w="3412" w:type="pct"/>
            <w:tcMar>
              <w:top w:w="150" w:type="dxa"/>
              <w:left w:w="240" w:type="dxa"/>
              <w:bottom w:w="150" w:type="dxa"/>
              <w:right w:w="0" w:type="dxa"/>
            </w:tcMar>
            <w:vAlign w:val="center"/>
          </w:tcPr>
          <w:p w14:paraId="044C5FAD">
            <w:pPr>
              <w:pStyle w:val="5"/>
              <w:keepNext w:val="0"/>
            </w:pPr>
            <w:r>
              <w:t>烘箱（80℃恒温）、电子天平（精度0.01g）、干燥器</w:t>
            </w:r>
          </w:p>
        </w:tc>
      </w:tr>
      <w:tr w14:paraId="218DE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583CEA57">
            <w:pPr>
              <w:pStyle w:val="5"/>
              <w:keepNext w:val="0"/>
              <w:jc w:val="center"/>
              <w:rPr>
                <w:rFonts w:hint="eastAsia" w:ascii="黑体" w:hAnsi="黑体" w:eastAsia="黑体" w:cs="黑体"/>
              </w:rPr>
            </w:pPr>
            <w:r>
              <w:rPr>
                <w:rFonts w:ascii="黑体" w:hAnsi="黑体" w:eastAsia="黑体" w:cs="黑体"/>
              </w:rPr>
              <w:t>监测程序与方法要求</w:t>
            </w:r>
          </w:p>
        </w:tc>
        <w:tc>
          <w:tcPr>
            <w:tcW w:w="3412" w:type="pct"/>
            <w:tcMar>
              <w:top w:w="150" w:type="dxa"/>
              <w:left w:w="240" w:type="dxa"/>
              <w:bottom w:w="150" w:type="dxa"/>
              <w:right w:w="0" w:type="dxa"/>
            </w:tcMar>
            <w:vAlign w:val="center"/>
          </w:tcPr>
          <w:p w14:paraId="33F6E3CC">
            <w:pPr>
              <w:pStyle w:val="5"/>
              <w:keepNext w:val="0"/>
            </w:pPr>
            <w:r>
              <w:t>鲜样</w:t>
            </w:r>
            <w:r>
              <w:rPr>
                <w:rFonts w:hint="eastAsia"/>
                <w:lang w:eastAsia="zh-CN"/>
              </w:rPr>
              <w:t>应在</w:t>
            </w:r>
            <w:r>
              <w:t>采集后24小时内送入实验室；80℃烘干至恒重（连续两次称量误差≤0.5%）；记录烘干前后重量</w:t>
            </w:r>
          </w:p>
        </w:tc>
      </w:tr>
      <w:tr w14:paraId="613F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5BCC9000">
            <w:pPr>
              <w:pStyle w:val="5"/>
              <w:keepNext w:val="0"/>
              <w:jc w:val="center"/>
              <w:rPr>
                <w:rFonts w:hint="eastAsia" w:ascii="黑体" w:hAnsi="黑体" w:eastAsia="黑体" w:cs="黑体"/>
              </w:rPr>
            </w:pPr>
            <w:r>
              <w:rPr>
                <w:rFonts w:ascii="黑体" w:hAnsi="黑体" w:eastAsia="黑体" w:cs="黑体"/>
              </w:rPr>
              <w:t>监测频次与记录要求</w:t>
            </w:r>
          </w:p>
        </w:tc>
        <w:tc>
          <w:tcPr>
            <w:tcW w:w="3412" w:type="pct"/>
            <w:tcMar>
              <w:top w:w="150" w:type="dxa"/>
              <w:left w:w="240" w:type="dxa"/>
              <w:bottom w:w="150" w:type="dxa"/>
              <w:right w:w="0" w:type="dxa"/>
            </w:tcMar>
            <w:vAlign w:val="center"/>
          </w:tcPr>
          <w:p w14:paraId="51BD2BA3">
            <w:pPr>
              <w:pStyle w:val="5"/>
              <w:keepNext w:val="0"/>
            </w:pPr>
            <w:r>
              <w:t>每年采样后15日内完成烘干称量；记录样品编号、烘干温度、恒重数据</w:t>
            </w:r>
          </w:p>
        </w:tc>
      </w:tr>
      <w:tr w14:paraId="650D2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6C410F0E">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412" w:type="pct"/>
            <w:tcMar>
              <w:top w:w="150" w:type="dxa"/>
              <w:left w:w="240" w:type="dxa"/>
              <w:bottom w:w="150" w:type="dxa"/>
              <w:right w:w="0" w:type="dxa"/>
            </w:tcMar>
            <w:vAlign w:val="center"/>
          </w:tcPr>
          <w:p w14:paraId="16EB89AB">
            <w:pPr>
              <w:pStyle w:val="5"/>
              <w:keepNext w:val="0"/>
            </w:pPr>
            <w:r>
              <w:t>烘干时间不少于48小时；每批样品设置不少于3个空白对照；实验室回收率</w:t>
            </w:r>
            <w:r>
              <w:rPr>
                <w:rFonts w:hint="eastAsia"/>
                <w:lang w:eastAsia="zh-CN"/>
              </w:rPr>
              <w:t>90%～110%</w:t>
            </w:r>
          </w:p>
        </w:tc>
      </w:tr>
      <w:tr w14:paraId="52562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44EDDACD">
            <w:pPr>
              <w:pStyle w:val="5"/>
              <w:keepNext w:val="0"/>
              <w:jc w:val="center"/>
              <w:rPr>
                <w:rFonts w:hint="eastAsia" w:ascii="黑体" w:hAnsi="黑体" w:eastAsia="黑体" w:cs="黑体"/>
              </w:rPr>
            </w:pPr>
            <w:r>
              <w:rPr>
                <w:rFonts w:ascii="黑体" w:hAnsi="黑体" w:eastAsia="黑体" w:cs="黑体"/>
              </w:rPr>
              <w:t>数据用途</w:t>
            </w:r>
          </w:p>
        </w:tc>
        <w:tc>
          <w:tcPr>
            <w:tcW w:w="3412" w:type="pct"/>
            <w:tcMar>
              <w:top w:w="150" w:type="dxa"/>
              <w:left w:w="240" w:type="dxa"/>
              <w:bottom w:w="150" w:type="dxa"/>
              <w:right w:w="0" w:type="dxa"/>
            </w:tcMar>
            <w:vAlign w:val="center"/>
          </w:tcPr>
          <w:p w14:paraId="73EFD1F2">
            <w:pPr>
              <w:pStyle w:val="5"/>
              <w:keepNext w:val="0"/>
            </w:pPr>
            <w:r>
              <w:t>用于计算植被干物质含量和单位面积生物量</w:t>
            </w:r>
          </w:p>
        </w:tc>
      </w:tr>
      <w:tr w14:paraId="2768E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4EC407C9">
            <w:pPr>
              <w:pStyle w:val="5"/>
              <w:keepNext w:val="0"/>
              <w:jc w:val="center"/>
              <w:rPr>
                <w:rFonts w:hint="eastAsia" w:ascii="黑体" w:hAnsi="黑体" w:eastAsia="黑体" w:cs="黑体"/>
              </w:rPr>
            </w:pPr>
            <w:r>
              <w:rPr>
                <w:rFonts w:ascii="黑体" w:hAnsi="黑体" w:eastAsia="黑体" w:cs="黑体"/>
              </w:rPr>
              <w:t>备注</w:t>
            </w:r>
          </w:p>
        </w:tc>
        <w:tc>
          <w:tcPr>
            <w:tcW w:w="3412" w:type="pct"/>
            <w:tcMar>
              <w:top w:w="150" w:type="dxa"/>
              <w:left w:w="240" w:type="dxa"/>
              <w:bottom w:w="150" w:type="dxa"/>
              <w:right w:w="0" w:type="dxa"/>
            </w:tcMar>
            <w:vAlign w:val="center"/>
          </w:tcPr>
          <w:p w14:paraId="516B9611">
            <w:pPr>
              <w:pStyle w:val="5"/>
              <w:keepNext w:val="0"/>
            </w:pPr>
            <w:r>
              <w:t>烘干温度和时间须在记录表中注明</w:t>
            </w:r>
          </w:p>
        </w:tc>
      </w:tr>
    </w:tbl>
    <w:p w14:paraId="7D930409">
      <w:pPr>
        <w:pStyle w:val="4"/>
      </w:pPr>
      <w:r>
        <w:t>表</w:t>
      </w:r>
      <w:r>
        <w:rPr>
          <w:rFonts w:hint="eastAsia"/>
          <w:lang w:val="en-US" w:eastAsia="zh-CN"/>
        </w:rPr>
        <w:t>19</w:t>
      </w:r>
      <w:r>
        <w:t xml:space="preserve"> 植被地下干重</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639"/>
        <w:gridCol w:w="5674"/>
      </w:tblGrid>
      <w:tr w14:paraId="6756F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0C0ED02C">
            <w:pPr>
              <w:pStyle w:val="5"/>
              <w:keepNext w:val="0"/>
              <w:jc w:val="center"/>
              <w:rPr>
                <w:rFonts w:hint="eastAsia" w:ascii="黑体" w:hAnsi="黑体" w:eastAsia="黑体" w:cs="黑体"/>
              </w:rPr>
            </w:pPr>
            <w:r>
              <w:rPr>
                <w:rFonts w:ascii="黑体" w:hAnsi="黑体" w:eastAsia="黑体" w:cs="黑体"/>
              </w:rPr>
              <w:t>数据/参数名称</w:t>
            </w:r>
          </w:p>
        </w:tc>
        <w:tc>
          <w:tcPr>
            <w:tcW w:w="3412" w:type="pct"/>
            <w:tcMar>
              <w:top w:w="150" w:type="dxa"/>
              <w:left w:w="240" w:type="dxa"/>
              <w:bottom w:w="150" w:type="dxa"/>
              <w:right w:w="0" w:type="dxa"/>
            </w:tcMar>
            <w:vAlign w:val="center"/>
          </w:tcPr>
          <w:p w14:paraId="2F54E80D">
            <w:pPr>
              <w:pStyle w:val="5"/>
              <w:keepNext w:val="0"/>
            </w:pPr>
            <w:r>
              <w:t>Dry_under</w:t>
            </w:r>
          </w:p>
        </w:tc>
      </w:tr>
      <w:tr w14:paraId="7C354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0EBA7828">
            <w:pPr>
              <w:pStyle w:val="5"/>
              <w:keepNext w:val="0"/>
              <w:jc w:val="center"/>
              <w:rPr>
                <w:rFonts w:hint="eastAsia" w:ascii="黑体" w:hAnsi="黑体" w:eastAsia="黑体" w:cs="黑体"/>
              </w:rPr>
            </w:pPr>
            <w:r>
              <w:rPr>
                <w:rFonts w:ascii="黑体" w:hAnsi="黑体" w:eastAsia="黑体" w:cs="黑体"/>
              </w:rPr>
              <w:t>应用的公式编号</w:t>
            </w:r>
          </w:p>
        </w:tc>
        <w:tc>
          <w:tcPr>
            <w:tcW w:w="3412" w:type="pct"/>
            <w:tcMar>
              <w:top w:w="150" w:type="dxa"/>
              <w:left w:w="240" w:type="dxa"/>
              <w:bottom w:w="150" w:type="dxa"/>
              <w:right w:w="0" w:type="dxa"/>
            </w:tcMar>
            <w:vAlign w:val="center"/>
          </w:tcPr>
          <w:p w14:paraId="22A056F9">
            <w:pPr>
              <w:pStyle w:val="5"/>
              <w:keepNext w:val="0"/>
            </w:pPr>
            <w:r>
              <w:t>附录A湿地植被样地调查记录表</w:t>
            </w:r>
          </w:p>
        </w:tc>
      </w:tr>
      <w:tr w14:paraId="4EEE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2365B188">
            <w:pPr>
              <w:pStyle w:val="5"/>
              <w:keepNext w:val="0"/>
              <w:jc w:val="center"/>
              <w:rPr>
                <w:rFonts w:hint="eastAsia" w:ascii="黑体" w:hAnsi="黑体" w:eastAsia="黑体" w:cs="黑体"/>
              </w:rPr>
            </w:pPr>
            <w:r>
              <w:rPr>
                <w:rFonts w:ascii="黑体" w:hAnsi="黑体" w:eastAsia="黑体" w:cs="黑体"/>
              </w:rPr>
              <w:t>数据描述</w:t>
            </w:r>
          </w:p>
        </w:tc>
        <w:tc>
          <w:tcPr>
            <w:tcW w:w="3412" w:type="pct"/>
            <w:tcMar>
              <w:top w:w="150" w:type="dxa"/>
              <w:left w:w="240" w:type="dxa"/>
              <w:bottom w:w="150" w:type="dxa"/>
              <w:right w:w="0" w:type="dxa"/>
            </w:tcMar>
            <w:vAlign w:val="center"/>
          </w:tcPr>
          <w:p w14:paraId="0F5870DF">
            <w:pPr>
              <w:pStyle w:val="5"/>
              <w:keepNext w:val="0"/>
            </w:pPr>
            <w:r>
              <w:t>样方内植被地下部分（根系）80℃烘干至恒重的干物质重量</w:t>
            </w:r>
          </w:p>
        </w:tc>
      </w:tr>
      <w:tr w14:paraId="41C6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3B1DFB74">
            <w:pPr>
              <w:pStyle w:val="5"/>
              <w:keepNext w:val="0"/>
              <w:jc w:val="center"/>
              <w:rPr>
                <w:rFonts w:hint="eastAsia" w:ascii="黑体" w:hAnsi="黑体" w:eastAsia="黑体" w:cs="黑体"/>
              </w:rPr>
            </w:pPr>
            <w:r>
              <w:rPr>
                <w:rFonts w:ascii="黑体" w:hAnsi="黑体" w:eastAsia="黑体" w:cs="黑体"/>
              </w:rPr>
              <w:t>数据单位</w:t>
            </w:r>
          </w:p>
        </w:tc>
        <w:tc>
          <w:tcPr>
            <w:tcW w:w="3412" w:type="pct"/>
            <w:tcMar>
              <w:top w:w="150" w:type="dxa"/>
              <w:left w:w="240" w:type="dxa"/>
              <w:bottom w:w="150" w:type="dxa"/>
              <w:right w:w="0" w:type="dxa"/>
            </w:tcMar>
            <w:vAlign w:val="center"/>
          </w:tcPr>
          <w:p w14:paraId="08445D92">
            <w:pPr>
              <w:pStyle w:val="5"/>
              <w:keepNext w:val="0"/>
            </w:pPr>
            <w:r>
              <w:t>g</w:t>
            </w:r>
          </w:p>
        </w:tc>
      </w:tr>
      <w:tr w14:paraId="29A40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7390D084">
            <w:pPr>
              <w:pStyle w:val="5"/>
              <w:keepNext w:val="0"/>
              <w:jc w:val="center"/>
              <w:rPr>
                <w:rFonts w:hint="eastAsia" w:ascii="黑体" w:hAnsi="黑体" w:eastAsia="黑体" w:cs="黑体"/>
              </w:rPr>
            </w:pPr>
            <w:r>
              <w:rPr>
                <w:rFonts w:ascii="黑体" w:hAnsi="黑体" w:eastAsia="黑体" w:cs="黑体"/>
              </w:rPr>
              <w:t>数据来源</w:t>
            </w:r>
          </w:p>
        </w:tc>
        <w:tc>
          <w:tcPr>
            <w:tcW w:w="3412" w:type="pct"/>
            <w:tcMar>
              <w:top w:w="150" w:type="dxa"/>
              <w:left w:w="240" w:type="dxa"/>
              <w:bottom w:w="150" w:type="dxa"/>
              <w:right w:w="0" w:type="dxa"/>
            </w:tcMar>
            <w:vAlign w:val="center"/>
          </w:tcPr>
          <w:p w14:paraId="159C5636">
            <w:pPr>
              <w:pStyle w:val="5"/>
              <w:keepNext w:val="0"/>
            </w:pPr>
            <w:r>
              <w:t>实验室测定</w:t>
            </w:r>
          </w:p>
        </w:tc>
      </w:tr>
      <w:tr w14:paraId="5C66C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155F6AFF">
            <w:pPr>
              <w:pStyle w:val="5"/>
              <w:keepNext w:val="0"/>
              <w:jc w:val="center"/>
              <w:rPr>
                <w:rFonts w:hint="eastAsia" w:ascii="黑体" w:hAnsi="黑体" w:eastAsia="黑体" w:cs="黑体"/>
              </w:rPr>
            </w:pPr>
            <w:r>
              <w:rPr>
                <w:rFonts w:ascii="黑体" w:hAnsi="黑体" w:eastAsia="黑体" w:cs="黑体"/>
              </w:rPr>
              <w:t>监测点要求</w:t>
            </w:r>
          </w:p>
        </w:tc>
        <w:tc>
          <w:tcPr>
            <w:tcW w:w="3412" w:type="pct"/>
            <w:tcMar>
              <w:top w:w="150" w:type="dxa"/>
              <w:left w:w="240" w:type="dxa"/>
              <w:bottom w:w="150" w:type="dxa"/>
              <w:right w:w="0" w:type="dxa"/>
            </w:tcMar>
            <w:vAlign w:val="center"/>
          </w:tcPr>
          <w:p w14:paraId="08987901">
            <w:pPr>
              <w:pStyle w:val="5"/>
              <w:keepNext w:val="0"/>
            </w:pPr>
            <w:r>
              <w:t>所有采集的植被地下样品</w:t>
            </w:r>
          </w:p>
        </w:tc>
      </w:tr>
      <w:tr w14:paraId="3674F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6F44FDD6">
            <w:pPr>
              <w:pStyle w:val="5"/>
              <w:keepNext w:val="0"/>
              <w:jc w:val="center"/>
              <w:rPr>
                <w:rFonts w:hint="eastAsia" w:ascii="黑体" w:hAnsi="黑体" w:eastAsia="黑体" w:cs="黑体"/>
              </w:rPr>
            </w:pPr>
            <w:r>
              <w:rPr>
                <w:rFonts w:ascii="黑体" w:hAnsi="黑体" w:eastAsia="黑体" w:cs="黑体"/>
              </w:rPr>
              <w:t>监测仪表要求</w:t>
            </w:r>
          </w:p>
        </w:tc>
        <w:tc>
          <w:tcPr>
            <w:tcW w:w="3412" w:type="pct"/>
            <w:tcMar>
              <w:top w:w="150" w:type="dxa"/>
              <w:left w:w="240" w:type="dxa"/>
              <w:bottom w:w="150" w:type="dxa"/>
              <w:right w:w="0" w:type="dxa"/>
            </w:tcMar>
            <w:vAlign w:val="center"/>
          </w:tcPr>
          <w:p w14:paraId="44CAE30B">
            <w:pPr>
              <w:pStyle w:val="5"/>
              <w:keepNext w:val="0"/>
            </w:pPr>
            <w:r>
              <w:t>烘箱（80℃恒温）、电子天平（精度0.01g）、干燥器</w:t>
            </w:r>
          </w:p>
        </w:tc>
      </w:tr>
      <w:tr w14:paraId="39D62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3F484BC3">
            <w:pPr>
              <w:pStyle w:val="5"/>
              <w:keepNext w:val="0"/>
              <w:jc w:val="center"/>
              <w:rPr>
                <w:rFonts w:hint="eastAsia" w:ascii="黑体" w:hAnsi="黑体" w:eastAsia="黑体" w:cs="黑体"/>
              </w:rPr>
            </w:pPr>
            <w:r>
              <w:rPr>
                <w:rFonts w:ascii="黑体" w:hAnsi="黑体" w:eastAsia="黑体" w:cs="黑体"/>
              </w:rPr>
              <w:t>监测程序与方法要求</w:t>
            </w:r>
          </w:p>
        </w:tc>
        <w:tc>
          <w:tcPr>
            <w:tcW w:w="3412" w:type="pct"/>
            <w:tcMar>
              <w:top w:w="150" w:type="dxa"/>
              <w:left w:w="240" w:type="dxa"/>
              <w:bottom w:w="150" w:type="dxa"/>
              <w:right w:w="0" w:type="dxa"/>
            </w:tcMar>
            <w:vAlign w:val="center"/>
          </w:tcPr>
          <w:p w14:paraId="538F41A5">
            <w:pPr>
              <w:pStyle w:val="5"/>
              <w:keepNext w:val="0"/>
            </w:pPr>
            <w:r>
              <w:t>清洗后的根系样品于采集后24小时内送入实验室；80℃烘干至恒重（连续两次称量误差≤0.5%）；记录烘干前后重量</w:t>
            </w:r>
          </w:p>
        </w:tc>
      </w:tr>
      <w:tr w14:paraId="547EF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689E9FE3">
            <w:pPr>
              <w:pStyle w:val="5"/>
              <w:keepNext w:val="0"/>
              <w:jc w:val="center"/>
              <w:rPr>
                <w:rFonts w:hint="eastAsia" w:ascii="黑体" w:hAnsi="黑体" w:eastAsia="黑体" w:cs="黑体"/>
              </w:rPr>
            </w:pPr>
            <w:r>
              <w:rPr>
                <w:rFonts w:ascii="黑体" w:hAnsi="黑体" w:eastAsia="黑体" w:cs="黑体"/>
              </w:rPr>
              <w:t>监测频次与记录要求</w:t>
            </w:r>
          </w:p>
        </w:tc>
        <w:tc>
          <w:tcPr>
            <w:tcW w:w="3412" w:type="pct"/>
            <w:tcMar>
              <w:top w:w="150" w:type="dxa"/>
              <w:left w:w="240" w:type="dxa"/>
              <w:bottom w:w="150" w:type="dxa"/>
              <w:right w:w="0" w:type="dxa"/>
            </w:tcMar>
            <w:vAlign w:val="center"/>
          </w:tcPr>
          <w:p w14:paraId="2868B89C">
            <w:pPr>
              <w:pStyle w:val="5"/>
              <w:keepNext w:val="0"/>
            </w:pPr>
            <w:r>
              <w:t>每年采样后15日内完成烘干称量；记录样品编号、烘干温度、恒重数据</w:t>
            </w:r>
          </w:p>
        </w:tc>
      </w:tr>
      <w:tr w14:paraId="64CC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25CE6D1D">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412" w:type="pct"/>
            <w:tcMar>
              <w:top w:w="150" w:type="dxa"/>
              <w:left w:w="240" w:type="dxa"/>
              <w:bottom w:w="150" w:type="dxa"/>
              <w:right w:w="0" w:type="dxa"/>
            </w:tcMar>
            <w:vAlign w:val="center"/>
          </w:tcPr>
          <w:p w14:paraId="7B3CC12E">
            <w:pPr>
              <w:pStyle w:val="5"/>
              <w:keepNext w:val="0"/>
            </w:pPr>
            <w:r>
              <w:t>烘干时间不少于48小时；每批样品设置不少于3个空白对照；实验室回收率</w:t>
            </w:r>
            <w:r>
              <w:rPr>
                <w:rFonts w:hint="eastAsia"/>
                <w:lang w:eastAsia="zh-CN"/>
              </w:rPr>
              <w:t>90%～110%</w:t>
            </w:r>
          </w:p>
        </w:tc>
      </w:tr>
      <w:tr w14:paraId="25E46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01EDDA46">
            <w:pPr>
              <w:pStyle w:val="5"/>
              <w:keepNext w:val="0"/>
              <w:jc w:val="center"/>
              <w:rPr>
                <w:rFonts w:hint="eastAsia" w:ascii="黑体" w:hAnsi="黑体" w:eastAsia="黑体" w:cs="黑体"/>
              </w:rPr>
            </w:pPr>
            <w:r>
              <w:rPr>
                <w:rFonts w:ascii="黑体" w:hAnsi="黑体" w:eastAsia="黑体" w:cs="黑体"/>
              </w:rPr>
              <w:t>数据用途</w:t>
            </w:r>
          </w:p>
        </w:tc>
        <w:tc>
          <w:tcPr>
            <w:tcW w:w="3412" w:type="pct"/>
            <w:tcMar>
              <w:top w:w="150" w:type="dxa"/>
              <w:left w:w="240" w:type="dxa"/>
              <w:bottom w:w="150" w:type="dxa"/>
              <w:right w:w="0" w:type="dxa"/>
            </w:tcMar>
            <w:vAlign w:val="center"/>
          </w:tcPr>
          <w:p w14:paraId="1CDB58A5">
            <w:pPr>
              <w:pStyle w:val="5"/>
              <w:keepNext w:val="0"/>
            </w:pPr>
            <w:r>
              <w:t>用于计算植被地下部分干物质含量和单位面积生物量</w:t>
            </w:r>
          </w:p>
        </w:tc>
      </w:tr>
      <w:tr w14:paraId="37992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87" w:type="pct"/>
            <w:tcMar>
              <w:top w:w="150" w:type="dxa"/>
              <w:left w:w="0" w:type="dxa"/>
              <w:bottom w:w="150" w:type="dxa"/>
              <w:right w:w="240" w:type="dxa"/>
            </w:tcMar>
            <w:vAlign w:val="center"/>
          </w:tcPr>
          <w:p w14:paraId="4583E903">
            <w:pPr>
              <w:pStyle w:val="5"/>
              <w:keepNext w:val="0"/>
              <w:jc w:val="center"/>
              <w:rPr>
                <w:rFonts w:hint="eastAsia" w:ascii="黑体" w:hAnsi="黑体" w:eastAsia="黑体" w:cs="黑体"/>
              </w:rPr>
            </w:pPr>
            <w:r>
              <w:rPr>
                <w:rFonts w:ascii="黑体" w:hAnsi="黑体" w:eastAsia="黑体" w:cs="黑体"/>
              </w:rPr>
              <w:t>备注</w:t>
            </w:r>
          </w:p>
        </w:tc>
        <w:tc>
          <w:tcPr>
            <w:tcW w:w="3412" w:type="pct"/>
            <w:tcMar>
              <w:top w:w="150" w:type="dxa"/>
              <w:left w:w="240" w:type="dxa"/>
              <w:bottom w:w="150" w:type="dxa"/>
              <w:right w:w="0" w:type="dxa"/>
            </w:tcMar>
            <w:vAlign w:val="center"/>
          </w:tcPr>
          <w:p w14:paraId="708EF6A6">
            <w:pPr>
              <w:pStyle w:val="5"/>
              <w:keepNext w:val="0"/>
            </w:pPr>
            <w:r>
              <w:t>细根（直径≤2mm）与粗根应分别烘干称量</w:t>
            </w:r>
          </w:p>
        </w:tc>
      </w:tr>
    </w:tbl>
    <w:p w14:paraId="089345EE">
      <w:pPr>
        <w:pStyle w:val="4"/>
      </w:pPr>
      <w:r>
        <w:t>表</w:t>
      </w:r>
      <w:r>
        <w:rPr>
          <w:rFonts w:hint="eastAsia"/>
          <w:lang w:val="en-US" w:eastAsia="zh-CN"/>
        </w:rPr>
        <w:t>20</w:t>
      </w:r>
      <w:r>
        <w:t xml:space="preserve"> 植被覆盖度</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626"/>
        <w:gridCol w:w="5687"/>
      </w:tblGrid>
      <w:tr w14:paraId="3D97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14EE81E6">
            <w:pPr>
              <w:pStyle w:val="5"/>
              <w:keepNext w:val="0"/>
              <w:jc w:val="center"/>
              <w:rPr>
                <w:rFonts w:hint="eastAsia" w:ascii="黑体" w:hAnsi="黑体" w:eastAsia="黑体" w:cs="黑体"/>
              </w:rPr>
            </w:pPr>
            <w:r>
              <w:rPr>
                <w:rFonts w:ascii="黑体" w:hAnsi="黑体" w:eastAsia="黑体" w:cs="黑体"/>
              </w:rPr>
              <w:t>数据/参数名称</w:t>
            </w:r>
          </w:p>
        </w:tc>
        <w:tc>
          <w:tcPr>
            <w:tcW w:w="3420" w:type="pct"/>
            <w:tcMar>
              <w:top w:w="150" w:type="dxa"/>
              <w:left w:w="240" w:type="dxa"/>
              <w:bottom w:w="150" w:type="dxa"/>
              <w:right w:w="0" w:type="dxa"/>
            </w:tcMar>
            <w:vAlign w:val="center"/>
          </w:tcPr>
          <w:p w14:paraId="1CF9FE24">
            <w:pPr>
              <w:pStyle w:val="5"/>
              <w:keepNext w:val="0"/>
            </w:pPr>
            <w:r>
              <w:t>Coverage</w:t>
            </w:r>
          </w:p>
        </w:tc>
      </w:tr>
      <w:tr w14:paraId="3BC10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77BC2996">
            <w:pPr>
              <w:pStyle w:val="5"/>
              <w:keepNext w:val="0"/>
              <w:jc w:val="center"/>
              <w:rPr>
                <w:rFonts w:hint="eastAsia" w:ascii="黑体" w:hAnsi="黑体" w:eastAsia="黑体" w:cs="黑体"/>
              </w:rPr>
            </w:pPr>
            <w:r>
              <w:rPr>
                <w:rFonts w:ascii="黑体" w:hAnsi="黑体" w:eastAsia="黑体" w:cs="黑体"/>
              </w:rPr>
              <w:t>应用的公式编号</w:t>
            </w:r>
          </w:p>
        </w:tc>
        <w:tc>
          <w:tcPr>
            <w:tcW w:w="3420" w:type="pct"/>
            <w:tcMar>
              <w:top w:w="150" w:type="dxa"/>
              <w:left w:w="240" w:type="dxa"/>
              <w:bottom w:w="150" w:type="dxa"/>
              <w:right w:w="0" w:type="dxa"/>
            </w:tcMar>
            <w:vAlign w:val="center"/>
          </w:tcPr>
          <w:p w14:paraId="089448FF">
            <w:pPr>
              <w:pStyle w:val="5"/>
              <w:keepNext w:val="0"/>
            </w:pPr>
            <w:r>
              <w:t>附录A湿地植被样地调查记录表</w:t>
            </w:r>
          </w:p>
        </w:tc>
      </w:tr>
      <w:tr w14:paraId="7AD8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7770C4C2">
            <w:pPr>
              <w:pStyle w:val="5"/>
              <w:keepNext w:val="0"/>
              <w:jc w:val="center"/>
              <w:rPr>
                <w:rFonts w:hint="eastAsia" w:ascii="黑体" w:hAnsi="黑体" w:eastAsia="黑体" w:cs="黑体"/>
              </w:rPr>
            </w:pPr>
            <w:r>
              <w:rPr>
                <w:rFonts w:ascii="黑体" w:hAnsi="黑体" w:eastAsia="黑体" w:cs="黑体"/>
              </w:rPr>
              <w:t>数据描述</w:t>
            </w:r>
          </w:p>
        </w:tc>
        <w:tc>
          <w:tcPr>
            <w:tcW w:w="3420" w:type="pct"/>
            <w:tcMar>
              <w:top w:w="150" w:type="dxa"/>
              <w:left w:w="240" w:type="dxa"/>
              <w:bottom w:w="150" w:type="dxa"/>
              <w:right w:w="0" w:type="dxa"/>
            </w:tcMar>
            <w:vAlign w:val="center"/>
          </w:tcPr>
          <w:p w14:paraId="3C393CA4">
            <w:pPr>
              <w:pStyle w:val="5"/>
              <w:keepNext w:val="0"/>
            </w:pPr>
            <w:r>
              <w:t>样方内植被的垂直投影覆盖比例</w:t>
            </w:r>
          </w:p>
        </w:tc>
      </w:tr>
      <w:tr w14:paraId="5E629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50F4F403">
            <w:pPr>
              <w:pStyle w:val="5"/>
              <w:keepNext w:val="0"/>
              <w:jc w:val="center"/>
              <w:rPr>
                <w:rFonts w:hint="eastAsia" w:ascii="黑体" w:hAnsi="黑体" w:eastAsia="黑体" w:cs="黑体"/>
              </w:rPr>
            </w:pPr>
            <w:r>
              <w:rPr>
                <w:rFonts w:ascii="黑体" w:hAnsi="黑体" w:eastAsia="黑体" w:cs="黑体"/>
              </w:rPr>
              <w:t>数据单位</w:t>
            </w:r>
          </w:p>
        </w:tc>
        <w:tc>
          <w:tcPr>
            <w:tcW w:w="3420" w:type="pct"/>
            <w:tcMar>
              <w:top w:w="150" w:type="dxa"/>
              <w:left w:w="240" w:type="dxa"/>
              <w:bottom w:w="150" w:type="dxa"/>
              <w:right w:w="0" w:type="dxa"/>
            </w:tcMar>
            <w:vAlign w:val="center"/>
          </w:tcPr>
          <w:p w14:paraId="6041FBB8">
            <w:pPr>
              <w:pStyle w:val="5"/>
              <w:keepNext w:val="0"/>
            </w:pPr>
            <w:r>
              <w:t>%</w:t>
            </w:r>
          </w:p>
        </w:tc>
      </w:tr>
      <w:tr w14:paraId="5D52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07A7FE00">
            <w:pPr>
              <w:pStyle w:val="5"/>
              <w:keepNext w:val="0"/>
              <w:jc w:val="center"/>
              <w:rPr>
                <w:rFonts w:hint="eastAsia" w:ascii="黑体" w:hAnsi="黑体" w:eastAsia="黑体" w:cs="黑体"/>
              </w:rPr>
            </w:pPr>
            <w:r>
              <w:rPr>
                <w:rFonts w:ascii="黑体" w:hAnsi="黑体" w:eastAsia="黑体" w:cs="黑体"/>
              </w:rPr>
              <w:t>数据来源</w:t>
            </w:r>
          </w:p>
        </w:tc>
        <w:tc>
          <w:tcPr>
            <w:tcW w:w="3420" w:type="pct"/>
            <w:tcMar>
              <w:top w:w="150" w:type="dxa"/>
              <w:left w:w="240" w:type="dxa"/>
              <w:bottom w:w="150" w:type="dxa"/>
              <w:right w:w="0" w:type="dxa"/>
            </w:tcMar>
            <w:vAlign w:val="center"/>
          </w:tcPr>
          <w:p w14:paraId="52C7FD72">
            <w:pPr>
              <w:pStyle w:val="5"/>
              <w:keepNext w:val="0"/>
            </w:pPr>
            <w:r>
              <w:t>野外样地目测估计或样线法测定</w:t>
            </w:r>
          </w:p>
        </w:tc>
      </w:tr>
      <w:tr w14:paraId="6683A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50A06BDE">
            <w:pPr>
              <w:pStyle w:val="5"/>
              <w:keepNext w:val="0"/>
              <w:jc w:val="center"/>
              <w:rPr>
                <w:rFonts w:hint="eastAsia" w:ascii="黑体" w:hAnsi="黑体" w:eastAsia="黑体" w:cs="黑体"/>
              </w:rPr>
            </w:pPr>
            <w:r>
              <w:rPr>
                <w:rFonts w:ascii="黑体" w:hAnsi="黑体" w:eastAsia="黑体" w:cs="黑体"/>
              </w:rPr>
              <w:t>监测点要求</w:t>
            </w:r>
          </w:p>
        </w:tc>
        <w:tc>
          <w:tcPr>
            <w:tcW w:w="3420" w:type="pct"/>
            <w:tcMar>
              <w:top w:w="150" w:type="dxa"/>
              <w:left w:w="240" w:type="dxa"/>
              <w:bottom w:w="150" w:type="dxa"/>
              <w:right w:w="0" w:type="dxa"/>
            </w:tcMar>
            <w:vAlign w:val="center"/>
          </w:tcPr>
          <w:p w14:paraId="355705BB">
            <w:pPr>
              <w:pStyle w:val="5"/>
              <w:keepNext w:val="0"/>
            </w:pPr>
            <w:r>
              <w:t>所有布设的植被监测样地</w:t>
            </w:r>
          </w:p>
        </w:tc>
      </w:tr>
      <w:tr w14:paraId="2B931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63CB5CFD">
            <w:pPr>
              <w:pStyle w:val="5"/>
              <w:keepNext w:val="0"/>
              <w:jc w:val="center"/>
              <w:rPr>
                <w:rFonts w:hint="eastAsia" w:ascii="黑体" w:hAnsi="黑体" w:eastAsia="黑体" w:cs="黑体"/>
              </w:rPr>
            </w:pPr>
            <w:r>
              <w:rPr>
                <w:rFonts w:ascii="黑体" w:hAnsi="黑体" w:eastAsia="黑体" w:cs="黑体"/>
              </w:rPr>
              <w:t>监测仪表要求</w:t>
            </w:r>
          </w:p>
        </w:tc>
        <w:tc>
          <w:tcPr>
            <w:tcW w:w="3420" w:type="pct"/>
            <w:tcMar>
              <w:top w:w="150" w:type="dxa"/>
              <w:left w:w="240" w:type="dxa"/>
              <w:bottom w:w="150" w:type="dxa"/>
              <w:right w:w="0" w:type="dxa"/>
            </w:tcMar>
            <w:vAlign w:val="center"/>
          </w:tcPr>
          <w:p w14:paraId="0BBB4D59">
            <w:pPr>
              <w:pStyle w:val="5"/>
              <w:keepNext w:val="0"/>
            </w:pPr>
            <w:r>
              <w:t>样方框（1m×1m或2m×2m）、皮尺、照相机</w:t>
            </w:r>
          </w:p>
        </w:tc>
      </w:tr>
      <w:tr w14:paraId="1688D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44F32D70">
            <w:pPr>
              <w:pStyle w:val="5"/>
              <w:keepNext w:val="0"/>
              <w:jc w:val="center"/>
              <w:rPr>
                <w:rFonts w:hint="eastAsia" w:ascii="黑体" w:hAnsi="黑体" w:eastAsia="黑体" w:cs="黑体"/>
              </w:rPr>
            </w:pPr>
            <w:r>
              <w:rPr>
                <w:rFonts w:ascii="黑体" w:hAnsi="黑体" w:eastAsia="黑体" w:cs="黑体"/>
              </w:rPr>
              <w:t>监测程序与方法要求</w:t>
            </w:r>
          </w:p>
        </w:tc>
        <w:tc>
          <w:tcPr>
            <w:tcW w:w="3420" w:type="pct"/>
            <w:tcMar>
              <w:top w:w="150" w:type="dxa"/>
              <w:left w:w="240" w:type="dxa"/>
              <w:bottom w:w="150" w:type="dxa"/>
              <w:right w:w="0" w:type="dxa"/>
            </w:tcMar>
            <w:vAlign w:val="center"/>
          </w:tcPr>
          <w:p w14:paraId="4022EA71">
            <w:pPr>
              <w:pStyle w:val="5"/>
              <w:keepNext w:val="0"/>
            </w:pPr>
            <w:r>
              <w:t>采用网格目测法或样线截取法；每个样方由2人独立估计取平均值；覆盖度&gt;5%时记录具体数值，≤5%记为痕迹</w:t>
            </w:r>
          </w:p>
        </w:tc>
      </w:tr>
      <w:tr w14:paraId="05372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1B0165CD">
            <w:pPr>
              <w:pStyle w:val="5"/>
              <w:keepNext w:val="0"/>
              <w:jc w:val="center"/>
              <w:rPr>
                <w:rFonts w:hint="eastAsia" w:ascii="黑体" w:hAnsi="黑体" w:eastAsia="黑体" w:cs="黑体"/>
              </w:rPr>
            </w:pPr>
            <w:r>
              <w:rPr>
                <w:rFonts w:ascii="黑体" w:hAnsi="黑体" w:eastAsia="黑体" w:cs="黑体"/>
              </w:rPr>
              <w:t>监测频次与记录要求</w:t>
            </w:r>
          </w:p>
        </w:tc>
        <w:tc>
          <w:tcPr>
            <w:tcW w:w="3420" w:type="pct"/>
            <w:tcMar>
              <w:top w:w="150" w:type="dxa"/>
              <w:left w:w="240" w:type="dxa"/>
              <w:bottom w:w="150" w:type="dxa"/>
              <w:right w:w="0" w:type="dxa"/>
            </w:tcMar>
            <w:vAlign w:val="center"/>
          </w:tcPr>
          <w:p w14:paraId="1FAB2F02">
            <w:pPr>
              <w:pStyle w:val="5"/>
              <w:keepNext w:val="0"/>
            </w:pPr>
            <w:r>
              <w:t>每年1次（9</w:t>
            </w:r>
            <w:r>
              <w:rPr>
                <w:rFonts w:hint="eastAsia"/>
                <w:lang w:eastAsia="zh-CN"/>
              </w:rPr>
              <w:t>—</w:t>
            </w:r>
            <w:r>
              <w:t>10月，与生物量采样同步）；记录样方编号、覆盖度百分比</w:t>
            </w:r>
          </w:p>
        </w:tc>
      </w:tr>
      <w:tr w14:paraId="70F77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30245E51">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420" w:type="pct"/>
            <w:tcMar>
              <w:top w:w="150" w:type="dxa"/>
              <w:left w:w="240" w:type="dxa"/>
              <w:bottom w:w="150" w:type="dxa"/>
              <w:right w:w="0" w:type="dxa"/>
            </w:tcMar>
            <w:vAlign w:val="center"/>
          </w:tcPr>
          <w:p w14:paraId="7E432536">
            <w:pPr>
              <w:pStyle w:val="5"/>
              <w:keepNext w:val="0"/>
            </w:pPr>
            <w:r>
              <w:t>两人独立估计偏差不超过10%；现场拍照存档；审核人复核</w:t>
            </w:r>
          </w:p>
        </w:tc>
      </w:tr>
      <w:tr w14:paraId="4F2D3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6077326C">
            <w:pPr>
              <w:pStyle w:val="5"/>
              <w:keepNext w:val="0"/>
              <w:jc w:val="center"/>
              <w:rPr>
                <w:rFonts w:hint="eastAsia" w:ascii="黑体" w:hAnsi="黑体" w:eastAsia="黑体" w:cs="黑体"/>
              </w:rPr>
            </w:pPr>
            <w:r>
              <w:rPr>
                <w:rFonts w:ascii="黑体" w:hAnsi="黑体" w:eastAsia="黑体" w:cs="黑体"/>
              </w:rPr>
              <w:t>数据用途</w:t>
            </w:r>
          </w:p>
        </w:tc>
        <w:tc>
          <w:tcPr>
            <w:tcW w:w="3420" w:type="pct"/>
            <w:tcMar>
              <w:top w:w="150" w:type="dxa"/>
              <w:left w:w="240" w:type="dxa"/>
              <w:bottom w:w="150" w:type="dxa"/>
              <w:right w:w="0" w:type="dxa"/>
            </w:tcMar>
            <w:vAlign w:val="center"/>
          </w:tcPr>
          <w:p w14:paraId="57D63146">
            <w:pPr>
              <w:pStyle w:val="5"/>
              <w:keepNext w:val="0"/>
            </w:pPr>
            <w:r>
              <w:t>用于评估植被生长状况和生态系统稳定性</w:t>
            </w:r>
          </w:p>
        </w:tc>
      </w:tr>
      <w:tr w14:paraId="198C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79" w:type="pct"/>
            <w:tcMar>
              <w:top w:w="150" w:type="dxa"/>
              <w:left w:w="0" w:type="dxa"/>
              <w:bottom w:w="150" w:type="dxa"/>
              <w:right w:w="240" w:type="dxa"/>
            </w:tcMar>
            <w:vAlign w:val="center"/>
          </w:tcPr>
          <w:p w14:paraId="144AC06B">
            <w:pPr>
              <w:pStyle w:val="5"/>
              <w:keepNext w:val="0"/>
              <w:jc w:val="center"/>
              <w:rPr>
                <w:rFonts w:hint="eastAsia" w:ascii="黑体" w:hAnsi="黑体" w:eastAsia="黑体" w:cs="黑体"/>
              </w:rPr>
            </w:pPr>
            <w:r>
              <w:rPr>
                <w:rFonts w:ascii="黑体" w:hAnsi="黑体" w:eastAsia="黑体" w:cs="黑体"/>
              </w:rPr>
              <w:t>备注</w:t>
            </w:r>
          </w:p>
        </w:tc>
        <w:tc>
          <w:tcPr>
            <w:tcW w:w="3420" w:type="pct"/>
            <w:tcMar>
              <w:top w:w="150" w:type="dxa"/>
              <w:left w:w="240" w:type="dxa"/>
              <w:bottom w:w="150" w:type="dxa"/>
              <w:right w:w="0" w:type="dxa"/>
            </w:tcMar>
            <w:vAlign w:val="center"/>
          </w:tcPr>
          <w:p w14:paraId="12C48E1C">
            <w:pPr>
              <w:pStyle w:val="5"/>
              <w:keepNext w:val="0"/>
            </w:pPr>
            <w:r>
              <w:t>按挺水植物、浮叶植物、沉水植物分别记录</w:t>
            </w:r>
          </w:p>
        </w:tc>
      </w:tr>
    </w:tbl>
    <w:p w14:paraId="3C7EEBD7">
      <w:pPr>
        <w:pStyle w:val="4"/>
      </w:pPr>
      <w:r>
        <w:t>表2</w:t>
      </w:r>
      <w:r>
        <w:rPr>
          <w:rFonts w:hint="eastAsia"/>
          <w:lang w:val="en-US" w:eastAsia="zh-CN"/>
        </w:rPr>
        <w:t>1</w:t>
      </w:r>
      <w:r>
        <w:t xml:space="preserve"> 植被平均株高</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710"/>
        <w:gridCol w:w="5603"/>
      </w:tblGrid>
      <w:tr w14:paraId="2CBE6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6C2A7164">
            <w:pPr>
              <w:pStyle w:val="5"/>
              <w:keepNext w:val="0"/>
              <w:jc w:val="center"/>
              <w:rPr>
                <w:rFonts w:hint="eastAsia" w:ascii="黑体" w:hAnsi="黑体" w:eastAsia="黑体" w:cs="黑体"/>
              </w:rPr>
            </w:pPr>
            <w:r>
              <w:rPr>
                <w:rFonts w:ascii="黑体" w:hAnsi="黑体" w:eastAsia="黑体" w:cs="黑体"/>
              </w:rPr>
              <w:t>数据/参数名称</w:t>
            </w:r>
          </w:p>
        </w:tc>
        <w:tc>
          <w:tcPr>
            <w:tcW w:w="3369" w:type="pct"/>
            <w:tcMar>
              <w:top w:w="150" w:type="dxa"/>
              <w:left w:w="240" w:type="dxa"/>
              <w:bottom w:w="150" w:type="dxa"/>
              <w:right w:w="0" w:type="dxa"/>
            </w:tcMar>
            <w:vAlign w:val="center"/>
          </w:tcPr>
          <w:p w14:paraId="334D04D0">
            <w:pPr>
              <w:pStyle w:val="5"/>
              <w:keepNext w:val="0"/>
            </w:pPr>
            <w:r>
              <w:t>Height_avg</w:t>
            </w:r>
          </w:p>
        </w:tc>
      </w:tr>
      <w:tr w14:paraId="1479C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1E7E618C">
            <w:pPr>
              <w:pStyle w:val="5"/>
              <w:keepNext w:val="0"/>
              <w:jc w:val="center"/>
              <w:rPr>
                <w:rFonts w:hint="eastAsia" w:ascii="黑体" w:hAnsi="黑体" w:eastAsia="黑体" w:cs="黑体"/>
              </w:rPr>
            </w:pPr>
            <w:r>
              <w:rPr>
                <w:rFonts w:ascii="黑体" w:hAnsi="黑体" w:eastAsia="黑体" w:cs="黑体"/>
              </w:rPr>
              <w:t>应用的公式编号</w:t>
            </w:r>
          </w:p>
        </w:tc>
        <w:tc>
          <w:tcPr>
            <w:tcW w:w="3369" w:type="pct"/>
            <w:tcMar>
              <w:top w:w="150" w:type="dxa"/>
              <w:left w:w="240" w:type="dxa"/>
              <w:bottom w:w="150" w:type="dxa"/>
              <w:right w:w="0" w:type="dxa"/>
            </w:tcMar>
            <w:vAlign w:val="center"/>
          </w:tcPr>
          <w:p w14:paraId="7170EE7B">
            <w:pPr>
              <w:pStyle w:val="5"/>
              <w:keepNext w:val="0"/>
            </w:pPr>
            <w:r>
              <w:t>附录A湿地植被样地调查记录表</w:t>
            </w:r>
          </w:p>
        </w:tc>
      </w:tr>
      <w:tr w14:paraId="68575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1FF330CF">
            <w:pPr>
              <w:pStyle w:val="5"/>
              <w:keepNext w:val="0"/>
              <w:jc w:val="center"/>
              <w:rPr>
                <w:rFonts w:hint="eastAsia" w:ascii="黑体" w:hAnsi="黑体" w:eastAsia="黑体" w:cs="黑体"/>
              </w:rPr>
            </w:pPr>
            <w:r>
              <w:rPr>
                <w:rFonts w:ascii="黑体" w:hAnsi="黑体" w:eastAsia="黑体" w:cs="黑体"/>
              </w:rPr>
              <w:t>数据描述</w:t>
            </w:r>
          </w:p>
        </w:tc>
        <w:tc>
          <w:tcPr>
            <w:tcW w:w="3369" w:type="pct"/>
            <w:tcMar>
              <w:top w:w="150" w:type="dxa"/>
              <w:left w:w="240" w:type="dxa"/>
              <w:bottom w:w="150" w:type="dxa"/>
              <w:right w:w="0" w:type="dxa"/>
            </w:tcMar>
            <w:vAlign w:val="center"/>
          </w:tcPr>
          <w:p w14:paraId="4FA42CCC">
            <w:pPr>
              <w:pStyle w:val="5"/>
              <w:keepNext w:val="0"/>
            </w:pPr>
            <w:r>
              <w:t>样方内优势植被物种的平均株高</w:t>
            </w:r>
          </w:p>
        </w:tc>
      </w:tr>
      <w:tr w14:paraId="4265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7AF3F5B0">
            <w:pPr>
              <w:pStyle w:val="5"/>
              <w:keepNext w:val="0"/>
              <w:jc w:val="center"/>
              <w:rPr>
                <w:rFonts w:hint="eastAsia" w:ascii="黑体" w:hAnsi="黑体" w:eastAsia="黑体" w:cs="黑体"/>
              </w:rPr>
            </w:pPr>
            <w:r>
              <w:rPr>
                <w:rFonts w:ascii="黑体" w:hAnsi="黑体" w:eastAsia="黑体" w:cs="黑体"/>
              </w:rPr>
              <w:t>数据单位</w:t>
            </w:r>
          </w:p>
        </w:tc>
        <w:tc>
          <w:tcPr>
            <w:tcW w:w="3369" w:type="pct"/>
            <w:tcMar>
              <w:top w:w="150" w:type="dxa"/>
              <w:left w:w="240" w:type="dxa"/>
              <w:bottom w:w="150" w:type="dxa"/>
              <w:right w:w="0" w:type="dxa"/>
            </w:tcMar>
            <w:vAlign w:val="center"/>
          </w:tcPr>
          <w:p w14:paraId="7C256A21">
            <w:pPr>
              <w:pStyle w:val="5"/>
              <w:keepNext w:val="0"/>
            </w:pPr>
            <w:r>
              <w:t>cm</w:t>
            </w:r>
          </w:p>
        </w:tc>
      </w:tr>
      <w:tr w14:paraId="2865C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46C5E8F7">
            <w:pPr>
              <w:pStyle w:val="5"/>
              <w:keepNext w:val="0"/>
              <w:jc w:val="center"/>
              <w:rPr>
                <w:rFonts w:hint="eastAsia" w:ascii="黑体" w:hAnsi="黑体" w:eastAsia="黑体" w:cs="黑体"/>
              </w:rPr>
            </w:pPr>
            <w:r>
              <w:rPr>
                <w:rFonts w:ascii="黑体" w:hAnsi="黑体" w:eastAsia="黑体" w:cs="黑体"/>
              </w:rPr>
              <w:t>数据来源</w:t>
            </w:r>
          </w:p>
        </w:tc>
        <w:tc>
          <w:tcPr>
            <w:tcW w:w="3369" w:type="pct"/>
            <w:tcMar>
              <w:top w:w="150" w:type="dxa"/>
              <w:left w:w="240" w:type="dxa"/>
              <w:bottom w:w="150" w:type="dxa"/>
              <w:right w:w="0" w:type="dxa"/>
            </w:tcMar>
            <w:vAlign w:val="center"/>
          </w:tcPr>
          <w:p w14:paraId="31872366">
            <w:pPr>
              <w:pStyle w:val="5"/>
              <w:keepNext w:val="0"/>
            </w:pPr>
            <w:r>
              <w:t>野外样地实测</w:t>
            </w:r>
          </w:p>
        </w:tc>
      </w:tr>
      <w:tr w14:paraId="5ACF5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63A1D7AD">
            <w:pPr>
              <w:pStyle w:val="5"/>
              <w:keepNext w:val="0"/>
              <w:jc w:val="center"/>
              <w:rPr>
                <w:rFonts w:hint="eastAsia" w:ascii="黑体" w:hAnsi="黑体" w:eastAsia="黑体" w:cs="黑体"/>
              </w:rPr>
            </w:pPr>
            <w:r>
              <w:rPr>
                <w:rFonts w:ascii="黑体" w:hAnsi="黑体" w:eastAsia="黑体" w:cs="黑体"/>
              </w:rPr>
              <w:t>监测点要求</w:t>
            </w:r>
          </w:p>
        </w:tc>
        <w:tc>
          <w:tcPr>
            <w:tcW w:w="3369" w:type="pct"/>
            <w:tcMar>
              <w:top w:w="150" w:type="dxa"/>
              <w:left w:w="240" w:type="dxa"/>
              <w:bottom w:w="150" w:type="dxa"/>
              <w:right w:w="0" w:type="dxa"/>
            </w:tcMar>
            <w:vAlign w:val="center"/>
          </w:tcPr>
          <w:p w14:paraId="52DBF192">
            <w:pPr>
              <w:pStyle w:val="5"/>
              <w:keepNext w:val="0"/>
            </w:pPr>
            <w:r>
              <w:t>所有布设的植被监测样地</w:t>
            </w:r>
          </w:p>
        </w:tc>
      </w:tr>
      <w:tr w14:paraId="48D7B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5EB760E1">
            <w:pPr>
              <w:pStyle w:val="5"/>
              <w:keepNext w:val="0"/>
              <w:jc w:val="center"/>
              <w:rPr>
                <w:rFonts w:hint="eastAsia" w:ascii="黑体" w:hAnsi="黑体" w:eastAsia="黑体" w:cs="黑体"/>
              </w:rPr>
            </w:pPr>
            <w:r>
              <w:rPr>
                <w:rFonts w:ascii="黑体" w:hAnsi="黑体" w:eastAsia="黑体" w:cs="黑体"/>
              </w:rPr>
              <w:t>监测仪表要求</w:t>
            </w:r>
          </w:p>
        </w:tc>
        <w:tc>
          <w:tcPr>
            <w:tcW w:w="3369" w:type="pct"/>
            <w:tcMar>
              <w:top w:w="150" w:type="dxa"/>
              <w:left w:w="240" w:type="dxa"/>
              <w:bottom w:w="150" w:type="dxa"/>
              <w:right w:w="0" w:type="dxa"/>
            </w:tcMar>
            <w:vAlign w:val="center"/>
          </w:tcPr>
          <w:p w14:paraId="3C0C8F06">
            <w:pPr>
              <w:pStyle w:val="5"/>
              <w:keepNext w:val="0"/>
            </w:pPr>
            <w:r>
              <w:t>钢卷尺或测高杆（精度0.5cm）</w:t>
            </w:r>
          </w:p>
        </w:tc>
      </w:tr>
      <w:tr w14:paraId="319A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16F88D1C">
            <w:pPr>
              <w:pStyle w:val="5"/>
              <w:keepNext w:val="0"/>
              <w:jc w:val="center"/>
              <w:rPr>
                <w:rFonts w:hint="eastAsia" w:ascii="黑体" w:hAnsi="黑体" w:eastAsia="黑体" w:cs="黑体"/>
              </w:rPr>
            </w:pPr>
            <w:r>
              <w:rPr>
                <w:rFonts w:ascii="黑体" w:hAnsi="黑体" w:eastAsia="黑体" w:cs="黑体"/>
              </w:rPr>
              <w:t>监测程序与方法要求</w:t>
            </w:r>
          </w:p>
        </w:tc>
        <w:tc>
          <w:tcPr>
            <w:tcW w:w="3369" w:type="pct"/>
            <w:tcMar>
              <w:top w:w="150" w:type="dxa"/>
              <w:left w:w="240" w:type="dxa"/>
              <w:bottom w:w="150" w:type="dxa"/>
              <w:right w:w="0" w:type="dxa"/>
            </w:tcMar>
            <w:vAlign w:val="center"/>
          </w:tcPr>
          <w:p w14:paraId="584A332D">
            <w:pPr>
              <w:pStyle w:val="5"/>
              <w:keepNext w:val="0"/>
            </w:pPr>
            <w:r>
              <w:t>每个样方随机选取不少于10株典型植株，测量自然高度（从地面至最高点），取平均值</w:t>
            </w:r>
          </w:p>
        </w:tc>
      </w:tr>
      <w:tr w14:paraId="5712A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03DE8141">
            <w:pPr>
              <w:pStyle w:val="5"/>
              <w:keepNext w:val="0"/>
              <w:jc w:val="center"/>
              <w:rPr>
                <w:rFonts w:hint="eastAsia" w:ascii="黑体" w:hAnsi="黑体" w:eastAsia="黑体" w:cs="黑体"/>
              </w:rPr>
            </w:pPr>
            <w:r>
              <w:rPr>
                <w:rFonts w:ascii="黑体" w:hAnsi="黑体" w:eastAsia="黑体" w:cs="黑体"/>
              </w:rPr>
              <w:t>监测频次与记录要求</w:t>
            </w:r>
          </w:p>
        </w:tc>
        <w:tc>
          <w:tcPr>
            <w:tcW w:w="3369" w:type="pct"/>
            <w:tcMar>
              <w:top w:w="150" w:type="dxa"/>
              <w:left w:w="240" w:type="dxa"/>
              <w:bottom w:w="150" w:type="dxa"/>
              <w:right w:w="0" w:type="dxa"/>
            </w:tcMar>
            <w:vAlign w:val="center"/>
          </w:tcPr>
          <w:p w14:paraId="0A115C67">
            <w:pPr>
              <w:pStyle w:val="5"/>
              <w:keepNext w:val="0"/>
            </w:pPr>
            <w:r>
              <w:t>每年1次（9</w:t>
            </w:r>
            <w:r>
              <w:rPr>
                <w:rFonts w:hint="eastAsia"/>
                <w:lang w:eastAsia="zh-CN"/>
              </w:rPr>
              <w:t>—</w:t>
            </w:r>
            <w:r>
              <w:t>10月，与生物量采样同步）；记录样方编号、物种名称、各植株高度及平均值</w:t>
            </w:r>
          </w:p>
        </w:tc>
      </w:tr>
      <w:tr w14:paraId="3740F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00C3D90E">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369" w:type="pct"/>
            <w:tcMar>
              <w:top w:w="150" w:type="dxa"/>
              <w:left w:w="240" w:type="dxa"/>
              <w:bottom w:w="150" w:type="dxa"/>
              <w:right w:w="0" w:type="dxa"/>
            </w:tcMar>
            <w:vAlign w:val="center"/>
          </w:tcPr>
          <w:p w14:paraId="746A90C6">
            <w:pPr>
              <w:pStyle w:val="5"/>
              <w:keepNext w:val="0"/>
            </w:pPr>
            <w:r>
              <w:t>采样人、记录人、审核人三级签字；异常值须备注说明</w:t>
            </w:r>
          </w:p>
        </w:tc>
      </w:tr>
      <w:tr w14:paraId="16026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53A81AF7">
            <w:pPr>
              <w:pStyle w:val="5"/>
              <w:keepNext w:val="0"/>
              <w:jc w:val="center"/>
              <w:rPr>
                <w:rFonts w:hint="eastAsia" w:ascii="黑体" w:hAnsi="黑体" w:eastAsia="黑体" w:cs="黑体"/>
              </w:rPr>
            </w:pPr>
            <w:r>
              <w:rPr>
                <w:rFonts w:ascii="黑体" w:hAnsi="黑体" w:eastAsia="黑体" w:cs="黑体"/>
              </w:rPr>
              <w:t>数据用途</w:t>
            </w:r>
          </w:p>
        </w:tc>
        <w:tc>
          <w:tcPr>
            <w:tcW w:w="3369" w:type="pct"/>
            <w:tcMar>
              <w:top w:w="150" w:type="dxa"/>
              <w:left w:w="240" w:type="dxa"/>
              <w:bottom w:w="150" w:type="dxa"/>
              <w:right w:w="0" w:type="dxa"/>
            </w:tcMar>
            <w:vAlign w:val="center"/>
          </w:tcPr>
          <w:p w14:paraId="731F6213">
            <w:pPr>
              <w:pStyle w:val="5"/>
              <w:keepNext w:val="0"/>
            </w:pPr>
            <w:r>
              <w:t>用于辅助评估植被生长状况和生物量估算</w:t>
            </w:r>
          </w:p>
        </w:tc>
      </w:tr>
      <w:tr w14:paraId="749E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30" w:type="pct"/>
            <w:tcMar>
              <w:top w:w="150" w:type="dxa"/>
              <w:left w:w="0" w:type="dxa"/>
              <w:bottom w:w="150" w:type="dxa"/>
              <w:right w:w="240" w:type="dxa"/>
            </w:tcMar>
            <w:vAlign w:val="center"/>
          </w:tcPr>
          <w:p w14:paraId="7506FB93">
            <w:pPr>
              <w:pStyle w:val="5"/>
              <w:keepNext w:val="0"/>
              <w:jc w:val="center"/>
            </w:pPr>
            <w:r>
              <w:rPr>
                <w:rFonts w:ascii="黑体" w:hAnsi="黑体" w:eastAsia="黑体" w:cs="黑体"/>
              </w:rPr>
              <w:t>备注</w:t>
            </w:r>
          </w:p>
        </w:tc>
        <w:tc>
          <w:tcPr>
            <w:tcW w:w="3369" w:type="pct"/>
            <w:tcMar>
              <w:top w:w="150" w:type="dxa"/>
              <w:left w:w="240" w:type="dxa"/>
              <w:bottom w:w="150" w:type="dxa"/>
              <w:right w:w="0" w:type="dxa"/>
            </w:tcMar>
            <w:vAlign w:val="center"/>
          </w:tcPr>
          <w:p w14:paraId="27EE1B68">
            <w:pPr>
              <w:pStyle w:val="5"/>
              <w:keepNext w:val="0"/>
            </w:pPr>
            <w:r>
              <w:t>按挺水植物、浮叶植物、沉水植物分别记录</w:t>
            </w:r>
          </w:p>
        </w:tc>
      </w:tr>
    </w:tbl>
    <w:p w14:paraId="74FAB542">
      <w:pPr>
        <w:pStyle w:val="4"/>
      </w:pPr>
      <w:r>
        <w:t>表2</w:t>
      </w:r>
      <w:r>
        <w:rPr>
          <w:rFonts w:hint="eastAsia"/>
          <w:lang w:val="en-US" w:eastAsia="zh-CN"/>
        </w:rPr>
        <w:t>2</w:t>
      </w:r>
      <w:r>
        <w:t xml:space="preserve"> 植被生长状况</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774"/>
        <w:gridCol w:w="5539"/>
      </w:tblGrid>
      <w:tr w14:paraId="70E72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5108AB2C">
            <w:pPr>
              <w:pStyle w:val="5"/>
              <w:keepNext w:val="0"/>
              <w:jc w:val="center"/>
              <w:rPr>
                <w:rFonts w:hint="eastAsia" w:ascii="黑体" w:hAnsi="黑体" w:eastAsia="黑体" w:cs="黑体"/>
              </w:rPr>
            </w:pPr>
            <w:r>
              <w:rPr>
                <w:rFonts w:ascii="黑体" w:hAnsi="黑体" w:eastAsia="黑体" w:cs="黑体"/>
              </w:rPr>
              <w:t>数据/参数名称</w:t>
            </w:r>
          </w:p>
        </w:tc>
        <w:tc>
          <w:tcPr>
            <w:tcW w:w="3331" w:type="pct"/>
            <w:tcMar>
              <w:top w:w="150" w:type="dxa"/>
              <w:left w:w="240" w:type="dxa"/>
              <w:bottom w:w="150" w:type="dxa"/>
              <w:right w:w="0" w:type="dxa"/>
            </w:tcMar>
            <w:vAlign w:val="center"/>
          </w:tcPr>
          <w:p w14:paraId="549B9D1C">
            <w:pPr>
              <w:pStyle w:val="5"/>
              <w:keepNext w:val="0"/>
            </w:pPr>
            <w:r>
              <w:t>Growth_status</w:t>
            </w:r>
          </w:p>
        </w:tc>
      </w:tr>
      <w:tr w14:paraId="5587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6F6DDF9C">
            <w:pPr>
              <w:pStyle w:val="5"/>
              <w:keepNext w:val="0"/>
              <w:jc w:val="center"/>
              <w:rPr>
                <w:rFonts w:hint="eastAsia" w:ascii="黑体" w:hAnsi="黑体" w:eastAsia="黑体" w:cs="黑体"/>
              </w:rPr>
            </w:pPr>
            <w:r>
              <w:rPr>
                <w:rFonts w:ascii="黑体" w:hAnsi="黑体" w:eastAsia="黑体" w:cs="黑体"/>
              </w:rPr>
              <w:t>应用的公式编号</w:t>
            </w:r>
          </w:p>
        </w:tc>
        <w:tc>
          <w:tcPr>
            <w:tcW w:w="3331" w:type="pct"/>
            <w:tcMar>
              <w:top w:w="150" w:type="dxa"/>
              <w:left w:w="240" w:type="dxa"/>
              <w:bottom w:w="150" w:type="dxa"/>
              <w:right w:w="0" w:type="dxa"/>
            </w:tcMar>
            <w:vAlign w:val="center"/>
          </w:tcPr>
          <w:p w14:paraId="6528490C">
            <w:pPr>
              <w:pStyle w:val="5"/>
              <w:keepNext w:val="0"/>
            </w:pPr>
            <w:r>
              <w:t>附录A湿地植被样地调查记录表</w:t>
            </w:r>
          </w:p>
        </w:tc>
      </w:tr>
      <w:tr w14:paraId="20DC1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41F222C3">
            <w:pPr>
              <w:pStyle w:val="5"/>
              <w:keepNext w:val="0"/>
              <w:jc w:val="center"/>
              <w:rPr>
                <w:rFonts w:hint="eastAsia" w:ascii="黑体" w:hAnsi="黑体" w:eastAsia="黑体" w:cs="黑体"/>
              </w:rPr>
            </w:pPr>
            <w:r>
              <w:rPr>
                <w:rFonts w:ascii="黑体" w:hAnsi="黑体" w:eastAsia="黑体" w:cs="黑体"/>
              </w:rPr>
              <w:t>数据描述</w:t>
            </w:r>
          </w:p>
        </w:tc>
        <w:tc>
          <w:tcPr>
            <w:tcW w:w="3331" w:type="pct"/>
            <w:tcMar>
              <w:top w:w="150" w:type="dxa"/>
              <w:left w:w="240" w:type="dxa"/>
              <w:bottom w:w="150" w:type="dxa"/>
              <w:right w:w="0" w:type="dxa"/>
            </w:tcMar>
            <w:vAlign w:val="center"/>
          </w:tcPr>
          <w:p w14:paraId="012C7048">
            <w:pPr>
              <w:pStyle w:val="5"/>
              <w:keepNext w:val="0"/>
            </w:pPr>
            <w:r>
              <w:t>样方内植被的生长状况等级</w:t>
            </w:r>
          </w:p>
        </w:tc>
      </w:tr>
      <w:tr w14:paraId="71F4A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36F8323F">
            <w:pPr>
              <w:pStyle w:val="5"/>
              <w:keepNext w:val="0"/>
              <w:jc w:val="center"/>
              <w:rPr>
                <w:rFonts w:hint="eastAsia" w:ascii="黑体" w:hAnsi="黑体" w:eastAsia="黑体" w:cs="黑体"/>
              </w:rPr>
            </w:pPr>
            <w:r>
              <w:rPr>
                <w:rFonts w:ascii="黑体" w:hAnsi="黑体" w:eastAsia="黑体" w:cs="黑体"/>
              </w:rPr>
              <w:t>数据单位</w:t>
            </w:r>
          </w:p>
        </w:tc>
        <w:tc>
          <w:tcPr>
            <w:tcW w:w="3331" w:type="pct"/>
            <w:tcMar>
              <w:top w:w="150" w:type="dxa"/>
              <w:left w:w="240" w:type="dxa"/>
              <w:bottom w:w="150" w:type="dxa"/>
              <w:right w:w="0" w:type="dxa"/>
            </w:tcMar>
            <w:vAlign w:val="center"/>
          </w:tcPr>
          <w:p w14:paraId="6AAC603B">
            <w:pPr>
              <w:pStyle w:val="5"/>
              <w:keepNext w:val="0"/>
            </w:pPr>
            <w:r>
              <w:t>定性分级（良好/一般/较差）</w:t>
            </w:r>
          </w:p>
        </w:tc>
      </w:tr>
      <w:tr w14:paraId="27DD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51F3F3E1">
            <w:pPr>
              <w:pStyle w:val="5"/>
              <w:keepNext w:val="0"/>
              <w:jc w:val="center"/>
              <w:rPr>
                <w:rFonts w:hint="eastAsia" w:ascii="黑体" w:hAnsi="黑体" w:eastAsia="黑体" w:cs="黑体"/>
              </w:rPr>
            </w:pPr>
            <w:r>
              <w:rPr>
                <w:rFonts w:ascii="黑体" w:hAnsi="黑体" w:eastAsia="黑体" w:cs="黑体"/>
              </w:rPr>
              <w:t>数据来源</w:t>
            </w:r>
          </w:p>
        </w:tc>
        <w:tc>
          <w:tcPr>
            <w:tcW w:w="3331" w:type="pct"/>
            <w:tcMar>
              <w:top w:w="150" w:type="dxa"/>
              <w:left w:w="240" w:type="dxa"/>
              <w:bottom w:w="150" w:type="dxa"/>
              <w:right w:w="0" w:type="dxa"/>
            </w:tcMar>
            <w:vAlign w:val="center"/>
          </w:tcPr>
          <w:p w14:paraId="16DFEEE9">
            <w:pPr>
              <w:pStyle w:val="5"/>
              <w:keepNext w:val="0"/>
            </w:pPr>
            <w:r>
              <w:t>野外样地观察判定</w:t>
            </w:r>
          </w:p>
        </w:tc>
      </w:tr>
      <w:tr w14:paraId="50F25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66DE207E">
            <w:pPr>
              <w:pStyle w:val="5"/>
              <w:keepNext w:val="0"/>
              <w:jc w:val="center"/>
              <w:rPr>
                <w:rFonts w:hint="eastAsia" w:ascii="黑体" w:hAnsi="黑体" w:eastAsia="黑体" w:cs="黑体"/>
              </w:rPr>
            </w:pPr>
            <w:r>
              <w:rPr>
                <w:rFonts w:ascii="黑体" w:hAnsi="黑体" w:eastAsia="黑体" w:cs="黑体"/>
              </w:rPr>
              <w:t>监测点要求</w:t>
            </w:r>
          </w:p>
        </w:tc>
        <w:tc>
          <w:tcPr>
            <w:tcW w:w="3331" w:type="pct"/>
            <w:tcMar>
              <w:top w:w="150" w:type="dxa"/>
              <w:left w:w="240" w:type="dxa"/>
              <w:bottom w:w="150" w:type="dxa"/>
              <w:right w:w="0" w:type="dxa"/>
            </w:tcMar>
            <w:vAlign w:val="center"/>
          </w:tcPr>
          <w:p w14:paraId="729172EA">
            <w:pPr>
              <w:pStyle w:val="5"/>
              <w:keepNext w:val="0"/>
            </w:pPr>
            <w:r>
              <w:t>所有布设的植被监测样地</w:t>
            </w:r>
          </w:p>
        </w:tc>
      </w:tr>
      <w:tr w14:paraId="1AA85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7D460836">
            <w:pPr>
              <w:pStyle w:val="5"/>
              <w:keepNext w:val="0"/>
              <w:jc w:val="center"/>
              <w:rPr>
                <w:rFonts w:hint="eastAsia" w:ascii="黑体" w:hAnsi="黑体" w:eastAsia="黑体" w:cs="黑体"/>
              </w:rPr>
            </w:pPr>
            <w:r>
              <w:rPr>
                <w:rFonts w:ascii="黑体" w:hAnsi="黑体" w:eastAsia="黑体" w:cs="黑体"/>
              </w:rPr>
              <w:t>监测仪表要求</w:t>
            </w:r>
          </w:p>
        </w:tc>
        <w:tc>
          <w:tcPr>
            <w:tcW w:w="3331" w:type="pct"/>
            <w:tcMar>
              <w:top w:w="150" w:type="dxa"/>
              <w:left w:w="240" w:type="dxa"/>
              <w:bottom w:w="150" w:type="dxa"/>
              <w:right w:w="0" w:type="dxa"/>
            </w:tcMar>
            <w:vAlign w:val="center"/>
          </w:tcPr>
          <w:p w14:paraId="02B5FC9A">
            <w:pPr>
              <w:pStyle w:val="5"/>
              <w:keepNext w:val="0"/>
            </w:pPr>
            <w:r>
              <w:t>照相机、记录表</w:t>
            </w:r>
          </w:p>
        </w:tc>
      </w:tr>
      <w:tr w14:paraId="0A85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4672A976">
            <w:pPr>
              <w:pStyle w:val="5"/>
              <w:keepNext w:val="0"/>
              <w:jc w:val="center"/>
              <w:rPr>
                <w:rFonts w:hint="eastAsia" w:ascii="黑体" w:hAnsi="黑体" w:eastAsia="黑体" w:cs="黑体"/>
              </w:rPr>
            </w:pPr>
            <w:r>
              <w:rPr>
                <w:rFonts w:ascii="黑体" w:hAnsi="黑体" w:eastAsia="黑体" w:cs="黑体"/>
              </w:rPr>
              <w:t>监测程序与方法要求</w:t>
            </w:r>
          </w:p>
        </w:tc>
        <w:tc>
          <w:tcPr>
            <w:tcW w:w="3331" w:type="pct"/>
            <w:tcMar>
              <w:top w:w="150" w:type="dxa"/>
              <w:left w:w="240" w:type="dxa"/>
              <w:bottom w:w="150" w:type="dxa"/>
              <w:right w:w="0" w:type="dxa"/>
            </w:tcMar>
            <w:vAlign w:val="center"/>
          </w:tcPr>
          <w:p w14:paraId="37DBE8FD">
            <w:pPr>
              <w:pStyle w:val="5"/>
              <w:keepNext w:val="0"/>
            </w:pPr>
            <w:r>
              <w:t>综合评估植被颜色、密度、病虫害、枯黄比例等指标；良好：色泽正常、密度高、无病虫害；一般：色泽偏黄、密度中等、轻度病虫害；较差：大面积枯黄、密度低、严重病虫害</w:t>
            </w:r>
          </w:p>
        </w:tc>
      </w:tr>
      <w:tr w14:paraId="1F103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4FB7C1E0">
            <w:pPr>
              <w:pStyle w:val="5"/>
              <w:keepNext w:val="0"/>
              <w:jc w:val="center"/>
              <w:rPr>
                <w:rFonts w:hint="eastAsia" w:ascii="黑体" w:hAnsi="黑体" w:eastAsia="黑体" w:cs="黑体"/>
              </w:rPr>
            </w:pPr>
            <w:r>
              <w:rPr>
                <w:rFonts w:ascii="黑体" w:hAnsi="黑体" w:eastAsia="黑体" w:cs="黑体"/>
              </w:rPr>
              <w:t>监测频次与记录要求</w:t>
            </w:r>
          </w:p>
        </w:tc>
        <w:tc>
          <w:tcPr>
            <w:tcW w:w="3331" w:type="pct"/>
            <w:tcMar>
              <w:top w:w="150" w:type="dxa"/>
              <w:left w:w="240" w:type="dxa"/>
              <w:bottom w:w="150" w:type="dxa"/>
              <w:right w:w="0" w:type="dxa"/>
            </w:tcMar>
            <w:vAlign w:val="center"/>
          </w:tcPr>
          <w:p w14:paraId="57958B5C">
            <w:pPr>
              <w:pStyle w:val="5"/>
              <w:keepNext w:val="0"/>
            </w:pPr>
            <w:r>
              <w:t>每年1次（9</w:t>
            </w:r>
            <w:r>
              <w:rPr>
                <w:rFonts w:hint="eastAsia"/>
                <w:lang w:eastAsia="zh-CN"/>
              </w:rPr>
              <w:t>—</w:t>
            </w:r>
            <w:r>
              <w:t>10月，与生物量采样同步）；现场拍照存档</w:t>
            </w:r>
          </w:p>
        </w:tc>
      </w:tr>
      <w:tr w14:paraId="2BF9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4B637A77">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331" w:type="pct"/>
            <w:tcMar>
              <w:top w:w="150" w:type="dxa"/>
              <w:left w:w="240" w:type="dxa"/>
              <w:bottom w:w="150" w:type="dxa"/>
              <w:right w:w="0" w:type="dxa"/>
            </w:tcMar>
            <w:vAlign w:val="center"/>
          </w:tcPr>
          <w:p w14:paraId="425E0531">
            <w:pPr>
              <w:pStyle w:val="5"/>
              <w:keepNext w:val="0"/>
            </w:pPr>
            <w:r>
              <w:t>由2人独立判定</w:t>
            </w:r>
            <w:r>
              <w:rPr>
                <w:rFonts w:hint="eastAsia"/>
                <w:lang w:eastAsia="zh-CN"/>
              </w:rPr>
              <w:t>达成</w:t>
            </w:r>
            <w:r>
              <w:t>共识；审核人复核</w:t>
            </w:r>
          </w:p>
        </w:tc>
      </w:tr>
      <w:tr w14:paraId="694F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2FFC6DFF">
            <w:pPr>
              <w:pStyle w:val="5"/>
              <w:keepNext w:val="0"/>
              <w:jc w:val="center"/>
              <w:rPr>
                <w:rFonts w:hint="eastAsia" w:ascii="黑体" w:hAnsi="黑体" w:eastAsia="黑体" w:cs="黑体"/>
              </w:rPr>
            </w:pPr>
            <w:r>
              <w:rPr>
                <w:rFonts w:ascii="黑体" w:hAnsi="黑体" w:eastAsia="黑体" w:cs="黑体"/>
              </w:rPr>
              <w:t>数据用途</w:t>
            </w:r>
          </w:p>
        </w:tc>
        <w:tc>
          <w:tcPr>
            <w:tcW w:w="3331" w:type="pct"/>
            <w:tcMar>
              <w:top w:w="150" w:type="dxa"/>
              <w:left w:w="240" w:type="dxa"/>
              <w:bottom w:w="150" w:type="dxa"/>
              <w:right w:w="0" w:type="dxa"/>
            </w:tcMar>
            <w:vAlign w:val="center"/>
          </w:tcPr>
          <w:p w14:paraId="02148C1C">
            <w:pPr>
              <w:pStyle w:val="5"/>
              <w:keepNext w:val="0"/>
            </w:pPr>
            <w:r>
              <w:t>用于评估项目生态修复效果和碳汇能力</w:t>
            </w:r>
            <w:r>
              <w:rPr>
                <w:rFonts w:hint="eastAsia"/>
                <w:lang w:eastAsia="zh-CN"/>
              </w:rPr>
              <w:t>的可</w:t>
            </w:r>
            <w:r>
              <w:t>持续性</w:t>
            </w:r>
          </w:p>
        </w:tc>
      </w:tr>
      <w:tr w14:paraId="5CCB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8" w:type="pct"/>
            <w:tcMar>
              <w:top w:w="150" w:type="dxa"/>
              <w:left w:w="0" w:type="dxa"/>
              <w:bottom w:w="150" w:type="dxa"/>
              <w:right w:w="240" w:type="dxa"/>
            </w:tcMar>
            <w:vAlign w:val="center"/>
          </w:tcPr>
          <w:p w14:paraId="31608A87">
            <w:pPr>
              <w:pStyle w:val="5"/>
              <w:keepNext w:val="0"/>
              <w:jc w:val="center"/>
              <w:rPr>
                <w:rFonts w:hint="eastAsia" w:ascii="黑体" w:hAnsi="黑体" w:eastAsia="黑体" w:cs="黑体"/>
              </w:rPr>
            </w:pPr>
            <w:r>
              <w:rPr>
                <w:rFonts w:ascii="黑体" w:hAnsi="黑体" w:eastAsia="黑体" w:cs="黑体"/>
              </w:rPr>
              <w:t>备注</w:t>
            </w:r>
          </w:p>
        </w:tc>
        <w:tc>
          <w:tcPr>
            <w:tcW w:w="3331" w:type="pct"/>
            <w:tcMar>
              <w:top w:w="150" w:type="dxa"/>
              <w:left w:w="240" w:type="dxa"/>
              <w:bottom w:w="150" w:type="dxa"/>
              <w:right w:w="0" w:type="dxa"/>
            </w:tcMar>
            <w:vAlign w:val="center"/>
          </w:tcPr>
          <w:p w14:paraId="5FAF2280">
            <w:pPr>
              <w:pStyle w:val="5"/>
              <w:keepNext w:val="0"/>
            </w:pPr>
            <w:r>
              <w:t>如出现大面积退化或死亡，须在备注中详细说明原因</w:t>
            </w:r>
          </w:p>
        </w:tc>
      </w:tr>
    </w:tbl>
    <w:p w14:paraId="03B8FC10">
      <w:pPr>
        <w:pStyle w:val="4"/>
      </w:pPr>
      <w:r>
        <w:t>表2</w:t>
      </w:r>
      <w:r>
        <w:rPr>
          <w:rFonts w:hint="eastAsia"/>
          <w:lang w:val="en-US" w:eastAsia="zh-CN"/>
        </w:rPr>
        <w:t>3</w:t>
      </w:r>
      <w:r>
        <w:t xml:space="preserve"> 土壤有机碳含量</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787"/>
        <w:gridCol w:w="5526"/>
      </w:tblGrid>
      <w:tr w14:paraId="61D4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6AAAA6DC">
            <w:pPr>
              <w:pStyle w:val="5"/>
              <w:keepNext w:val="0"/>
              <w:jc w:val="center"/>
              <w:rPr>
                <w:rFonts w:hint="eastAsia" w:ascii="黑体" w:hAnsi="黑体" w:eastAsia="黑体" w:cs="黑体"/>
              </w:rPr>
            </w:pPr>
            <w:r>
              <w:rPr>
                <w:rFonts w:ascii="黑体" w:hAnsi="黑体" w:eastAsia="黑体" w:cs="黑体"/>
              </w:rPr>
              <w:t>数据/参数名称</w:t>
            </w:r>
          </w:p>
        </w:tc>
        <w:tc>
          <w:tcPr>
            <w:tcW w:w="3323" w:type="pct"/>
            <w:tcMar>
              <w:top w:w="150" w:type="dxa"/>
              <w:left w:w="240" w:type="dxa"/>
              <w:bottom w:w="150" w:type="dxa"/>
              <w:right w:w="0" w:type="dxa"/>
            </w:tcMar>
            <w:vAlign w:val="center"/>
          </w:tcPr>
          <w:p w14:paraId="2FD036D7">
            <w:pPr>
              <w:pStyle w:val="5"/>
              <w:keepNext w:val="0"/>
            </w:pPr>
            <w:r>
              <w:t>SOC</w:t>
            </w:r>
          </w:p>
        </w:tc>
      </w:tr>
      <w:tr w14:paraId="0168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35E4DA4E">
            <w:pPr>
              <w:pStyle w:val="5"/>
              <w:keepNext w:val="0"/>
              <w:jc w:val="center"/>
              <w:rPr>
                <w:rFonts w:hint="eastAsia" w:ascii="黑体" w:hAnsi="黑体" w:eastAsia="黑体" w:cs="黑体"/>
              </w:rPr>
            </w:pPr>
            <w:r>
              <w:rPr>
                <w:rFonts w:ascii="黑体" w:hAnsi="黑体" w:eastAsia="黑体" w:cs="黑体"/>
              </w:rPr>
              <w:t>应用的公式编号</w:t>
            </w:r>
          </w:p>
        </w:tc>
        <w:tc>
          <w:tcPr>
            <w:tcW w:w="3323" w:type="pct"/>
            <w:tcMar>
              <w:top w:w="150" w:type="dxa"/>
              <w:left w:w="240" w:type="dxa"/>
              <w:bottom w:w="150" w:type="dxa"/>
              <w:right w:w="0" w:type="dxa"/>
            </w:tcMar>
            <w:vAlign w:val="center"/>
          </w:tcPr>
          <w:p w14:paraId="2797B0DD">
            <w:pPr>
              <w:pStyle w:val="5"/>
              <w:keepNext w:val="0"/>
            </w:pPr>
            <w:r>
              <w:rPr>
                <w:rFonts w:hint="eastAsia"/>
              </w:rPr>
              <w:t>公式（</w:t>
            </w:r>
            <w:r>
              <w:t>11</w:t>
            </w:r>
            <w:r>
              <w:rPr>
                <w:rFonts w:hint="eastAsia"/>
              </w:rPr>
              <w:t>）、公式（</w:t>
            </w:r>
            <w:r>
              <w:t>12</w:t>
            </w:r>
            <w:r>
              <w:rPr>
                <w:rFonts w:hint="eastAsia"/>
              </w:rPr>
              <w:t>）、公式（</w:t>
            </w:r>
            <w:r>
              <w:t>13</w:t>
            </w:r>
            <w:r>
              <w:rPr>
                <w:rFonts w:hint="eastAsia"/>
              </w:rPr>
              <w:t>）、公式（</w:t>
            </w:r>
            <w:r>
              <w:t>14</w:t>
            </w:r>
            <w:r>
              <w:rPr>
                <w:rFonts w:hint="eastAsia"/>
              </w:rPr>
              <w:t>）、公式（</w:t>
            </w:r>
            <w:r>
              <w:t>15</w:t>
            </w:r>
            <w:r>
              <w:rPr>
                <w:rFonts w:hint="eastAsia"/>
              </w:rPr>
              <w:t>）、公式（</w:t>
            </w:r>
            <w:r>
              <w:t>16</w:t>
            </w:r>
            <w:r>
              <w:rPr>
                <w:rFonts w:hint="eastAsia"/>
              </w:rPr>
              <w:t>）</w:t>
            </w:r>
          </w:p>
        </w:tc>
      </w:tr>
      <w:tr w14:paraId="6B2C0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2CEF0FB8">
            <w:pPr>
              <w:pStyle w:val="5"/>
              <w:keepNext w:val="0"/>
              <w:jc w:val="center"/>
              <w:rPr>
                <w:rFonts w:hint="eastAsia" w:ascii="黑体" w:hAnsi="黑体" w:eastAsia="黑体" w:cs="黑体"/>
              </w:rPr>
            </w:pPr>
            <w:r>
              <w:rPr>
                <w:rFonts w:ascii="黑体" w:hAnsi="黑体" w:eastAsia="黑体" w:cs="黑体"/>
              </w:rPr>
              <w:t>数据描述</w:t>
            </w:r>
          </w:p>
        </w:tc>
        <w:tc>
          <w:tcPr>
            <w:tcW w:w="3323" w:type="pct"/>
            <w:tcMar>
              <w:top w:w="150" w:type="dxa"/>
              <w:left w:w="240" w:type="dxa"/>
              <w:bottom w:w="150" w:type="dxa"/>
              <w:right w:w="0" w:type="dxa"/>
            </w:tcMar>
            <w:vAlign w:val="center"/>
          </w:tcPr>
          <w:p w14:paraId="6A3AC1DC">
            <w:pPr>
              <w:pStyle w:val="5"/>
              <w:keepNext w:val="0"/>
            </w:pPr>
            <w:r>
              <w:t>土壤样品中有机碳的含量</w:t>
            </w:r>
          </w:p>
        </w:tc>
      </w:tr>
      <w:tr w14:paraId="74DA2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1403FBE8">
            <w:pPr>
              <w:pStyle w:val="5"/>
              <w:keepNext w:val="0"/>
              <w:jc w:val="center"/>
              <w:rPr>
                <w:rFonts w:hint="eastAsia" w:ascii="黑体" w:hAnsi="黑体" w:eastAsia="黑体" w:cs="黑体"/>
              </w:rPr>
            </w:pPr>
            <w:r>
              <w:rPr>
                <w:rFonts w:ascii="黑体" w:hAnsi="黑体" w:eastAsia="黑体" w:cs="黑体"/>
              </w:rPr>
              <w:t>数据单位</w:t>
            </w:r>
          </w:p>
        </w:tc>
        <w:tc>
          <w:tcPr>
            <w:tcW w:w="3323" w:type="pct"/>
            <w:tcMar>
              <w:top w:w="150" w:type="dxa"/>
              <w:left w:w="240" w:type="dxa"/>
              <w:bottom w:w="150" w:type="dxa"/>
              <w:right w:w="0" w:type="dxa"/>
            </w:tcMar>
            <w:vAlign w:val="center"/>
          </w:tcPr>
          <w:p w14:paraId="77E3AFBF">
            <w:pPr>
              <w:pStyle w:val="5"/>
              <w:keepNext w:val="0"/>
            </w:pPr>
            <w:r>
              <w:t>g/kg</w:t>
            </w:r>
          </w:p>
        </w:tc>
      </w:tr>
      <w:tr w14:paraId="7A7C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6F6F5839">
            <w:pPr>
              <w:pStyle w:val="5"/>
              <w:keepNext w:val="0"/>
              <w:jc w:val="center"/>
              <w:rPr>
                <w:rFonts w:hint="eastAsia" w:ascii="黑体" w:hAnsi="黑体" w:eastAsia="黑体" w:cs="黑体"/>
              </w:rPr>
            </w:pPr>
            <w:r>
              <w:rPr>
                <w:rFonts w:ascii="黑体" w:hAnsi="黑体" w:eastAsia="黑体" w:cs="黑体"/>
              </w:rPr>
              <w:t>数据来源</w:t>
            </w:r>
          </w:p>
        </w:tc>
        <w:tc>
          <w:tcPr>
            <w:tcW w:w="3323" w:type="pct"/>
            <w:tcMar>
              <w:top w:w="150" w:type="dxa"/>
              <w:left w:w="240" w:type="dxa"/>
              <w:bottom w:w="150" w:type="dxa"/>
              <w:right w:w="0" w:type="dxa"/>
            </w:tcMar>
            <w:vAlign w:val="center"/>
          </w:tcPr>
          <w:p w14:paraId="1D98658A">
            <w:pPr>
              <w:pStyle w:val="5"/>
              <w:keepNext w:val="0"/>
            </w:pPr>
            <w:r>
              <w:t>实验室检测分析</w:t>
            </w:r>
          </w:p>
        </w:tc>
      </w:tr>
      <w:tr w14:paraId="2D2B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0841158D">
            <w:pPr>
              <w:pStyle w:val="5"/>
              <w:keepNext w:val="0"/>
              <w:jc w:val="center"/>
              <w:rPr>
                <w:rFonts w:hint="eastAsia" w:ascii="黑体" w:hAnsi="黑体" w:eastAsia="黑体" w:cs="黑体"/>
              </w:rPr>
            </w:pPr>
            <w:r>
              <w:rPr>
                <w:rFonts w:ascii="黑体" w:hAnsi="黑体" w:eastAsia="黑体" w:cs="黑体"/>
              </w:rPr>
              <w:t>监测点要求</w:t>
            </w:r>
          </w:p>
        </w:tc>
        <w:tc>
          <w:tcPr>
            <w:tcW w:w="3323" w:type="pct"/>
            <w:tcMar>
              <w:top w:w="150" w:type="dxa"/>
              <w:left w:w="240" w:type="dxa"/>
              <w:bottom w:w="150" w:type="dxa"/>
              <w:right w:w="0" w:type="dxa"/>
            </w:tcMar>
            <w:vAlign w:val="center"/>
          </w:tcPr>
          <w:p w14:paraId="43E46CB5">
            <w:pPr>
              <w:pStyle w:val="5"/>
              <w:keepNext w:val="0"/>
            </w:pPr>
            <w:r>
              <w:t>所有布设的土壤监测点位（分层采样：0</w:t>
            </w:r>
            <w:r>
              <w:rPr>
                <w:rFonts w:hint="eastAsia"/>
                <w:lang w:eastAsia="zh-CN"/>
              </w:rPr>
              <w:t>–</w:t>
            </w:r>
            <w:r>
              <w:t>20cm、20</w:t>
            </w:r>
            <w:r>
              <w:rPr>
                <w:rFonts w:hint="eastAsia"/>
                <w:lang w:eastAsia="zh-CN"/>
              </w:rPr>
              <w:t>–</w:t>
            </w:r>
            <w:r>
              <w:t>40cm、40</w:t>
            </w:r>
            <w:r>
              <w:rPr>
                <w:rFonts w:hint="eastAsia"/>
                <w:lang w:eastAsia="zh-CN"/>
              </w:rPr>
              <w:t>–</w:t>
            </w:r>
            <w:r>
              <w:t>60cm）</w:t>
            </w:r>
          </w:p>
        </w:tc>
      </w:tr>
      <w:tr w14:paraId="35AE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6DA57A89">
            <w:pPr>
              <w:pStyle w:val="5"/>
              <w:keepNext w:val="0"/>
              <w:jc w:val="center"/>
              <w:rPr>
                <w:rFonts w:hint="eastAsia" w:ascii="黑体" w:hAnsi="黑体" w:eastAsia="黑体" w:cs="黑体"/>
              </w:rPr>
            </w:pPr>
            <w:r>
              <w:rPr>
                <w:rFonts w:ascii="黑体" w:hAnsi="黑体" w:eastAsia="黑体" w:cs="黑体"/>
              </w:rPr>
              <w:t>监测仪表要求</w:t>
            </w:r>
          </w:p>
        </w:tc>
        <w:tc>
          <w:tcPr>
            <w:tcW w:w="3323" w:type="pct"/>
            <w:tcMar>
              <w:top w:w="150" w:type="dxa"/>
              <w:left w:w="240" w:type="dxa"/>
              <w:bottom w:w="150" w:type="dxa"/>
              <w:right w:w="0" w:type="dxa"/>
            </w:tcMar>
            <w:vAlign w:val="center"/>
          </w:tcPr>
          <w:p w14:paraId="005AC7C5">
            <w:pPr>
              <w:pStyle w:val="5"/>
              <w:keepNext w:val="0"/>
            </w:pPr>
            <w:r>
              <w:t>土钻、样品袋、GPS/BDS定位设备（CGCS2000坐标系）、分析天平、烘箱</w:t>
            </w:r>
          </w:p>
        </w:tc>
      </w:tr>
      <w:tr w14:paraId="434EE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010702F4">
            <w:pPr>
              <w:pStyle w:val="5"/>
              <w:keepNext w:val="0"/>
              <w:jc w:val="center"/>
              <w:rPr>
                <w:rFonts w:hint="eastAsia" w:ascii="黑体" w:hAnsi="黑体" w:eastAsia="黑体" w:cs="黑体"/>
              </w:rPr>
            </w:pPr>
            <w:r>
              <w:rPr>
                <w:rFonts w:ascii="黑体" w:hAnsi="黑体" w:eastAsia="黑体" w:cs="黑体"/>
              </w:rPr>
              <w:t>监测程序与方法要求</w:t>
            </w:r>
          </w:p>
        </w:tc>
        <w:tc>
          <w:tcPr>
            <w:tcW w:w="3323" w:type="pct"/>
            <w:tcMar>
              <w:top w:w="150" w:type="dxa"/>
              <w:left w:w="240" w:type="dxa"/>
              <w:bottom w:w="150" w:type="dxa"/>
              <w:right w:w="0" w:type="dxa"/>
            </w:tcMar>
            <w:vAlign w:val="center"/>
          </w:tcPr>
          <w:p w14:paraId="0508F295">
            <w:pPr>
              <w:pStyle w:val="5"/>
              <w:keepNext w:val="0"/>
            </w:pPr>
            <w:r>
              <w:t>按照</w:t>
            </w:r>
            <w:r>
              <w:rPr>
                <w:rFonts w:hint="eastAsia"/>
                <w:lang w:eastAsia="zh-CN"/>
              </w:rPr>
              <w:t>《</w:t>
            </w:r>
            <w:r>
              <w:t>NY/T 1121.6-2006土壤检测</w:t>
            </w:r>
            <w:r>
              <w:rPr>
                <w:rFonts w:hint="eastAsia"/>
                <w:lang w:eastAsia="zh-CN"/>
              </w:rPr>
              <w:t xml:space="preserve"> 第</w:t>
            </w:r>
            <w:r>
              <w:t>6部分：土壤有机质的测定</w:t>
            </w:r>
            <w:r>
              <w:rPr>
                <w:rFonts w:hint="eastAsia"/>
                <w:lang w:eastAsia="zh-CN"/>
              </w:rPr>
              <w:t>》</w:t>
            </w:r>
            <w:r>
              <w:t>执行；采用重铬酸钾氧化-分光光度法；每点位每土层采集不少于3个重复样品</w:t>
            </w:r>
          </w:p>
        </w:tc>
      </w:tr>
      <w:tr w14:paraId="193D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458690C3">
            <w:pPr>
              <w:pStyle w:val="5"/>
              <w:keepNext w:val="0"/>
              <w:jc w:val="center"/>
              <w:rPr>
                <w:rFonts w:hint="eastAsia" w:ascii="黑体" w:hAnsi="黑体" w:eastAsia="黑体" w:cs="黑体"/>
              </w:rPr>
            </w:pPr>
            <w:r>
              <w:rPr>
                <w:rFonts w:ascii="黑体" w:hAnsi="黑体" w:eastAsia="黑体" w:cs="黑体"/>
              </w:rPr>
              <w:t>监测频次与记录要求</w:t>
            </w:r>
          </w:p>
        </w:tc>
        <w:tc>
          <w:tcPr>
            <w:tcW w:w="3323" w:type="pct"/>
            <w:tcMar>
              <w:top w:w="150" w:type="dxa"/>
              <w:left w:w="240" w:type="dxa"/>
              <w:bottom w:w="150" w:type="dxa"/>
              <w:right w:w="0" w:type="dxa"/>
            </w:tcMar>
            <w:vAlign w:val="center"/>
          </w:tcPr>
          <w:p w14:paraId="566C7124">
            <w:pPr>
              <w:pStyle w:val="5"/>
              <w:keepNext w:val="0"/>
            </w:pPr>
            <w:r>
              <w:t>每2年1次；记录采样点位编号、土层深度、SOC检测值、平行样偏差</w:t>
            </w:r>
          </w:p>
        </w:tc>
      </w:tr>
      <w:tr w14:paraId="46873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5EB05263">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323" w:type="pct"/>
            <w:tcMar>
              <w:top w:w="150" w:type="dxa"/>
              <w:left w:w="240" w:type="dxa"/>
              <w:bottom w:w="150" w:type="dxa"/>
              <w:right w:w="0" w:type="dxa"/>
            </w:tcMar>
            <w:vAlign w:val="center"/>
          </w:tcPr>
          <w:p w14:paraId="2D559022">
            <w:pPr>
              <w:pStyle w:val="5"/>
              <w:keepNext w:val="0"/>
            </w:pPr>
            <w:r>
              <w:t>采样平行偏差不超过10%；实验室设置空白对照和标准物质质控；检测人、审核人二级签字</w:t>
            </w:r>
          </w:p>
        </w:tc>
      </w:tr>
      <w:tr w14:paraId="2F195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4D878908">
            <w:pPr>
              <w:pStyle w:val="5"/>
              <w:keepNext w:val="0"/>
              <w:jc w:val="center"/>
              <w:rPr>
                <w:rFonts w:hint="eastAsia" w:ascii="黑体" w:hAnsi="黑体" w:eastAsia="黑体" w:cs="黑体"/>
              </w:rPr>
            </w:pPr>
            <w:r>
              <w:rPr>
                <w:rFonts w:ascii="黑体" w:hAnsi="黑体" w:eastAsia="黑体" w:cs="黑体"/>
              </w:rPr>
              <w:t>数据用途</w:t>
            </w:r>
          </w:p>
        </w:tc>
        <w:tc>
          <w:tcPr>
            <w:tcW w:w="3323" w:type="pct"/>
            <w:tcMar>
              <w:top w:w="150" w:type="dxa"/>
              <w:left w:w="240" w:type="dxa"/>
              <w:bottom w:w="150" w:type="dxa"/>
              <w:right w:w="0" w:type="dxa"/>
            </w:tcMar>
            <w:vAlign w:val="center"/>
          </w:tcPr>
          <w:p w14:paraId="63A0E90C">
            <w:pPr>
              <w:pStyle w:val="5"/>
              <w:keepNext w:val="0"/>
            </w:pPr>
            <w:r>
              <w:t>用于计算单位面积土壤有机碳密度和土壤碳储量</w:t>
            </w:r>
          </w:p>
        </w:tc>
      </w:tr>
      <w:tr w14:paraId="37C9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6" w:type="pct"/>
            <w:tcMar>
              <w:top w:w="150" w:type="dxa"/>
              <w:left w:w="0" w:type="dxa"/>
              <w:bottom w:w="150" w:type="dxa"/>
              <w:right w:w="240" w:type="dxa"/>
            </w:tcMar>
            <w:vAlign w:val="center"/>
          </w:tcPr>
          <w:p w14:paraId="79FEE2D5">
            <w:pPr>
              <w:pStyle w:val="5"/>
              <w:keepNext w:val="0"/>
              <w:jc w:val="center"/>
              <w:rPr>
                <w:rFonts w:hint="eastAsia" w:ascii="黑体" w:hAnsi="黑体" w:eastAsia="黑体" w:cs="黑体"/>
              </w:rPr>
            </w:pPr>
            <w:r>
              <w:rPr>
                <w:rFonts w:ascii="黑体" w:hAnsi="黑体" w:eastAsia="黑体" w:cs="黑体"/>
              </w:rPr>
              <w:t>备注</w:t>
            </w:r>
          </w:p>
        </w:tc>
        <w:tc>
          <w:tcPr>
            <w:tcW w:w="3323" w:type="pct"/>
            <w:tcMar>
              <w:top w:w="150" w:type="dxa"/>
              <w:left w:w="240" w:type="dxa"/>
              <w:bottom w:w="150" w:type="dxa"/>
              <w:right w:w="0" w:type="dxa"/>
            </w:tcMar>
            <w:vAlign w:val="center"/>
          </w:tcPr>
          <w:p w14:paraId="4250FB64">
            <w:pPr>
              <w:pStyle w:val="5"/>
              <w:keepNext w:val="0"/>
            </w:pPr>
            <w:r>
              <w:t>清淤后过渡期（第1</w:t>
            </w:r>
            <w:r>
              <w:rPr>
                <w:rFonts w:hint="eastAsia"/>
                <w:lang w:eastAsia="zh-CN"/>
              </w:rPr>
              <w:t>—</w:t>
            </w:r>
            <w:r>
              <w:t>2年）土壤有机碳可不监测，第3年起恢复监测</w:t>
            </w:r>
          </w:p>
        </w:tc>
      </w:tr>
    </w:tbl>
    <w:p w14:paraId="36568E9A">
      <w:pPr>
        <w:pStyle w:val="4"/>
      </w:pPr>
      <w:r>
        <w:t>表2</w:t>
      </w:r>
      <w:r>
        <w:rPr>
          <w:rFonts w:hint="eastAsia"/>
          <w:lang w:val="en-US" w:eastAsia="zh-CN"/>
        </w:rPr>
        <w:t>4</w:t>
      </w:r>
      <w:r>
        <w:t xml:space="preserve"> 土壤容重</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784"/>
        <w:gridCol w:w="5529"/>
      </w:tblGrid>
      <w:tr w14:paraId="730A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31A98DD3">
            <w:pPr>
              <w:pStyle w:val="5"/>
              <w:keepNext w:val="0"/>
              <w:jc w:val="center"/>
              <w:rPr>
                <w:rFonts w:hint="eastAsia" w:ascii="黑体" w:hAnsi="黑体" w:eastAsia="黑体" w:cs="黑体"/>
              </w:rPr>
            </w:pPr>
            <w:r>
              <w:rPr>
                <w:rFonts w:ascii="黑体" w:hAnsi="黑体" w:eastAsia="黑体" w:cs="黑体"/>
              </w:rPr>
              <w:t>数据/参数名称</w:t>
            </w:r>
          </w:p>
        </w:tc>
        <w:tc>
          <w:tcPr>
            <w:tcW w:w="3325" w:type="pct"/>
            <w:tcMar>
              <w:top w:w="150" w:type="dxa"/>
              <w:left w:w="240" w:type="dxa"/>
              <w:bottom w:w="150" w:type="dxa"/>
              <w:right w:w="0" w:type="dxa"/>
            </w:tcMar>
            <w:vAlign w:val="center"/>
          </w:tcPr>
          <w:p w14:paraId="50B2B65C">
            <w:pPr>
              <w:pStyle w:val="5"/>
              <w:keepNext w:val="0"/>
            </w:pPr>
            <w:r>
              <w:t>Bulk_density</w:t>
            </w:r>
          </w:p>
        </w:tc>
      </w:tr>
      <w:tr w14:paraId="553D5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020ED1B3">
            <w:pPr>
              <w:pStyle w:val="5"/>
              <w:keepNext w:val="0"/>
              <w:jc w:val="center"/>
              <w:rPr>
                <w:rFonts w:hint="eastAsia" w:ascii="黑体" w:hAnsi="黑体" w:eastAsia="黑体" w:cs="黑体"/>
              </w:rPr>
            </w:pPr>
            <w:r>
              <w:rPr>
                <w:rFonts w:ascii="黑体" w:hAnsi="黑体" w:eastAsia="黑体" w:cs="黑体"/>
              </w:rPr>
              <w:t>应用的公式编号</w:t>
            </w:r>
          </w:p>
        </w:tc>
        <w:tc>
          <w:tcPr>
            <w:tcW w:w="3325" w:type="pct"/>
            <w:tcMar>
              <w:top w:w="150" w:type="dxa"/>
              <w:left w:w="240" w:type="dxa"/>
              <w:bottom w:w="150" w:type="dxa"/>
              <w:right w:w="0" w:type="dxa"/>
            </w:tcMar>
            <w:vAlign w:val="center"/>
          </w:tcPr>
          <w:p w14:paraId="0D8F8065">
            <w:pPr>
              <w:pStyle w:val="5"/>
              <w:keepNext w:val="0"/>
            </w:pPr>
            <w:r>
              <w:rPr>
                <w:rFonts w:hint="eastAsia"/>
              </w:rPr>
              <w:t>公式（</w:t>
            </w:r>
            <w:r>
              <w:t>11</w:t>
            </w:r>
            <w:r>
              <w:rPr>
                <w:rFonts w:hint="eastAsia"/>
              </w:rPr>
              <w:t>）、公式（</w:t>
            </w:r>
            <w:r>
              <w:t>12</w:t>
            </w:r>
            <w:r>
              <w:rPr>
                <w:rFonts w:hint="eastAsia"/>
              </w:rPr>
              <w:t>）、公式（</w:t>
            </w:r>
            <w:r>
              <w:t>13</w:t>
            </w:r>
            <w:r>
              <w:rPr>
                <w:rFonts w:hint="eastAsia"/>
              </w:rPr>
              <w:t>）、公式（</w:t>
            </w:r>
            <w:r>
              <w:t>15</w:t>
            </w:r>
            <w:r>
              <w:rPr>
                <w:rFonts w:hint="eastAsia"/>
              </w:rPr>
              <w:t>）、公式（</w:t>
            </w:r>
            <w:r>
              <w:t>16</w:t>
            </w:r>
            <w:r>
              <w:rPr>
                <w:rFonts w:hint="eastAsia"/>
              </w:rPr>
              <w:t>）</w:t>
            </w:r>
          </w:p>
        </w:tc>
      </w:tr>
      <w:tr w14:paraId="650C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2D4AB65C">
            <w:pPr>
              <w:pStyle w:val="5"/>
              <w:keepNext w:val="0"/>
              <w:jc w:val="center"/>
              <w:rPr>
                <w:rFonts w:hint="eastAsia" w:ascii="黑体" w:hAnsi="黑体" w:eastAsia="黑体" w:cs="黑体"/>
              </w:rPr>
            </w:pPr>
            <w:r>
              <w:rPr>
                <w:rFonts w:ascii="黑体" w:hAnsi="黑体" w:eastAsia="黑体" w:cs="黑体"/>
              </w:rPr>
              <w:t>数据描述</w:t>
            </w:r>
          </w:p>
        </w:tc>
        <w:tc>
          <w:tcPr>
            <w:tcW w:w="3325" w:type="pct"/>
            <w:tcMar>
              <w:top w:w="150" w:type="dxa"/>
              <w:left w:w="240" w:type="dxa"/>
              <w:bottom w:w="150" w:type="dxa"/>
              <w:right w:w="0" w:type="dxa"/>
            </w:tcMar>
            <w:vAlign w:val="center"/>
          </w:tcPr>
          <w:p w14:paraId="2642A04B">
            <w:pPr>
              <w:pStyle w:val="5"/>
              <w:keepNext w:val="0"/>
            </w:pPr>
            <w:r>
              <w:t>单位体积土壤的干重</w:t>
            </w:r>
          </w:p>
        </w:tc>
      </w:tr>
      <w:tr w14:paraId="6603E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1FE3C197">
            <w:pPr>
              <w:pStyle w:val="5"/>
              <w:keepNext w:val="0"/>
              <w:jc w:val="center"/>
              <w:rPr>
                <w:rFonts w:hint="eastAsia" w:ascii="黑体" w:hAnsi="黑体" w:eastAsia="黑体" w:cs="黑体"/>
              </w:rPr>
            </w:pPr>
            <w:r>
              <w:rPr>
                <w:rFonts w:ascii="黑体" w:hAnsi="黑体" w:eastAsia="黑体" w:cs="黑体"/>
              </w:rPr>
              <w:t>数据单位</w:t>
            </w:r>
          </w:p>
        </w:tc>
        <w:tc>
          <w:tcPr>
            <w:tcW w:w="3325" w:type="pct"/>
            <w:tcMar>
              <w:top w:w="150" w:type="dxa"/>
              <w:left w:w="240" w:type="dxa"/>
              <w:bottom w:w="150" w:type="dxa"/>
              <w:right w:w="0" w:type="dxa"/>
            </w:tcMar>
            <w:vAlign w:val="center"/>
          </w:tcPr>
          <w:p w14:paraId="7F8680B0">
            <w:pPr>
              <w:pStyle w:val="5"/>
              <w:keepNext w:val="0"/>
            </w:pPr>
            <w:r>
              <w:t>g/cm³</w:t>
            </w:r>
          </w:p>
        </w:tc>
      </w:tr>
      <w:tr w14:paraId="5EE2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3DDD1546">
            <w:pPr>
              <w:pStyle w:val="5"/>
              <w:keepNext w:val="0"/>
              <w:jc w:val="center"/>
              <w:rPr>
                <w:rFonts w:hint="eastAsia" w:ascii="黑体" w:hAnsi="黑体" w:eastAsia="黑体" w:cs="黑体"/>
              </w:rPr>
            </w:pPr>
            <w:r>
              <w:rPr>
                <w:rFonts w:ascii="黑体" w:hAnsi="黑体" w:eastAsia="黑体" w:cs="黑体"/>
              </w:rPr>
              <w:t>数据来源</w:t>
            </w:r>
          </w:p>
        </w:tc>
        <w:tc>
          <w:tcPr>
            <w:tcW w:w="3325" w:type="pct"/>
            <w:tcMar>
              <w:top w:w="150" w:type="dxa"/>
              <w:left w:w="240" w:type="dxa"/>
              <w:bottom w:w="150" w:type="dxa"/>
              <w:right w:w="0" w:type="dxa"/>
            </w:tcMar>
            <w:vAlign w:val="center"/>
          </w:tcPr>
          <w:p w14:paraId="6585F3B2">
            <w:pPr>
              <w:pStyle w:val="5"/>
              <w:keepNext w:val="0"/>
            </w:pPr>
            <w:r>
              <w:t>实验室检测分析</w:t>
            </w:r>
          </w:p>
        </w:tc>
      </w:tr>
      <w:tr w14:paraId="78647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420330B8">
            <w:pPr>
              <w:pStyle w:val="5"/>
              <w:keepNext w:val="0"/>
              <w:jc w:val="center"/>
              <w:rPr>
                <w:rFonts w:hint="eastAsia" w:ascii="黑体" w:hAnsi="黑体" w:eastAsia="黑体" w:cs="黑体"/>
              </w:rPr>
            </w:pPr>
            <w:r>
              <w:rPr>
                <w:rFonts w:ascii="黑体" w:hAnsi="黑体" w:eastAsia="黑体" w:cs="黑体"/>
              </w:rPr>
              <w:t>监测点要求</w:t>
            </w:r>
          </w:p>
        </w:tc>
        <w:tc>
          <w:tcPr>
            <w:tcW w:w="3325" w:type="pct"/>
            <w:tcMar>
              <w:top w:w="150" w:type="dxa"/>
              <w:left w:w="240" w:type="dxa"/>
              <w:bottom w:w="150" w:type="dxa"/>
              <w:right w:w="0" w:type="dxa"/>
            </w:tcMar>
            <w:vAlign w:val="center"/>
          </w:tcPr>
          <w:p w14:paraId="0F70E095">
            <w:pPr>
              <w:pStyle w:val="5"/>
              <w:keepNext w:val="0"/>
            </w:pPr>
            <w:r>
              <w:t>所有布设的土壤监测点位（分层采样：0-20cm、20</w:t>
            </w:r>
            <w:r>
              <w:rPr>
                <w:rFonts w:hint="eastAsia"/>
                <w:lang w:eastAsia="zh-CN"/>
              </w:rPr>
              <w:t>—</w:t>
            </w:r>
            <w:r>
              <w:t>40cm、40</w:t>
            </w:r>
            <w:r>
              <w:rPr>
                <w:rFonts w:hint="eastAsia"/>
                <w:lang w:eastAsia="zh-CN"/>
              </w:rPr>
              <w:t>—</w:t>
            </w:r>
            <w:r>
              <w:t>60cm）</w:t>
            </w:r>
          </w:p>
        </w:tc>
      </w:tr>
      <w:tr w14:paraId="5251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403D8797">
            <w:pPr>
              <w:pStyle w:val="5"/>
              <w:keepNext w:val="0"/>
              <w:jc w:val="center"/>
              <w:rPr>
                <w:rFonts w:hint="eastAsia" w:ascii="黑体" w:hAnsi="黑体" w:eastAsia="黑体" w:cs="黑体"/>
              </w:rPr>
            </w:pPr>
            <w:r>
              <w:rPr>
                <w:rFonts w:ascii="黑体" w:hAnsi="黑体" w:eastAsia="黑体" w:cs="黑体"/>
              </w:rPr>
              <w:t>监测仪表要求</w:t>
            </w:r>
          </w:p>
        </w:tc>
        <w:tc>
          <w:tcPr>
            <w:tcW w:w="3325" w:type="pct"/>
            <w:tcMar>
              <w:top w:w="150" w:type="dxa"/>
              <w:left w:w="240" w:type="dxa"/>
              <w:bottom w:w="150" w:type="dxa"/>
              <w:right w:w="0" w:type="dxa"/>
            </w:tcMar>
            <w:vAlign w:val="center"/>
          </w:tcPr>
          <w:p w14:paraId="13878DA4">
            <w:pPr>
              <w:pStyle w:val="5"/>
              <w:keepNext w:val="0"/>
            </w:pPr>
            <w:r>
              <w:t>环刀（100cm³）、烘箱、分析天平（精度0.01g）</w:t>
            </w:r>
          </w:p>
        </w:tc>
      </w:tr>
      <w:tr w14:paraId="169C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1BE6C80B">
            <w:pPr>
              <w:pStyle w:val="5"/>
              <w:keepNext w:val="0"/>
              <w:jc w:val="center"/>
              <w:rPr>
                <w:rFonts w:hint="eastAsia" w:ascii="黑体" w:hAnsi="黑体" w:eastAsia="黑体" w:cs="黑体"/>
              </w:rPr>
            </w:pPr>
            <w:r>
              <w:rPr>
                <w:rFonts w:ascii="黑体" w:hAnsi="黑体" w:eastAsia="黑体" w:cs="黑体"/>
              </w:rPr>
              <w:t>监测程序与方法要求</w:t>
            </w:r>
          </w:p>
        </w:tc>
        <w:tc>
          <w:tcPr>
            <w:tcW w:w="3325" w:type="pct"/>
            <w:tcMar>
              <w:top w:w="150" w:type="dxa"/>
              <w:left w:w="240" w:type="dxa"/>
              <w:bottom w:w="150" w:type="dxa"/>
              <w:right w:w="0" w:type="dxa"/>
            </w:tcMar>
            <w:vAlign w:val="center"/>
          </w:tcPr>
          <w:p w14:paraId="7F951D91">
            <w:pPr>
              <w:pStyle w:val="5"/>
              <w:keepNext w:val="0"/>
            </w:pPr>
            <w:r>
              <w:t>按照</w:t>
            </w:r>
            <w:r>
              <w:rPr>
                <w:rFonts w:hint="eastAsia"/>
                <w:lang w:eastAsia="zh-CN"/>
              </w:rPr>
              <w:t>《</w:t>
            </w:r>
            <w:r>
              <w:t>NY/T 1121.6-2006土壤检测</w:t>
            </w:r>
            <w:r>
              <w:rPr>
                <w:rFonts w:hint="eastAsia"/>
                <w:lang w:eastAsia="zh-CN"/>
              </w:rPr>
              <w:t>》</w:t>
            </w:r>
            <w:r>
              <w:t>相关方法执行；环刀法现场采集原状土样，105℃烘干至恒重后称量计算</w:t>
            </w:r>
          </w:p>
        </w:tc>
      </w:tr>
      <w:tr w14:paraId="2414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035526F5">
            <w:pPr>
              <w:pStyle w:val="5"/>
              <w:keepNext w:val="0"/>
              <w:jc w:val="center"/>
              <w:rPr>
                <w:rFonts w:hint="eastAsia" w:ascii="黑体" w:hAnsi="黑体" w:eastAsia="黑体" w:cs="黑体"/>
              </w:rPr>
            </w:pPr>
            <w:r>
              <w:rPr>
                <w:rFonts w:ascii="黑体" w:hAnsi="黑体" w:eastAsia="黑体" w:cs="黑体"/>
              </w:rPr>
              <w:t>监测频次与记录要求</w:t>
            </w:r>
          </w:p>
        </w:tc>
        <w:tc>
          <w:tcPr>
            <w:tcW w:w="3325" w:type="pct"/>
            <w:tcMar>
              <w:top w:w="150" w:type="dxa"/>
              <w:left w:w="240" w:type="dxa"/>
              <w:bottom w:w="150" w:type="dxa"/>
              <w:right w:w="0" w:type="dxa"/>
            </w:tcMar>
            <w:vAlign w:val="center"/>
          </w:tcPr>
          <w:p w14:paraId="74C426DE">
            <w:pPr>
              <w:pStyle w:val="5"/>
              <w:keepNext w:val="0"/>
            </w:pPr>
            <w:r>
              <w:t>每2年1次（与土壤有机碳监测同步）；记录采样点位编号、土层深度、环刀体积、干重、容重值</w:t>
            </w:r>
          </w:p>
        </w:tc>
      </w:tr>
      <w:tr w14:paraId="64EB3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31B99725">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325" w:type="pct"/>
            <w:tcMar>
              <w:top w:w="150" w:type="dxa"/>
              <w:left w:w="240" w:type="dxa"/>
              <w:bottom w:w="150" w:type="dxa"/>
              <w:right w:w="0" w:type="dxa"/>
            </w:tcMar>
            <w:vAlign w:val="center"/>
          </w:tcPr>
          <w:p w14:paraId="37E846A6">
            <w:pPr>
              <w:pStyle w:val="5"/>
              <w:keepNext w:val="0"/>
            </w:pPr>
            <w:r>
              <w:t>每点位每土层不少于3个重复；平行样偏差不超过10%</w:t>
            </w:r>
          </w:p>
        </w:tc>
      </w:tr>
      <w:tr w14:paraId="57354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2DBD561D">
            <w:pPr>
              <w:pStyle w:val="5"/>
              <w:keepNext w:val="0"/>
              <w:jc w:val="center"/>
              <w:rPr>
                <w:rFonts w:hint="eastAsia" w:ascii="黑体" w:hAnsi="黑体" w:eastAsia="黑体" w:cs="黑体"/>
              </w:rPr>
            </w:pPr>
            <w:r>
              <w:rPr>
                <w:rFonts w:ascii="黑体" w:hAnsi="黑体" w:eastAsia="黑体" w:cs="黑体"/>
              </w:rPr>
              <w:t>数据用途</w:t>
            </w:r>
          </w:p>
        </w:tc>
        <w:tc>
          <w:tcPr>
            <w:tcW w:w="3325" w:type="pct"/>
            <w:tcMar>
              <w:top w:w="150" w:type="dxa"/>
              <w:left w:w="240" w:type="dxa"/>
              <w:bottom w:w="150" w:type="dxa"/>
              <w:right w:w="0" w:type="dxa"/>
            </w:tcMar>
            <w:vAlign w:val="center"/>
          </w:tcPr>
          <w:p w14:paraId="539D5E3E">
            <w:pPr>
              <w:pStyle w:val="5"/>
              <w:keepNext w:val="0"/>
            </w:pPr>
            <w:r>
              <w:t>用于将土壤有机碳含量（g/kg）换算为单位面积土壤有机碳密度（tC/hm²）</w:t>
            </w:r>
          </w:p>
        </w:tc>
      </w:tr>
      <w:tr w14:paraId="3408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74" w:type="pct"/>
            <w:tcMar>
              <w:top w:w="150" w:type="dxa"/>
              <w:left w:w="0" w:type="dxa"/>
              <w:bottom w:w="150" w:type="dxa"/>
              <w:right w:w="240" w:type="dxa"/>
            </w:tcMar>
            <w:vAlign w:val="center"/>
          </w:tcPr>
          <w:p w14:paraId="31788EB6">
            <w:pPr>
              <w:pStyle w:val="5"/>
              <w:keepNext w:val="0"/>
              <w:jc w:val="center"/>
              <w:rPr>
                <w:rFonts w:hint="eastAsia" w:ascii="黑体" w:hAnsi="黑体" w:eastAsia="黑体" w:cs="黑体"/>
              </w:rPr>
            </w:pPr>
            <w:r>
              <w:rPr>
                <w:rFonts w:ascii="黑体" w:hAnsi="黑体" w:eastAsia="黑体" w:cs="黑体"/>
              </w:rPr>
              <w:t>备注</w:t>
            </w:r>
          </w:p>
        </w:tc>
        <w:tc>
          <w:tcPr>
            <w:tcW w:w="3325" w:type="pct"/>
            <w:tcMar>
              <w:top w:w="150" w:type="dxa"/>
              <w:left w:w="240" w:type="dxa"/>
              <w:bottom w:w="150" w:type="dxa"/>
              <w:right w:w="0" w:type="dxa"/>
            </w:tcMar>
            <w:vAlign w:val="center"/>
          </w:tcPr>
          <w:p w14:paraId="79079C67">
            <w:pPr>
              <w:pStyle w:val="5"/>
              <w:keepNext w:val="0"/>
            </w:pPr>
            <w:r>
              <w:t>石砾含量&gt;5%时须进行校正</w:t>
            </w:r>
          </w:p>
        </w:tc>
      </w:tr>
    </w:tbl>
    <w:p w14:paraId="35383E99">
      <w:pPr>
        <w:pStyle w:val="4"/>
      </w:pPr>
      <w:r>
        <w:t>表2</w:t>
      </w:r>
      <w:r>
        <w:rPr>
          <w:rFonts w:hint="eastAsia"/>
          <w:lang w:val="en-US" w:eastAsia="zh-CN"/>
        </w:rPr>
        <w:t>5</w:t>
      </w:r>
      <w:r>
        <w:t xml:space="preserve"> 石砾含量</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775"/>
        <w:gridCol w:w="5538"/>
      </w:tblGrid>
      <w:tr w14:paraId="07BA8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49C63C1D">
            <w:pPr>
              <w:pStyle w:val="5"/>
              <w:keepNext w:val="0"/>
              <w:jc w:val="center"/>
              <w:rPr>
                <w:rFonts w:hint="eastAsia" w:ascii="黑体" w:hAnsi="黑体" w:eastAsia="黑体" w:cs="黑体"/>
              </w:rPr>
            </w:pPr>
            <w:r>
              <w:rPr>
                <w:rFonts w:ascii="黑体" w:hAnsi="黑体" w:eastAsia="黑体" w:cs="黑体"/>
              </w:rPr>
              <w:t>数据/参数名称</w:t>
            </w:r>
          </w:p>
        </w:tc>
        <w:tc>
          <w:tcPr>
            <w:tcW w:w="3330" w:type="pct"/>
            <w:tcMar>
              <w:top w:w="150" w:type="dxa"/>
              <w:left w:w="240" w:type="dxa"/>
              <w:bottom w:w="150" w:type="dxa"/>
              <w:right w:w="0" w:type="dxa"/>
            </w:tcMar>
            <w:vAlign w:val="center"/>
          </w:tcPr>
          <w:p w14:paraId="54FCF7C8">
            <w:pPr>
              <w:pStyle w:val="5"/>
              <w:keepNext w:val="0"/>
            </w:pPr>
            <w:r>
              <w:t>Gravel_content</w:t>
            </w:r>
          </w:p>
        </w:tc>
      </w:tr>
      <w:tr w14:paraId="01EE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19B0BFE0">
            <w:pPr>
              <w:pStyle w:val="5"/>
              <w:keepNext w:val="0"/>
              <w:jc w:val="center"/>
              <w:rPr>
                <w:rFonts w:hint="eastAsia" w:ascii="黑体" w:hAnsi="黑体" w:eastAsia="黑体" w:cs="黑体"/>
              </w:rPr>
            </w:pPr>
            <w:r>
              <w:rPr>
                <w:rFonts w:ascii="黑体" w:hAnsi="黑体" w:eastAsia="黑体" w:cs="黑体"/>
              </w:rPr>
              <w:t>应用的公式编号</w:t>
            </w:r>
          </w:p>
        </w:tc>
        <w:tc>
          <w:tcPr>
            <w:tcW w:w="3330" w:type="pct"/>
            <w:tcMar>
              <w:top w:w="150" w:type="dxa"/>
              <w:left w:w="240" w:type="dxa"/>
              <w:bottom w:w="150" w:type="dxa"/>
              <w:right w:w="0" w:type="dxa"/>
            </w:tcMar>
            <w:vAlign w:val="center"/>
          </w:tcPr>
          <w:p w14:paraId="2CBDA1A2">
            <w:pPr>
              <w:pStyle w:val="5"/>
              <w:keepNext w:val="0"/>
            </w:pPr>
            <w:r>
              <w:t>附录B土壤采样与碳含量分析记录表</w:t>
            </w:r>
          </w:p>
        </w:tc>
      </w:tr>
      <w:tr w14:paraId="27CD5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387AF41D">
            <w:pPr>
              <w:pStyle w:val="5"/>
              <w:keepNext w:val="0"/>
              <w:jc w:val="center"/>
              <w:rPr>
                <w:rFonts w:hint="eastAsia" w:ascii="黑体" w:hAnsi="黑体" w:eastAsia="黑体" w:cs="黑体"/>
              </w:rPr>
            </w:pPr>
            <w:r>
              <w:rPr>
                <w:rFonts w:ascii="黑体" w:hAnsi="黑体" w:eastAsia="黑体" w:cs="黑体"/>
              </w:rPr>
              <w:t>数据描述</w:t>
            </w:r>
          </w:p>
        </w:tc>
        <w:tc>
          <w:tcPr>
            <w:tcW w:w="3330" w:type="pct"/>
            <w:tcMar>
              <w:top w:w="150" w:type="dxa"/>
              <w:left w:w="240" w:type="dxa"/>
              <w:bottom w:w="150" w:type="dxa"/>
              <w:right w:w="0" w:type="dxa"/>
            </w:tcMar>
            <w:vAlign w:val="center"/>
          </w:tcPr>
          <w:p w14:paraId="5FF3D207">
            <w:pPr>
              <w:pStyle w:val="5"/>
              <w:keepNext w:val="0"/>
            </w:pPr>
            <w:r>
              <w:t>土壤样品中粒径&gt;2mm的石砾所占质量比例</w:t>
            </w:r>
          </w:p>
        </w:tc>
      </w:tr>
      <w:tr w14:paraId="01BA5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0AAB38E4">
            <w:pPr>
              <w:pStyle w:val="5"/>
              <w:keepNext w:val="0"/>
              <w:jc w:val="center"/>
              <w:rPr>
                <w:rFonts w:hint="eastAsia" w:ascii="黑体" w:hAnsi="黑体" w:eastAsia="黑体" w:cs="黑体"/>
              </w:rPr>
            </w:pPr>
            <w:r>
              <w:rPr>
                <w:rFonts w:ascii="黑体" w:hAnsi="黑体" w:eastAsia="黑体" w:cs="黑体"/>
              </w:rPr>
              <w:t>数据单位</w:t>
            </w:r>
          </w:p>
        </w:tc>
        <w:tc>
          <w:tcPr>
            <w:tcW w:w="3330" w:type="pct"/>
            <w:tcMar>
              <w:top w:w="150" w:type="dxa"/>
              <w:left w:w="240" w:type="dxa"/>
              <w:bottom w:w="150" w:type="dxa"/>
              <w:right w:w="0" w:type="dxa"/>
            </w:tcMar>
            <w:vAlign w:val="center"/>
          </w:tcPr>
          <w:p w14:paraId="65B23C25">
            <w:pPr>
              <w:pStyle w:val="5"/>
              <w:keepNext w:val="0"/>
            </w:pPr>
            <w:r>
              <w:t>%</w:t>
            </w:r>
          </w:p>
        </w:tc>
      </w:tr>
      <w:tr w14:paraId="206DB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647F0996">
            <w:pPr>
              <w:pStyle w:val="5"/>
              <w:keepNext w:val="0"/>
              <w:jc w:val="center"/>
              <w:rPr>
                <w:rFonts w:hint="eastAsia" w:ascii="黑体" w:hAnsi="黑体" w:eastAsia="黑体" w:cs="黑体"/>
              </w:rPr>
            </w:pPr>
            <w:r>
              <w:rPr>
                <w:rFonts w:ascii="黑体" w:hAnsi="黑体" w:eastAsia="黑体" w:cs="黑体"/>
              </w:rPr>
              <w:t>数据来源</w:t>
            </w:r>
          </w:p>
        </w:tc>
        <w:tc>
          <w:tcPr>
            <w:tcW w:w="3330" w:type="pct"/>
            <w:tcMar>
              <w:top w:w="150" w:type="dxa"/>
              <w:left w:w="240" w:type="dxa"/>
              <w:bottom w:w="150" w:type="dxa"/>
              <w:right w:w="0" w:type="dxa"/>
            </w:tcMar>
            <w:vAlign w:val="center"/>
          </w:tcPr>
          <w:p w14:paraId="789FAAF0">
            <w:pPr>
              <w:pStyle w:val="5"/>
              <w:keepNext w:val="0"/>
            </w:pPr>
            <w:r>
              <w:t>实验室筛分测定</w:t>
            </w:r>
          </w:p>
        </w:tc>
      </w:tr>
      <w:tr w14:paraId="289B9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2CD85E37">
            <w:pPr>
              <w:pStyle w:val="5"/>
              <w:keepNext w:val="0"/>
              <w:jc w:val="center"/>
              <w:rPr>
                <w:rFonts w:hint="eastAsia" w:ascii="黑体" w:hAnsi="黑体" w:eastAsia="黑体" w:cs="黑体"/>
              </w:rPr>
            </w:pPr>
            <w:r>
              <w:rPr>
                <w:rFonts w:ascii="黑体" w:hAnsi="黑体" w:eastAsia="黑体" w:cs="黑体"/>
              </w:rPr>
              <w:t>监测点要求</w:t>
            </w:r>
          </w:p>
        </w:tc>
        <w:tc>
          <w:tcPr>
            <w:tcW w:w="3330" w:type="pct"/>
            <w:tcMar>
              <w:top w:w="150" w:type="dxa"/>
              <w:left w:w="240" w:type="dxa"/>
              <w:bottom w:w="150" w:type="dxa"/>
              <w:right w:w="0" w:type="dxa"/>
            </w:tcMar>
            <w:vAlign w:val="center"/>
          </w:tcPr>
          <w:p w14:paraId="03A33E59">
            <w:pPr>
              <w:pStyle w:val="5"/>
              <w:keepNext w:val="0"/>
            </w:pPr>
            <w:r>
              <w:t>所有布设的土壤监测点位（分层采样）</w:t>
            </w:r>
          </w:p>
        </w:tc>
      </w:tr>
      <w:tr w14:paraId="481F2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733F05FD">
            <w:pPr>
              <w:pStyle w:val="5"/>
              <w:keepNext w:val="0"/>
              <w:jc w:val="center"/>
              <w:rPr>
                <w:rFonts w:hint="eastAsia" w:ascii="黑体" w:hAnsi="黑体" w:eastAsia="黑体" w:cs="黑体"/>
              </w:rPr>
            </w:pPr>
            <w:r>
              <w:rPr>
                <w:rFonts w:ascii="黑体" w:hAnsi="黑体" w:eastAsia="黑体" w:cs="黑体"/>
              </w:rPr>
              <w:t>监测仪表要求</w:t>
            </w:r>
          </w:p>
        </w:tc>
        <w:tc>
          <w:tcPr>
            <w:tcW w:w="3330" w:type="pct"/>
            <w:tcMar>
              <w:top w:w="150" w:type="dxa"/>
              <w:left w:w="240" w:type="dxa"/>
              <w:bottom w:w="150" w:type="dxa"/>
              <w:right w:w="0" w:type="dxa"/>
            </w:tcMar>
            <w:vAlign w:val="center"/>
          </w:tcPr>
          <w:p w14:paraId="53D5B21F">
            <w:pPr>
              <w:pStyle w:val="5"/>
              <w:keepNext w:val="0"/>
            </w:pPr>
            <w:r>
              <w:t>2mm筛、分析天平</w:t>
            </w:r>
          </w:p>
        </w:tc>
      </w:tr>
      <w:tr w14:paraId="22221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6E6D1CA2">
            <w:pPr>
              <w:pStyle w:val="5"/>
              <w:keepNext w:val="0"/>
              <w:jc w:val="center"/>
              <w:rPr>
                <w:rFonts w:hint="eastAsia" w:ascii="黑体" w:hAnsi="黑体" w:eastAsia="黑体" w:cs="黑体"/>
              </w:rPr>
            </w:pPr>
            <w:r>
              <w:rPr>
                <w:rFonts w:ascii="黑体" w:hAnsi="黑体" w:eastAsia="黑体" w:cs="黑体"/>
              </w:rPr>
              <w:t>监测程序与方法要求</w:t>
            </w:r>
          </w:p>
        </w:tc>
        <w:tc>
          <w:tcPr>
            <w:tcW w:w="3330" w:type="pct"/>
            <w:tcMar>
              <w:top w:w="150" w:type="dxa"/>
              <w:left w:w="240" w:type="dxa"/>
              <w:bottom w:w="150" w:type="dxa"/>
              <w:right w:w="0" w:type="dxa"/>
            </w:tcMar>
            <w:vAlign w:val="center"/>
          </w:tcPr>
          <w:p w14:paraId="6AF05CB9">
            <w:pPr>
              <w:pStyle w:val="5"/>
              <w:keepNext w:val="0"/>
            </w:pPr>
            <w:r>
              <w:t>风干土样过2mm筛，称量筛上石砾质量，计算占全样质量百分比</w:t>
            </w:r>
          </w:p>
        </w:tc>
      </w:tr>
      <w:tr w14:paraId="2004E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110DD566">
            <w:pPr>
              <w:pStyle w:val="5"/>
              <w:keepNext w:val="0"/>
              <w:jc w:val="center"/>
              <w:rPr>
                <w:rFonts w:hint="eastAsia" w:ascii="黑体" w:hAnsi="黑体" w:eastAsia="黑体" w:cs="黑体"/>
              </w:rPr>
            </w:pPr>
            <w:r>
              <w:rPr>
                <w:rFonts w:ascii="黑体" w:hAnsi="黑体" w:eastAsia="黑体" w:cs="黑体"/>
              </w:rPr>
              <w:t>监测频次与记录要求</w:t>
            </w:r>
          </w:p>
        </w:tc>
        <w:tc>
          <w:tcPr>
            <w:tcW w:w="3330" w:type="pct"/>
            <w:tcMar>
              <w:top w:w="150" w:type="dxa"/>
              <w:left w:w="240" w:type="dxa"/>
              <w:bottom w:w="150" w:type="dxa"/>
              <w:right w:w="0" w:type="dxa"/>
            </w:tcMar>
            <w:vAlign w:val="center"/>
          </w:tcPr>
          <w:p w14:paraId="5AC05836">
            <w:pPr>
              <w:pStyle w:val="5"/>
              <w:keepNext w:val="0"/>
            </w:pPr>
            <w:r>
              <w:t>每2年1次（与土壤有机碳监测同步）</w:t>
            </w:r>
          </w:p>
        </w:tc>
      </w:tr>
      <w:tr w14:paraId="7B66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76DC066A">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330" w:type="pct"/>
            <w:tcMar>
              <w:top w:w="150" w:type="dxa"/>
              <w:left w:w="240" w:type="dxa"/>
              <w:bottom w:w="150" w:type="dxa"/>
              <w:right w:w="0" w:type="dxa"/>
            </w:tcMar>
            <w:vAlign w:val="center"/>
          </w:tcPr>
          <w:p w14:paraId="71EF10DB">
            <w:pPr>
              <w:pStyle w:val="5"/>
              <w:keepNext w:val="0"/>
            </w:pPr>
            <w:r>
              <w:t>每样品重复测定2次取平均值</w:t>
            </w:r>
          </w:p>
        </w:tc>
      </w:tr>
      <w:tr w14:paraId="54D1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2C38BD80">
            <w:pPr>
              <w:pStyle w:val="5"/>
              <w:keepNext w:val="0"/>
              <w:jc w:val="center"/>
              <w:rPr>
                <w:rFonts w:hint="eastAsia" w:ascii="黑体" w:hAnsi="黑体" w:eastAsia="黑体" w:cs="黑体"/>
              </w:rPr>
            </w:pPr>
            <w:r>
              <w:rPr>
                <w:rFonts w:ascii="黑体" w:hAnsi="黑体" w:eastAsia="黑体" w:cs="黑体"/>
              </w:rPr>
              <w:t>数据用途</w:t>
            </w:r>
          </w:p>
        </w:tc>
        <w:tc>
          <w:tcPr>
            <w:tcW w:w="3330" w:type="pct"/>
            <w:tcMar>
              <w:top w:w="150" w:type="dxa"/>
              <w:left w:w="240" w:type="dxa"/>
              <w:bottom w:w="150" w:type="dxa"/>
              <w:right w:w="0" w:type="dxa"/>
            </w:tcMar>
            <w:vAlign w:val="center"/>
          </w:tcPr>
          <w:p w14:paraId="17CAA966">
            <w:pPr>
              <w:pStyle w:val="5"/>
              <w:keepNext w:val="0"/>
            </w:pPr>
            <w:r>
              <w:t>用于校正土壤有机碳密度计算（扣除石砾体积和质量）</w:t>
            </w:r>
          </w:p>
        </w:tc>
      </w:tr>
      <w:tr w14:paraId="59EFE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02A82CC7">
            <w:pPr>
              <w:pStyle w:val="5"/>
              <w:keepNext w:val="0"/>
              <w:jc w:val="center"/>
              <w:rPr>
                <w:rFonts w:hint="eastAsia" w:ascii="黑体" w:hAnsi="黑体" w:eastAsia="黑体" w:cs="黑体"/>
              </w:rPr>
            </w:pPr>
            <w:r>
              <w:rPr>
                <w:rFonts w:ascii="黑体" w:hAnsi="黑体" w:eastAsia="黑体" w:cs="黑体"/>
              </w:rPr>
              <w:t>备注</w:t>
            </w:r>
          </w:p>
        </w:tc>
        <w:tc>
          <w:tcPr>
            <w:tcW w:w="3330" w:type="pct"/>
            <w:tcMar>
              <w:top w:w="150" w:type="dxa"/>
              <w:left w:w="240" w:type="dxa"/>
              <w:bottom w:w="150" w:type="dxa"/>
              <w:right w:w="0" w:type="dxa"/>
            </w:tcMar>
            <w:vAlign w:val="center"/>
          </w:tcPr>
          <w:p w14:paraId="08CA74CF">
            <w:pPr>
              <w:pStyle w:val="5"/>
              <w:keepNext w:val="0"/>
            </w:pPr>
            <w:r>
              <w:t>石砾含量&gt;5%时须在计算中扣除</w:t>
            </w:r>
          </w:p>
        </w:tc>
      </w:tr>
    </w:tbl>
    <w:p w14:paraId="64086975">
      <w:pPr>
        <w:pStyle w:val="4"/>
      </w:pPr>
      <w:r>
        <w:t>表2</w:t>
      </w:r>
      <w:r>
        <w:rPr>
          <w:rFonts w:hint="eastAsia"/>
          <w:lang w:val="en-US" w:eastAsia="zh-CN"/>
        </w:rPr>
        <w:t>6</w:t>
      </w:r>
      <w:r>
        <w:t xml:space="preserve"> 水体DOC浓度</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775"/>
        <w:gridCol w:w="5538"/>
      </w:tblGrid>
      <w:tr w14:paraId="7EAD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31C295A8">
            <w:pPr>
              <w:pStyle w:val="5"/>
              <w:keepNext w:val="0"/>
              <w:jc w:val="center"/>
              <w:rPr>
                <w:rFonts w:hint="eastAsia" w:ascii="黑体" w:hAnsi="黑体" w:eastAsia="黑体" w:cs="黑体"/>
              </w:rPr>
            </w:pPr>
            <w:r>
              <w:rPr>
                <w:rFonts w:ascii="黑体" w:hAnsi="黑体" w:eastAsia="黑体" w:cs="黑体"/>
              </w:rPr>
              <w:t>数据/参数名称</w:t>
            </w:r>
          </w:p>
        </w:tc>
        <w:tc>
          <w:tcPr>
            <w:tcW w:w="3330" w:type="pct"/>
            <w:tcMar>
              <w:top w:w="150" w:type="dxa"/>
              <w:left w:w="240" w:type="dxa"/>
              <w:bottom w:w="150" w:type="dxa"/>
              <w:right w:w="0" w:type="dxa"/>
            </w:tcMar>
            <w:vAlign w:val="center"/>
          </w:tcPr>
          <w:p w14:paraId="10F413F1">
            <w:pPr>
              <w:pStyle w:val="5"/>
              <w:keepNext w:val="0"/>
            </w:pPr>
            <w:r>
              <w:t>DOC_concentration</w:t>
            </w:r>
          </w:p>
        </w:tc>
      </w:tr>
      <w:tr w14:paraId="23F6A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6C2E770B">
            <w:pPr>
              <w:pStyle w:val="5"/>
              <w:keepNext w:val="0"/>
              <w:jc w:val="center"/>
              <w:rPr>
                <w:rFonts w:hint="eastAsia" w:ascii="黑体" w:hAnsi="黑体" w:eastAsia="黑体" w:cs="黑体"/>
              </w:rPr>
            </w:pPr>
            <w:r>
              <w:rPr>
                <w:rFonts w:ascii="黑体" w:hAnsi="黑体" w:eastAsia="黑体" w:cs="黑体"/>
              </w:rPr>
              <w:t>应用的公式编号</w:t>
            </w:r>
          </w:p>
        </w:tc>
        <w:tc>
          <w:tcPr>
            <w:tcW w:w="3330" w:type="pct"/>
            <w:tcMar>
              <w:top w:w="150" w:type="dxa"/>
              <w:left w:w="240" w:type="dxa"/>
              <w:bottom w:w="150" w:type="dxa"/>
              <w:right w:w="0" w:type="dxa"/>
            </w:tcMar>
            <w:vAlign w:val="center"/>
          </w:tcPr>
          <w:p w14:paraId="4D99E518">
            <w:pPr>
              <w:pStyle w:val="5"/>
              <w:keepNext w:val="0"/>
            </w:pPr>
            <w:r>
              <w:rPr>
                <w:rFonts w:hint="eastAsia"/>
              </w:rPr>
              <w:t>公式（</w:t>
            </w:r>
            <w:r>
              <w:t>4</w:t>
            </w:r>
            <w:r>
              <w:rPr>
                <w:rFonts w:hint="eastAsia"/>
              </w:rPr>
              <w:t>）、公式（</w:t>
            </w:r>
            <w:r>
              <w:t>11</w:t>
            </w:r>
            <w:r>
              <w:rPr>
                <w:rFonts w:hint="eastAsia"/>
              </w:rPr>
              <w:t>）、公式（</w:t>
            </w:r>
            <w:r>
              <w:t>12</w:t>
            </w:r>
            <w:r>
              <w:rPr>
                <w:rFonts w:hint="eastAsia"/>
              </w:rPr>
              <w:t>）、公式（</w:t>
            </w:r>
            <w:r>
              <w:t>13</w:t>
            </w:r>
            <w:r>
              <w:rPr>
                <w:rFonts w:hint="eastAsia"/>
              </w:rPr>
              <w:t>）、公式（</w:t>
            </w:r>
            <w:r>
              <w:t>15</w:t>
            </w:r>
            <w:r>
              <w:rPr>
                <w:rFonts w:hint="eastAsia"/>
              </w:rPr>
              <w:t>）</w:t>
            </w:r>
          </w:p>
        </w:tc>
      </w:tr>
      <w:tr w14:paraId="4868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4946671A">
            <w:pPr>
              <w:pStyle w:val="5"/>
              <w:keepNext w:val="0"/>
              <w:jc w:val="center"/>
              <w:rPr>
                <w:rFonts w:hint="eastAsia" w:ascii="黑体" w:hAnsi="黑体" w:eastAsia="黑体" w:cs="黑体"/>
              </w:rPr>
            </w:pPr>
            <w:r>
              <w:rPr>
                <w:rFonts w:ascii="黑体" w:hAnsi="黑体" w:eastAsia="黑体" w:cs="黑体"/>
              </w:rPr>
              <w:t>数据描述</w:t>
            </w:r>
          </w:p>
        </w:tc>
        <w:tc>
          <w:tcPr>
            <w:tcW w:w="3330" w:type="pct"/>
            <w:tcMar>
              <w:top w:w="150" w:type="dxa"/>
              <w:left w:w="240" w:type="dxa"/>
              <w:bottom w:w="150" w:type="dxa"/>
              <w:right w:w="0" w:type="dxa"/>
            </w:tcMar>
            <w:vAlign w:val="center"/>
          </w:tcPr>
          <w:p w14:paraId="2CEE2E08">
            <w:pPr>
              <w:pStyle w:val="5"/>
              <w:keepNext w:val="0"/>
            </w:pPr>
            <w:r>
              <w:t>水样中溶解有机碳的浓度</w:t>
            </w:r>
          </w:p>
        </w:tc>
      </w:tr>
      <w:tr w14:paraId="32D2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754353B8">
            <w:pPr>
              <w:pStyle w:val="5"/>
              <w:keepNext w:val="0"/>
              <w:jc w:val="center"/>
              <w:rPr>
                <w:rFonts w:hint="eastAsia" w:ascii="黑体" w:hAnsi="黑体" w:eastAsia="黑体" w:cs="黑体"/>
              </w:rPr>
            </w:pPr>
            <w:r>
              <w:rPr>
                <w:rFonts w:ascii="黑体" w:hAnsi="黑体" w:eastAsia="黑体" w:cs="黑体"/>
              </w:rPr>
              <w:t>数据单位</w:t>
            </w:r>
          </w:p>
        </w:tc>
        <w:tc>
          <w:tcPr>
            <w:tcW w:w="3330" w:type="pct"/>
            <w:tcMar>
              <w:top w:w="150" w:type="dxa"/>
              <w:left w:w="240" w:type="dxa"/>
              <w:bottom w:w="150" w:type="dxa"/>
              <w:right w:w="0" w:type="dxa"/>
            </w:tcMar>
            <w:vAlign w:val="center"/>
          </w:tcPr>
          <w:p w14:paraId="32EFC12A">
            <w:pPr>
              <w:pStyle w:val="5"/>
              <w:keepNext w:val="0"/>
            </w:pPr>
            <w:r>
              <w:t>mg/L</w:t>
            </w:r>
          </w:p>
        </w:tc>
      </w:tr>
      <w:tr w14:paraId="0DAE9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478387A6">
            <w:pPr>
              <w:pStyle w:val="5"/>
              <w:keepNext w:val="0"/>
              <w:jc w:val="center"/>
              <w:rPr>
                <w:rFonts w:hint="eastAsia" w:ascii="黑体" w:hAnsi="黑体" w:eastAsia="黑体" w:cs="黑体"/>
              </w:rPr>
            </w:pPr>
            <w:r>
              <w:rPr>
                <w:rFonts w:ascii="黑体" w:hAnsi="黑体" w:eastAsia="黑体" w:cs="黑体"/>
              </w:rPr>
              <w:t>数据来源</w:t>
            </w:r>
          </w:p>
        </w:tc>
        <w:tc>
          <w:tcPr>
            <w:tcW w:w="3330" w:type="pct"/>
            <w:tcMar>
              <w:top w:w="150" w:type="dxa"/>
              <w:left w:w="240" w:type="dxa"/>
              <w:bottom w:w="150" w:type="dxa"/>
              <w:right w:w="0" w:type="dxa"/>
            </w:tcMar>
            <w:vAlign w:val="center"/>
          </w:tcPr>
          <w:p w14:paraId="1BF7D4E2">
            <w:pPr>
              <w:pStyle w:val="5"/>
              <w:keepNext w:val="0"/>
            </w:pPr>
            <w:r>
              <w:t>实验室检测分析</w:t>
            </w:r>
          </w:p>
        </w:tc>
      </w:tr>
      <w:tr w14:paraId="44FED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7D4884F6">
            <w:pPr>
              <w:pStyle w:val="5"/>
              <w:keepNext w:val="0"/>
              <w:jc w:val="center"/>
              <w:rPr>
                <w:rFonts w:hint="eastAsia" w:ascii="黑体" w:hAnsi="黑体" w:eastAsia="黑体" w:cs="黑体"/>
              </w:rPr>
            </w:pPr>
            <w:r>
              <w:rPr>
                <w:rFonts w:ascii="黑体" w:hAnsi="黑体" w:eastAsia="黑体" w:cs="黑体"/>
              </w:rPr>
              <w:t>监测点要求</w:t>
            </w:r>
          </w:p>
        </w:tc>
        <w:tc>
          <w:tcPr>
            <w:tcW w:w="3330" w:type="pct"/>
            <w:tcMar>
              <w:top w:w="150" w:type="dxa"/>
              <w:left w:w="240" w:type="dxa"/>
              <w:bottom w:w="150" w:type="dxa"/>
              <w:right w:w="0" w:type="dxa"/>
            </w:tcMar>
            <w:vAlign w:val="center"/>
          </w:tcPr>
          <w:p w14:paraId="6221C7E7">
            <w:pPr>
              <w:pStyle w:val="5"/>
              <w:keepNext w:val="0"/>
            </w:pPr>
            <w:r>
              <w:t>所有布设的水体监测点位（表层0.5m）</w:t>
            </w:r>
          </w:p>
        </w:tc>
      </w:tr>
      <w:tr w14:paraId="340E3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7E934659">
            <w:pPr>
              <w:pStyle w:val="5"/>
              <w:keepNext w:val="0"/>
              <w:jc w:val="center"/>
              <w:rPr>
                <w:rFonts w:hint="eastAsia" w:ascii="黑体" w:hAnsi="黑体" w:eastAsia="黑体" w:cs="黑体"/>
              </w:rPr>
            </w:pPr>
            <w:r>
              <w:rPr>
                <w:rFonts w:ascii="黑体" w:hAnsi="黑体" w:eastAsia="黑体" w:cs="黑体"/>
              </w:rPr>
              <w:t>监测仪表要求</w:t>
            </w:r>
          </w:p>
        </w:tc>
        <w:tc>
          <w:tcPr>
            <w:tcW w:w="3330" w:type="pct"/>
            <w:tcMar>
              <w:top w:w="150" w:type="dxa"/>
              <w:left w:w="240" w:type="dxa"/>
              <w:bottom w:w="150" w:type="dxa"/>
              <w:right w:w="0" w:type="dxa"/>
            </w:tcMar>
            <w:vAlign w:val="center"/>
          </w:tcPr>
          <w:p w14:paraId="72FECD13">
            <w:pPr>
              <w:pStyle w:val="5"/>
              <w:keepNext w:val="0"/>
            </w:pPr>
            <w:r>
              <w:t>有机玻璃采水器、棕色玻璃瓶（预先清洗）、冷藏箱、总有机碳分析仪</w:t>
            </w:r>
          </w:p>
        </w:tc>
      </w:tr>
      <w:tr w14:paraId="16388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218B08EC">
            <w:pPr>
              <w:pStyle w:val="5"/>
              <w:keepNext w:val="0"/>
              <w:jc w:val="center"/>
              <w:rPr>
                <w:rFonts w:hint="eastAsia" w:ascii="黑体" w:hAnsi="黑体" w:eastAsia="黑体" w:cs="黑体"/>
              </w:rPr>
            </w:pPr>
            <w:r>
              <w:rPr>
                <w:rFonts w:ascii="黑体" w:hAnsi="黑体" w:eastAsia="黑体" w:cs="黑体"/>
              </w:rPr>
              <w:t>监测程序与方法要求</w:t>
            </w:r>
          </w:p>
        </w:tc>
        <w:tc>
          <w:tcPr>
            <w:tcW w:w="3330" w:type="pct"/>
            <w:tcMar>
              <w:top w:w="150" w:type="dxa"/>
              <w:left w:w="240" w:type="dxa"/>
              <w:bottom w:w="150" w:type="dxa"/>
              <w:right w:w="0" w:type="dxa"/>
            </w:tcMar>
            <w:vAlign w:val="center"/>
          </w:tcPr>
          <w:p w14:paraId="6DE21B26">
            <w:pPr>
              <w:pStyle w:val="5"/>
              <w:keepNext w:val="0"/>
            </w:pPr>
            <w:r>
              <w:t>按照HJ 501-2009水质总有机碳的测定燃烧氧化</w:t>
            </w:r>
            <w:r>
              <w:rPr>
                <w:rFonts w:hint="eastAsia"/>
                <w:lang w:eastAsia="zh-CN"/>
              </w:rPr>
              <w:t>－</w:t>
            </w:r>
            <w:r>
              <w:t>非分散红外吸收法执行；水样采集后立即冷藏（4℃），24小时内完成分析</w:t>
            </w:r>
          </w:p>
        </w:tc>
      </w:tr>
      <w:tr w14:paraId="3BB9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112176D2">
            <w:pPr>
              <w:pStyle w:val="5"/>
              <w:keepNext w:val="0"/>
              <w:jc w:val="center"/>
              <w:rPr>
                <w:rFonts w:hint="eastAsia" w:ascii="黑体" w:hAnsi="黑体" w:eastAsia="黑体" w:cs="黑体"/>
              </w:rPr>
            </w:pPr>
            <w:r>
              <w:rPr>
                <w:rFonts w:ascii="黑体" w:hAnsi="黑体" w:eastAsia="黑体" w:cs="黑体"/>
              </w:rPr>
              <w:t>监测频次与记录要求</w:t>
            </w:r>
          </w:p>
        </w:tc>
        <w:tc>
          <w:tcPr>
            <w:tcW w:w="3330" w:type="pct"/>
            <w:tcMar>
              <w:top w:w="150" w:type="dxa"/>
              <w:left w:w="240" w:type="dxa"/>
              <w:bottom w:w="150" w:type="dxa"/>
              <w:right w:w="0" w:type="dxa"/>
            </w:tcMar>
            <w:vAlign w:val="center"/>
          </w:tcPr>
          <w:p w14:paraId="4BD81561">
            <w:pPr>
              <w:pStyle w:val="5"/>
              <w:keepNext w:val="0"/>
            </w:pPr>
            <w:r>
              <w:t>每季度1次；记录采样点位编号、采样日期、水温、DOC浓度、平行样偏差</w:t>
            </w:r>
          </w:p>
        </w:tc>
      </w:tr>
      <w:tr w14:paraId="75848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438808D1">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330" w:type="pct"/>
            <w:tcMar>
              <w:top w:w="150" w:type="dxa"/>
              <w:left w:w="240" w:type="dxa"/>
              <w:bottom w:w="150" w:type="dxa"/>
              <w:right w:w="0" w:type="dxa"/>
            </w:tcMar>
            <w:vAlign w:val="center"/>
          </w:tcPr>
          <w:p w14:paraId="54C71BDB">
            <w:pPr>
              <w:pStyle w:val="5"/>
              <w:keepNext w:val="0"/>
            </w:pPr>
            <w:r>
              <w:t>每批次设置全程空白和标准样品质控；平行样偏差不超过10%；实验室回收率</w:t>
            </w:r>
            <w:r>
              <w:rPr>
                <w:rFonts w:hint="eastAsia"/>
                <w:lang w:eastAsia="zh-CN"/>
              </w:rPr>
              <w:t>90%～110%</w:t>
            </w:r>
          </w:p>
        </w:tc>
      </w:tr>
      <w:tr w14:paraId="762D0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78AB71F4">
            <w:pPr>
              <w:pStyle w:val="5"/>
              <w:keepNext w:val="0"/>
              <w:jc w:val="center"/>
              <w:rPr>
                <w:rFonts w:hint="eastAsia" w:ascii="黑体" w:hAnsi="黑体" w:eastAsia="黑体" w:cs="黑体"/>
              </w:rPr>
            </w:pPr>
            <w:r>
              <w:rPr>
                <w:rFonts w:ascii="黑体" w:hAnsi="黑体" w:eastAsia="黑体" w:cs="黑体"/>
              </w:rPr>
              <w:t>数据用途</w:t>
            </w:r>
          </w:p>
        </w:tc>
        <w:tc>
          <w:tcPr>
            <w:tcW w:w="3330" w:type="pct"/>
            <w:tcMar>
              <w:top w:w="150" w:type="dxa"/>
              <w:left w:w="240" w:type="dxa"/>
              <w:bottom w:w="150" w:type="dxa"/>
              <w:right w:w="0" w:type="dxa"/>
            </w:tcMar>
            <w:vAlign w:val="center"/>
          </w:tcPr>
          <w:p w14:paraId="643F9466">
            <w:pPr>
              <w:pStyle w:val="5"/>
              <w:keepNext w:val="0"/>
            </w:pPr>
            <w:r>
              <w:t>用于计算水体溶解有机碳储量</w:t>
            </w:r>
          </w:p>
        </w:tc>
      </w:tr>
      <w:tr w14:paraId="37E86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669" w:type="pct"/>
            <w:tcMar>
              <w:top w:w="150" w:type="dxa"/>
              <w:left w:w="0" w:type="dxa"/>
              <w:bottom w:w="150" w:type="dxa"/>
              <w:right w:w="240" w:type="dxa"/>
            </w:tcMar>
            <w:vAlign w:val="center"/>
          </w:tcPr>
          <w:p w14:paraId="38D2B51E">
            <w:pPr>
              <w:pStyle w:val="5"/>
              <w:keepNext w:val="0"/>
              <w:jc w:val="center"/>
              <w:rPr>
                <w:rFonts w:hint="eastAsia" w:ascii="黑体" w:hAnsi="黑体" w:eastAsia="黑体" w:cs="黑体"/>
              </w:rPr>
            </w:pPr>
            <w:r>
              <w:rPr>
                <w:rFonts w:ascii="黑体" w:hAnsi="黑体" w:eastAsia="黑体" w:cs="黑体"/>
              </w:rPr>
              <w:t>备注</w:t>
            </w:r>
          </w:p>
        </w:tc>
        <w:tc>
          <w:tcPr>
            <w:tcW w:w="3330" w:type="pct"/>
            <w:tcMar>
              <w:top w:w="150" w:type="dxa"/>
              <w:left w:w="240" w:type="dxa"/>
              <w:bottom w:w="150" w:type="dxa"/>
              <w:right w:w="0" w:type="dxa"/>
            </w:tcMar>
            <w:vAlign w:val="center"/>
          </w:tcPr>
          <w:p w14:paraId="067B012A">
            <w:pPr>
              <w:pStyle w:val="5"/>
              <w:keepNext w:val="0"/>
            </w:pPr>
            <w:r>
              <w:t>极端天气（暴雨、洪水等）后15日内须应急补测</w:t>
            </w:r>
          </w:p>
        </w:tc>
      </w:tr>
    </w:tbl>
    <w:p w14:paraId="69479F21">
      <w:pPr>
        <w:pStyle w:val="4"/>
      </w:pPr>
      <w:r>
        <w:t>表2</w:t>
      </w:r>
      <w:r>
        <w:rPr>
          <w:rFonts w:hint="eastAsia"/>
          <w:lang w:val="en-US" w:eastAsia="zh-CN"/>
        </w:rPr>
        <w:t>7</w:t>
      </w:r>
      <w:r>
        <w:t xml:space="preserve"> 水域面积</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17"/>
        <w:gridCol w:w="5396"/>
      </w:tblGrid>
      <w:tr w14:paraId="7CA9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7BB0A1C8">
            <w:pPr>
              <w:pStyle w:val="5"/>
              <w:keepNext w:val="0"/>
              <w:jc w:val="center"/>
              <w:rPr>
                <w:rFonts w:hint="eastAsia" w:ascii="黑体" w:hAnsi="黑体" w:eastAsia="黑体" w:cs="黑体"/>
              </w:rPr>
            </w:pPr>
            <w:r>
              <w:rPr>
                <w:rFonts w:ascii="黑体" w:hAnsi="黑体" w:eastAsia="黑体" w:cs="黑体"/>
              </w:rPr>
              <w:t>数据/参数名称</w:t>
            </w:r>
          </w:p>
        </w:tc>
        <w:tc>
          <w:tcPr>
            <w:tcW w:w="3245" w:type="pct"/>
            <w:tcMar>
              <w:top w:w="150" w:type="dxa"/>
              <w:left w:w="240" w:type="dxa"/>
              <w:bottom w:w="150" w:type="dxa"/>
              <w:right w:w="0" w:type="dxa"/>
            </w:tcMar>
            <w:vAlign w:val="center"/>
          </w:tcPr>
          <w:p w14:paraId="423B6BF8">
            <w:pPr>
              <w:pStyle w:val="5"/>
              <w:keepNext w:val="0"/>
            </w:pPr>
            <w:r>
              <w:t>Water_area</w:t>
            </w:r>
          </w:p>
        </w:tc>
      </w:tr>
      <w:tr w14:paraId="012E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1B5FC8EA">
            <w:pPr>
              <w:pStyle w:val="5"/>
              <w:keepNext w:val="0"/>
              <w:jc w:val="center"/>
              <w:rPr>
                <w:rFonts w:hint="eastAsia" w:ascii="黑体" w:hAnsi="黑体" w:eastAsia="黑体" w:cs="黑体"/>
              </w:rPr>
            </w:pPr>
            <w:r>
              <w:rPr>
                <w:rFonts w:ascii="黑体" w:hAnsi="黑体" w:eastAsia="黑体" w:cs="黑体"/>
              </w:rPr>
              <w:t>应用的公式编号</w:t>
            </w:r>
          </w:p>
        </w:tc>
        <w:tc>
          <w:tcPr>
            <w:tcW w:w="3245" w:type="pct"/>
            <w:tcMar>
              <w:top w:w="150" w:type="dxa"/>
              <w:left w:w="240" w:type="dxa"/>
              <w:bottom w:w="150" w:type="dxa"/>
              <w:right w:w="0" w:type="dxa"/>
            </w:tcMar>
            <w:vAlign w:val="center"/>
          </w:tcPr>
          <w:p w14:paraId="44AB782C">
            <w:pPr>
              <w:pStyle w:val="5"/>
              <w:keepNext w:val="0"/>
            </w:pPr>
            <w:r>
              <w:t>公式（4）、公式（11）、公式（12）、公式（13）、公式（15）</w:t>
            </w:r>
          </w:p>
        </w:tc>
      </w:tr>
      <w:tr w14:paraId="2071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5EF0CD2D">
            <w:pPr>
              <w:pStyle w:val="5"/>
              <w:keepNext w:val="0"/>
              <w:jc w:val="center"/>
              <w:rPr>
                <w:rFonts w:hint="eastAsia" w:ascii="黑体" w:hAnsi="黑体" w:eastAsia="黑体" w:cs="黑体"/>
              </w:rPr>
            </w:pPr>
            <w:r>
              <w:rPr>
                <w:rFonts w:ascii="黑体" w:hAnsi="黑体" w:eastAsia="黑体" w:cs="黑体"/>
              </w:rPr>
              <w:t>数据描述</w:t>
            </w:r>
          </w:p>
        </w:tc>
        <w:tc>
          <w:tcPr>
            <w:tcW w:w="3245" w:type="pct"/>
            <w:tcMar>
              <w:top w:w="150" w:type="dxa"/>
              <w:left w:w="240" w:type="dxa"/>
              <w:bottom w:w="150" w:type="dxa"/>
              <w:right w:w="0" w:type="dxa"/>
            </w:tcMar>
            <w:vAlign w:val="center"/>
          </w:tcPr>
          <w:p w14:paraId="56FC19A7">
            <w:pPr>
              <w:pStyle w:val="5"/>
              <w:keepNext w:val="0"/>
            </w:pPr>
            <w:r>
              <w:t>项目边界内稳定水域的面积</w:t>
            </w:r>
          </w:p>
        </w:tc>
      </w:tr>
      <w:tr w14:paraId="32A3A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2C0B056C">
            <w:pPr>
              <w:pStyle w:val="5"/>
              <w:keepNext w:val="0"/>
              <w:jc w:val="center"/>
              <w:rPr>
                <w:rFonts w:hint="eastAsia" w:ascii="黑体" w:hAnsi="黑体" w:eastAsia="黑体" w:cs="黑体"/>
              </w:rPr>
            </w:pPr>
            <w:r>
              <w:rPr>
                <w:rFonts w:ascii="黑体" w:hAnsi="黑体" w:eastAsia="黑体" w:cs="黑体"/>
              </w:rPr>
              <w:t>数据单位</w:t>
            </w:r>
          </w:p>
        </w:tc>
        <w:tc>
          <w:tcPr>
            <w:tcW w:w="3245" w:type="pct"/>
            <w:tcMar>
              <w:top w:w="150" w:type="dxa"/>
              <w:left w:w="240" w:type="dxa"/>
              <w:bottom w:w="150" w:type="dxa"/>
              <w:right w:w="0" w:type="dxa"/>
            </w:tcMar>
            <w:vAlign w:val="center"/>
          </w:tcPr>
          <w:p w14:paraId="3DDBC1B9">
            <w:pPr>
              <w:pStyle w:val="5"/>
              <w:keepNext w:val="0"/>
            </w:pPr>
            <w:r>
              <w:t>hm²</w:t>
            </w:r>
          </w:p>
        </w:tc>
      </w:tr>
      <w:tr w14:paraId="3F3D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4B3B5E53">
            <w:pPr>
              <w:pStyle w:val="5"/>
              <w:keepNext w:val="0"/>
              <w:jc w:val="center"/>
              <w:rPr>
                <w:rFonts w:hint="eastAsia" w:ascii="黑体" w:hAnsi="黑体" w:eastAsia="黑体" w:cs="黑体"/>
              </w:rPr>
            </w:pPr>
            <w:r>
              <w:rPr>
                <w:rFonts w:ascii="黑体" w:hAnsi="黑体" w:eastAsia="黑体" w:cs="黑体"/>
              </w:rPr>
              <w:t>数据来源</w:t>
            </w:r>
          </w:p>
        </w:tc>
        <w:tc>
          <w:tcPr>
            <w:tcW w:w="3245" w:type="pct"/>
            <w:tcMar>
              <w:top w:w="150" w:type="dxa"/>
              <w:left w:w="240" w:type="dxa"/>
              <w:bottom w:w="150" w:type="dxa"/>
              <w:right w:w="0" w:type="dxa"/>
            </w:tcMar>
            <w:vAlign w:val="center"/>
          </w:tcPr>
          <w:p w14:paraId="3F9E8413">
            <w:pPr>
              <w:pStyle w:val="5"/>
              <w:keepNext w:val="0"/>
            </w:pPr>
            <w:r>
              <w:t>遥感影像解译、实地测量</w:t>
            </w:r>
          </w:p>
        </w:tc>
      </w:tr>
      <w:tr w14:paraId="0EDE6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3821DC01">
            <w:pPr>
              <w:pStyle w:val="5"/>
              <w:keepNext w:val="0"/>
              <w:jc w:val="center"/>
              <w:rPr>
                <w:rFonts w:hint="eastAsia" w:ascii="黑体" w:hAnsi="黑体" w:eastAsia="黑体" w:cs="黑体"/>
              </w:rPr>
            </w:pPr>
            <w:r>
              <w:rPr>
                <w:rFonts w:ascii="黑体" w:hAnsi="黑体" w:eastAsia="黑体" w:cs="黑体"/>
              </w:rPr>
              <w:t>监测点要求</w:t>
            </w:r>
          </w:p>
        </w:tc>
        <w:tc>
          <w:tcPr>
            <w:tcW w:w="3245" w:type="pct"/>
            <w:tcMar>
              <w:top w:w="150" w:type="dxa"/>
              <w:left w:w="240" w:type="dxa"/>
              <w:bottom w:w="150" w:type="dxa"/>
              <w:right w:w="0" w:type="dxa"/>
            </w:tcMar>
            <w:vAlign w:val="center"/>
          </w:tcPr>
          <w:p w14:paraId="0601D1E8">
            <w:pPr>
              <w:pStyle w:val="5"/>
              <w:keepNext w:val="0"/>
            </w:pPr>
            <w:r>
              <w:t>项目边界内全部水域</w:t>
            </w:r>
          </w:p>
        </w:tc>
      </w:tr>
      <w:tr w14:paraId="37E7C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04FA3615">
            <w:pPr>
              <w:pStyle w:val="5"/>
              <w:keepNext w:val="0"/>
              <w:jc w:val="center"/>
              <w:rPr>
                <w:rFonts w:hint="eastAsia" w:ascii="黑体" w:hAnsi="黑体" w:eastAsia="黑体" w:cs="黑体"/>
              </w:rPr>
            </w:pPr>
            <w:r>
              <w:rPr>
                <w:rFonts w:ascii="黑体" w:hAnsi="黑体" w:eastAsia="黑体" w:cs="黑体"/>
              </w:rPr>
              <w:t>监测仪表要求</w:t>
            </w:r>
          </w:p>
        </w:tc>
        <w:tc>
          <w:tcPr>
            <w:tcW w:w="3245" w:type="pct"/>
            <w:tcMar>
              <w:top w:w="150" w:type="dxa"/>
              <w:left w:w="240" w:type="dxa"/>
              <w:bottom w:w="150" w:type="dxa"/>
              <w:right w:w="0" w:type="dxa"/>
            </w:tcMar>
            <w:vAlign w:val="center"/>
          </w:tcPr>
          <w:p w14:paraId="0DF98173">
            <w:pPr>
              <w:pStyle w:val="5"/>
              <w:keepNext w:val="0"/>
            </w:pPr>
            <w:r>
              <w:t>RTK、GPS/BDS等卫星定位系统（CGCS2000坐标系）；空间分辨率不低于2m的卫星遥感影像或无人机航拍影像</w:t>
            </w:r>
          </w:p>
        </w:tc>
      </w:tr>
      <w:tr w14:paraId="737E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51BC14FC">
            <w:pPr>
              <w:pStyle w:val="5"/>
              <w:keepNext w:val="0"/>
              <w:jc w:val="center"/>
              <w:rPr>
                <w:rFonts w:hint="eastAsia" w:ascii="黑体" w:hAnsi="黑体" w:eastAsia="黑体" w:cs="黑体"/>
              </w:rPr>
            </w:pPr>
            <w:r>
              <w:rPr>
                <w:rFonts w:ascii="黑体" w:hAnsi="黑体" w:eastAsia="黑体" w:cs="黑体"/>
              </w:rPr>
              <w:t>监测程序与方法要求</w:t>
            </w:r>
          </w:p>
        </w:tc>
        <w:tc>
          <w:tcPr>
            <w:tcW w:w="3245" w:type="pct"/>
            <w:tcMar>
              <w:top w:w="150" w:type="dxa"/>
              <w:left w:w="240" w:type="dxa"/>
              <w:bottom w:w="150" w:type="dxa"/>
              <w:right w:w="0" w:type="dxa"/>
            </w:tcMar>
            <w:vAlign w:val="center"/>
          </w:tcPr>
          <w:p w14:paraId="377DE31C">
            <w:pPr>
              <w:pStyle w:val="5"/>
              <w:keepNext w:val="0"/>
            </w:pPr>
            <w:r>
              <w:t>采用遥感影像结合实地拐点坐标测量；水域边界拐点定位误差不超过±5m；在GIS辅助下计算水域面积</w:t>
            </w:r>
          </w:p>
        </w:tc>
      </w:tr>
      <w:tr w14:paraId="521B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57411E17">
            <w:pPr>
              <w:pStyle w:val="5"/>
              <w:keepNext w:val="0"/>
              <w:jc w:val="center"/>
              <w:rPr>
                <w:rFonts w:hint="eastAsia" w:ascii="黑体" w:hAnsi="黑体" w:eastAsia="黑体" w:cs="黑体"/>
              </w:rPr>
            </w:pPr>
            <w:r>
              <w:rPr>
                <w:rFonts w:ascii="黑体" w:hAnsi="黑体" w:eastAsia="黑体" w:cs="黑体"/>
              </w:rPr>
              <w:t>监测频次与记录要求</w:t>
            </w:r>
          </w:p>
        </w:tc>
        <w:tc>
          <w:tcPr>
            <w:tcW w:w="3245" w:type="pct"/>
            <w:tcMar>
              <w:top w:w="150" w:type="dxa"/>
              <w:left w:w="240" w:type="dxa"/>
              <w:bottom w:w="150" w:type="dxa"/>
              <w:right w:w="0" w:type="dxa"/>
            </w:tcMar>
            <w:vAlign w:val="center"/>
          </w:tcPr>
          <w:p w14:paraId="782C2F32">
            <w:pPr>
              <w:pStyle w:val="5"/>
              <w:keepNext w:val="0"/>
            </w:pPr>
            <w:r>
              <w:t>每年1次（与水位监测同步）；记录水域边界.shp或.kml文件</w:t>
            </w:r>
          </w:p>
        </w:tc>
      </w:tr>
      <w:tr w14:paraId="6746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03E454A9">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245" w:type="pct"/>
            <w:tcMar>
              <w:top w:w="150" w:type="dxa"/>
              <w:left w:w="240" w:type="dxa"/>
              <w:bottom w:w="150" w:type="dxa"/>
              <w:right w:w="0" w:type="dxa"/>
            </w:tcMar>
            <w:vAlign w:val="center"/>
          </w:tcPr>
          <w:p w14:paraId="69907E35">
            <w:pPr>
              <w:pStyle w:val="5"/>
              <w:keepNext w:val="0"/>
            </w:pPr>
            <w:r>
              <w:t>遥感解译与实地测量双重核实</w:t>
            </w:r>
            <w:r>
              <w:rPr>
                <w:rFonts w:hint="eastAsia"/>
                <w:lang w:eastAsia="zh-CN"/>
              </w:rPr>
              <w:t>，</w:t>
            </w:r>
            <w:r>
              <w:t>边界数据须经项目业主确认</w:t>
            </w:r>
          </w:p>
        </w:tc>
      </w:tr>
      <w:tr w14:paraId="4A67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19BD5172">
            <w:pPr>
              <w:pStyle w:val="5"/>
              <w:keepNext w:val="0"/>
              <w:jc w:val="center"/>
              <w:rPr>
                <w:rFonts w:hint="eastAsia" w:ascii="黑体" w:hAnsi="黑体" w:eastAsia="黑体" w:cs="黑体"/>
              </w:rPr>
            </w:pPr>
            <w:r>
              <w:rPr>
                <w:rFonts w:ascii="黑体" w:hAnsi="黑体" w:eastAsia="黑体" w:cs="黑体"/>
              </w:rPr>
              <w:t>数据用途</w:t>
            </w:r>
          </w:p>
        </w:tc>
        <w:tc>
          <w:tcPr>
            <w:tcW w:w="3245" w:type="pct"/>
            <w:tcMar>
              <w:top w:w="150" w:type="dxa"/>
              <w:left w:w="240" w:type="dxa"/>
              <w:bottom w:w="150" w:type="dxa"/>
              <w:right w:w="0" w:type="dxa"/>
            </w:tcMar>
            <w:vAlign w:val="center"/>
          </w:tcPr>
          <w:p w14:paraId="0EEA37B1">
            <w:pPr>
              <w:pStyle w:val="5"/>
              <w:keepNext w:val="0"/>
            </w:pPr>
            <w:r>
              <w:t>结合水位数据计算水域体积，用于水体DOC碳储量核算</w:t>
            </w:r>
          </w:p>
        </w:tc>
      </w:tr>
      <w:tr w14:paraId="36CD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54" w:type="pct"/>
            <w:tcMar>
              <w:top w:w="150" w:type="dxa"/>
              <w:left w:w="0" w:type="dxa"/>
              <w:bottom w:w="150" w:type="dxa"/>
              <w:right w:w="240" w:type="dxa"/>
            </w:tcMar>
            <w:vAlign w:val="center"/>
          </w:tcPr>
          <w:p w14:paraId="75381E43">
            <w:pPr>
              <w:pStyle w:val="5"/>
              <w:keepNext w:val="0"/>
              <w:jc w:val="center"/>
              <w:rPr>
                <w:rFonts w:hint="eastAsia" w:ascii="黑体" w:hAnsi="黑体" w:eastAsia="黑体" w:cs="黑体"/>
              </w:rPr>
            </w:pPr>
            <w:r>
              <w:rPr>
                <w:rFonts w:ascii="黑体" w:hAnsi="黑体" w:eastAsia="黑体" w:cs="黑体"/>
              </w:rPr>
              <w:t>备注</w:t>
            </w:r>
          </w:p>
        </w:tc>
        <w:tc>
          <w:tcPr>
            <w:tcW w:w="3245" w:type="pct"/>
            <w:tcMar>
              <w:top w:w="150" w:type="dxa"/>
              <w:left w:w="240" w:type="dxa"/>
              <w:bottom w:w="150" w:type="dxa"/>
              <w:right w:w="0" w:type="dxa"/>
            </w:tcMar>
            <w:vAlign w:val="center"/>
          </w:tcPr>
          <w:p w14:paraId="04EDEDEC">
            <w:pPr>
              <w:pStyle w:val="5"/>
              <w:keepNext w:val="0"/>
            </w:pPr>
            <w:r>
              <w:t>如遇极端水文事件导致水域面积显著变化，须及时更新</w:t>
            </w:r>
          </w:p>
        </w:tc>
      </w:tr>
    </w:tbl>
    <w:p w14:paraId="7A518ED6">
      <w:pPr>
        <w:pStyle w:val="4"/>
      </w:pPr>
      <w:r>
        <w:t>表2</w:t>
      </w:r>
      <w:r>
        <w:rPr>
          <w:rFonts w:hint="eastAsia"/>
          <w:lang w:val="en-US" w:eastAsia="zh-CN"/>
        </w:rPr>
        <w:t>8</w:t>
      </w:r>
      <w:r>
        <w:t xml:space="preserve"> 常年平均水位</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08"/>
        <w:gridCol w:w="5405"/>
      </w:tblGrid>
      <w:tr w14:paraId="0DCB7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25E18F38">
            <w:pPr>
              <w:pStyle w:val="5"/>
              <w:keepNext w:val="0"/>
              <w:jc w:val="center"/>
              <w:rPr>
                <w:rFonts w:hint="eastAsia" w:ascii="黑体" w:hAnsi="黑体" w:eastAsia="黑体" w:cs="黑体"/>
              </w:rPr>
            </w:pPr>
            <w:r>
              <w:rPr>
                <w:rFonts w:ascii="黑体" w:hAnsi="黑体" w:eastAsia="黑体" w:cs="黑体"/>
              </w:rPr>
              <w:t>数据/参数名称</w:t>
            </w:r>
          </w:p>
        </w:tc>
        <w:tc>
          <w:tcPr>
            <w:tcW w:w="3250" w:type="pct"/>
            <w:tcMar>
              <w:top w:w="150" w:type="dxa"/>
              <w:left w:w="240" w:type="dxa"/>
              <w:bottom w:w="150" w:type="dxa"/>
              <w:right w:w="0" w:type="dxa"/>
            </w:tcMar>
            <w:vAlign w:val="center"/>
          </w:tcPr>
          <w:p w14:paraId="59402B56">
            <w:pPr>
              <w:pStyle w:val="5"/>
              <w:keepNext w:val="0"/>
            </w:pPr>
            <w:r>
              <w:t>Water_level_avg</w:t>
            </w:r>
          </w:p>
        </w:tc>
      </w:tr>
      <w:tr w14:paraId="71E4C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51279A4E">
            <w:pPr>
              <w:pStyle w:val="5"/>
              <w:keepNext w:val="0"/>
              <w:jc w:val="center"/>
              <w:rPr>
                <w:rFonts w:hint="eastAsia" w:ascii="黑体" w:hAnsi="黑体" w:eastAsia="黑体" w:cs="黑体"/>
              </w:rPr>
            </w:pPr>
            <w:r>
              <w:rPr>
                <w:rFonts w:ascii="黑体" w:hAnsi="黑体" w:eastAsia="黑体" w:cs="黑体"/>
              </w:rPr>
              <w:t>应用的公式编号</w:t>
            </w:r>
          </w:p>
        </w:tc>
        <w:tc>
          <w:tcPr>
            <w:tcW w:w="3250" w:type="pct"/>
            <w:tcMar>
              <w:top w:w="150" w:type="dxa"/>
              <w:left w:w="240" w:type="dxa"/>
              <w:bottom w:w="150" w:type="dxa"/>
              <w:right w:w="0" w:type="dxa"/>
            </w:tcMar>
            <w:vAlign w:val="center"/>
          </w:tcPr>
          <w:p w14:paraId="775779B3">
            <w:pPr>
              <w:pStyle w:val="5"/>
              <w:keepNext w:val="0"/>
            </w:pPr>
            <w:r>
              <w:t>附录C</w:t>
            </w:r>
            <w:r>
              <w:rPr>
                <w:rFonts w:hint="eastAsia"/>
                <w:lang w:eastAsia="zh-CN"/>
              </w:rPr>
              <w:t xml:space="preserve"> 水体</w:t>
            </w:r>
            <w:r>
              <w:t>采样与溶解有机碳分析记录表</w:t>
            </w:r>
          </w:p>
        </w:tc>
      </w:tr>
      <w:tr w14:paraId="2964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6FB19EE3">
            <w:pPr>
              <w:pStyle w:val="5"/>
              <w:keepNext w:val="0"/>
              <w:jc w:val="center"/>
              <w:rPr>
                <w:rFonts w:hint="eastAsia" w:ascii="黑体" w:hAnsi="黑体" w:eastAsia="黑体" w:cs="黑体"/>
              </w:rPr>
            </w:pPr>
            <w:r>
              <w:rPr>
                <w:rFonts w:ascii="黑体" w:hAnsi="黑体" w:eastAsia="黑体" w:cs="黑体"/>
              </w:rPr>
              <w:t>数据描述</w:t>
            </w:r>
          </w:p>
        </w:tc>
        <w:tc>
          <w:tcPr>
            <w:tcW w:w="3250" w:type="pct"/>
            <w:tcMar>
              <w:top w:w="150" w:type="dxa"/>
              <w:left w:w="240" w:type="dxa"/>
              <w:bottom w:w="150" w:type="dxa"/>
              <w:right w:w="0" w:type="dxa"/>
            </w:tcMar>
            <w:vAlign w:val="center"/>
          </w:tcPr>
          <w:p w14:paraId="0C2959BD">
            <w:pPr>
              <w:pStyle w:val="5"/>
              <w:keepNext w:val="0"/>
            </w:pPr>
            <w:r>
              <w:t>项目边界内水域的常年平均水位</w:t>
            </w:r>
          </w:p>
        </w:tc>
      </w:tr>
      <w:tr w14:paraId="143D6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0887F0B8">
            <w:pPr>
              <w:pStyle w:val="5"/>
              <w:keepNext w:val="0"/>
              <w:jc w:val="center"/>
              <w:rPr>
                <w:rFonts w:hint="eastAsia" w:ascii="黑体" w:hAnsi="黑体" w:eastAsia="黑体" w:cs="黑体"/>
              </w:rPr>
            </w:pPr>
            <w:r>
              <w:rPr>
                <w:rFonts w:ascii="黑体" w:hAnsi="黑体" w:eastAsia="黑体" w:cs="黑体"/>
              </w:rPr>
              <w:t>数据单位</w:t>
            </w:r>
          </w:p>
        </w:tc>
        <w:tc>
          <w:tcPr>
            <w:tcW w:w="3250" w:type="pct"/>
            <w:tcMar>
              <w:top w:w="150" w:type="dxa"/>
              <w:left w:w="240" w:type="dxa"/>
              <w:bottom w:w="150" w:type="dxa"/>
              <w:right w:w="0" w:type="dxa"/>
            </w:tcMar>
            <w:vAlign w:val="center"/>
          </w:tcPr>
          <w:p w14:paraId="622A8501">
            <w:pPr>
              <w:pStyle w:val="5"/>
              <w:keepNext w:val="0"/>
            </w:pPr>
            <w:r>
              <w:t>m</w:t>
            </w:r>
          </w:p>
        </w:tc>
      </w:tr>
      <w:tr w14:paraId="10FE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119D0FD4">
            <w:pPr>
              <w:pStyle w:val="5"/>
              <w:keepNext w:val="0"/>
              <w:jc w:val="center"/>
              <w:rPr>
                <w:rFonts w:hint="eastAsia" w:ascii="黑体" w:hAnsi="黑体" w:eastAsia="黑体" w:cs="黑体"/>
              </w:rPr>
            </w:pPr>
            <w:r>
              <w:rPr>
                <w:rFonts w:ascii="黑体" w:hAnsi="黑体" w:eastAsia="黑体" w:cs="黑体"/>
              </w:rPr>
              <w:t>数据来源</w:t>
            </w:r>
          </w:p>
        </w:tc>
        <w:tc>
          <w:tcPr>
            <w:tcW w:w="3250" w:type="pct"/>
            <w:tcMar>
              <w:top w:w="150" w:type="dxa"/>
              <w:left w:w="240" w:type="dxa"/>
              <w:bottom w:w="150" w:type="dxa"/>
              <w:right w:w="0" w:type="dxa"/>
            </w:tcMar>
            <w:vAlign w:val="center"/>
          </w:tcPr>
          <w:p w14:paraId="517502F1">
            <w:pPr>
              <w:pStyle w:val="5"/>
              <w:keepNext w:val="0"/>
            </w:pPr>
            <w:r>
              <w:t>水文监测、水位标尺读数</w:t>
            </w:r>
          </w:p>
        </w:tc>
      </w:tr>
      <w:tr w14:paraId="44EF9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1996F095">
            <w:pPr>
              <w:pStyle w:val="5"/>
              <w:keepNext w:val="0"/>
              <w:jc w:val="center"/>
              <w:rPr>
                <w:rFonts w:hint="eastAsia" w:ascii="黑体" w:hAnsi="黑体" w:eastAsia="黑体" w:cs="黑体"/>
              </w:rPr>
            </w:pPr>
            <w:r>
              <w:rPr>
                <w:rFonts w:ascii="黑体" w:hAnsi="黑体" w:eastAsia="黑体" w:cs="黑体"/>
              </w:rPr>
              <w:t>监测点要求</w:t>
            </w:r>
          </w:p>
        </w:tc>
        <w:tc>
          <w:tcPr>
            <w:tcW w:w="3250" w:type="pct"/>
            <w:tcMar>
              <w:top w:w="150" w:type="dxa"/>
              <w:left w:w="240" w:type="dxa"/>
              <w:bottom w:w="150" w:type="dxa"/>
              <w:right w:w="0" w:type="dxa"/>
            </w:tcMar>
            <w:vAlign w:val="center"/>
          </w:tcPr>
          <w:p w14:paraId="4E985487">
            <w:pPr>
              <w:pStyle w:val="5"/>
              <w:keepNext w:val="0"/>
            </w:pPr>
            <w:r>
              <w:t>项目边界内主要水域（不少于3个监测点）</w:t>
            </w:r>
          </w:p>
        </w:tc>
      </w:tr>
      <w:tr w14:paraId="505D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36364E5F">
            <w:pPr>
              <w:pStyle w:val="5"/>
              <w:keepNext w:val="0"/>
              <w:jc w:val="center"/>
              <w:rPr>
                <w:rFonts w:hint="eastAsia" w:ascii="黑体" w:hAnsi="黑体" w:eastAsia="黑体" w:cs="黑体"/>
              </w:rPr>
            </w:pPr>
            <w:r>
              <w:rPr>
                <w:rFonts w:ascii="黑体" w:hAnsi="黑体" w:eastAsia="黑体" w:cs="黑体"/>
              </w:rPr>
              <w:t>监测仪表要求</w:t>
            </w:r>
          </w:p>
        </w:tc>
        <w:tc>
          <w:tcPr>
            <w:tcW w:w="3250" w:type="pct"/>
            <w:tcMar>
              <w:top w:w="150" w:type="dxa"/>
              <w:left w:w="240" w:type="dxa"/>
              <w:bottom w:w="150" w:type="dxa"/>
              <w:right w:w="0" w:type="dxa"/>
            </w:tcMar>
            <w:vAlign w:val="center"/>
          </w:tcPr>
          <w:p w14:paraId="5C6957E5">
            <w:pPr>
              <w:pStyle w:val="5"/>
              <w:keepNext w:val="0"/>
            </w:pPr>
            <w:r>
              <w:t>水位标尺、自动水位记录仪（精度±1cm）</w:t>
            </w:r>
          </w:p>
        </w:tc>
      </w:tr>
      <w:tr w14:paraId="13B8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39A82563">
            <w:pPr>
              <w:pStyle w:val="5"/>
              <w:keepNext w:val="0"/>
              <w:jc w:val="center"/>
              <w:rPr>
                <w:rFonts w:hint="eastAsia" w:ascii="黑体" w:hAnsi="黑体" w:eastAsia="黑体" w:cs="黑体"/>
              </w:rPr>
            </w:pPr>
            <w:r>
              <w:rPr>
                <w:rFonts w:ascii="黑体" w:hAnsi="黑体" w:eastAsia="黑体" w:cs="黑体"/>
              </w:rPr>
              <w:t>监测程序与方法要求</w:t>
            </w:r>
          </w:p>
        </w:tc>
        <w:tc>
          <w:tcPr>
            <w:tcW w:w="3250" w:type="pct"/>
            <w:tcMar>
              <w:top w:w="150" w:type="dxa"/>
              <w:left w:w="240" w:type="dxa"/>
              <w:bottom w:w="150" w:type="dxa"/>
              <w:right w:w="0" w:type="dxa"/>
            </w:tcMar>
            <w:vAlign w:val="center"/>
          </w:tcPr>
          <w:p w14:paraId="02AF2202">
            <w:pPr>
              <w:pStyle w:val="5"/>
              <w:keepNext w:val="0"/>
            </w:pPr>
            <w:r>
              <w:t>每月固定日期读数（与水质监测同步）；取各监测点月度平均值；记录水位波动幅度</w:t>
            </w:r>
          </w:p>
        </w:tc>
      </w:tr>
      <w:tr w14:paraId="05C0E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20A602DF">
            <w:pPr>
              <w:pStyle w:val="5"/>
              <w:keepNext w:val="0"/>
              <w:jc w:val="center"/>
              <w:rPr>
                <w:rFonts w:hint="eastAsia" w:ascii="黑体" w:hAnsi="黑体" w:eastAsia="黑体" w:cs="黑体"/>
              </w:rPr>
            </w:pPr>
            <w:r>
              <w:rPr>
                <w:rFonts w:ascii="黑体" w:hAnsi="黑体" w:eastAsia="黑体" w:cs="黑体"/>
              </w:rPr>
              <w:t>监测频次与记录要求</w:t>
            </w:r>
          </w:p>
        </w:tc>
        <w:tc>
          <w:tcPr>
            <w:tcW w:w="3250" w:type="pct"/>
            <w:tcMar>
              <w:top w:w="150" w:type="dxa"/>
              <w:left w:w="240" w:type="dxa"/>
              <w:bottom w:w="150" w:type="dxa"/>
              <w:right w:w="0" w:type="dxa"/>
            </w:tcMar>
            <w:vAlign w:val="center"/>
          </w:tcPr>
          <w:p w14:paraId="1BC8E9E0">
            <w:pPr>
              <w:pStyle w:val="5"/>
              <w:keepNext w:val="0"/>
            </w:pPr>
            <w:r>
              <w:t>每月1次；记录监测日期、各点位水位读数、月平均值</w:t>
            </w:r>
          </w:p>
        </w:tc>
      </w:tr>
      <w:tr w14:paraId="264A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546DC6A7">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250" w:type="pct"/>
            <w:tcMar>
              <w:top w:w="150" w:type="dxa"/>
              <w:left w:w="240" w:type="dxa"/>
              <w:bottom w:w="150" w:type="dxa"/>
              <w:right w:w="0" w:type="dxa"/>
            </w:tcMar>
            <w:vAlign w:val="center"/>
          </w:tcPr>
          <w:p w14:paraId="126ACD16">
            <w:pPr>
              <w:pStyle w:val="5"/>
              <w:keepNext w:val="0"/>
            </w:pPr>
            <w:r>
              <w:t>水位标尺定期校准（每年至少1次）；自动记录仪数据与人工读数交叉验证</w:t>
            </w:r>
          </w:p>
        </w:tc>
      </w:tr>
      <w:tr w14:paraId="65ED3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13EACF06">
            <w:pPr>
              <w:pStyle w:val="5"/>
              <w:keepNext w:val="0"/>
              <w:jc w:val="center"/>
              <w:rPr>
                <w:rFonts w:hint="eastAsia" w:ascii="黑体" w:hAnsi="黑体" w:eastAsia="黑体" w:cs="黑体"/>
              </w:rPr>
            </w:pPr>
            <w:r>
              <w:rPr>
                <w:rFonts w:ascii="黑体" w:hAnsi="黑体" w:eastAsia="黑体" w:cs="黑体"/>
              </w:rPr>
              <w:t>数据用途</w:t>
            </w:r>
          </w:p>
        </w:tc>
        <w:tc>
          <w:tcPr>
            <w:tcW w:w="3250" w:type="pct"/>
            <w:tcMar>
              <w:top w:w="150" w:type="dxa"/>
              <w:left w:w="240" w:type="dxa"/>
              <w:bottom w:w="150" w:type="dxa"/>
              <w:right w:w="0" w:type="dxa"/>
            </w:tcMar>
            <w:vAlign w:val="center"/>
          </w:tcPr>
          <w:p w14:paraId="3214E04A">
            <w:pPr>
              <w:pStyle w:val="5"/>
              <w:keepNext w:val="0"/>
            </w:pPr>
            <w:r>
              <w:t>结合水域面积计算水域体积，用于水体DOC碳储量核算</w:t>
            </w:r>
          </w:p>
        </w:tc>
      </w:tr>
      <w:tr w14:paraId="53436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9" w:type="pct"/>
            <w:tcMar>
              <w:top w:w="150" w:type="dxa"/>
              <w:left w:w="0" w:type="dxa"/>
              <w:bottom w:w="150" w:type="dxa"/>
              <w:right w:w="240" w:type="dxa"/>
            </w:tcMar>
            <w:vAlign w:val="center"/>
          </w:tcPr>
          <w:p w14:paraId="58A9A422">
            <w:pPr>
              <w:pStyle w:val="5"/>
              <w:keepNext w:val="0"/>
              <w:jc w:val="center"/>
            </w:pPr>
            <w:r>
              <w:rPr>
                <w:rFonts w:ascii="黑体" w:hAnsi="黑体" w:eastAsia="黑体" w:cs="黑体"/>
              </w:rPr>
              <w:t>备注</w:t>
            </w:r>
          </w:p>
        </w:tc>
        <w:tc>
          <w:tcPr>
            <w:tcW w:w="3250" w:type="pct"/>
            <w:tcMar>
              <w:top w:w="150" w:type="dxa"/>
              <w:left w:w="240" w:type="dxa"/>
              <w:bottom w:w="150" w:type="dxa"/>
              <w:right w:w="0" w:type="dxa"/>
            </w:tcMar>
            <w:vAlign w:val="center"/>
          </w:tcPr>
          <w:p w14:paraId="7F0A9001">
            <w:pPr>
              <w:pStyle w:val="5"/>
              <w:keepNext w:val="0"/>
            </w:pPr>
            <w:r>
              <w:t>极端天气后15日内应急补测水位</w:t>
            </w:r>
          </w:p>
        </w:tc>
      </w:tr>
    </w:tbl>
    <w:p w14:paraId="5BC14619">
      <w:pPr>
        <w:pStyle w:val="4"/>
      </w:pPr>
      <w:r>
        <w:t>表</w:t>
      </w:r>
      <w:r>
        <w:rPr>
          <w:rFonts w:hint="eastAsia"/>
          <w:lang w:val="en-US" w:eastAsia="zh-CN"/>
        </w:rPr>
        <w:t>29</w:t>
      </w:r>
      <w:r>
        <w:t xml:space="preserve"> 水域体积</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877"/>
        <w:gridCol w:w="5436"/>
      </w:tblGrid>
      <w:tr w14:paraId="6A94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20AB0CFE">
            <w:pPr>
              <w:pStyle w:val="5"/>
              <w:keepNext w:val="0"/>
              <w:jc w:val="center"/>
              <w:rPr>
                <w:rFonts w:hint="eastAsia" w:ascii="黑体" w:hAnsi="黑体" w:eastAsia="黑体" w:cs="黑体"/>
              </w:rPr>
            </w:pPr>
            <w:r>
              <w:rPr>
                <w:rFonts w:ascii="黑体" w:hAnsi="黑体" w:eastAsia="黑体" w:cs="黑体"/>
              </w:rPr>
              <w:t>数据/参数名称</w:t>
            </w:r>
          </w:p>
        </w:tc>
        <w:tc>
          <w:tcPr>
            <w:tcW w:w="3269" w:type="pct"/>
            <w:tcMar>
              <w:top w:w="150" w:type="dxa"/>
              <w:left w:w="240" w:type="dxa"/>
              <w:bottom w:w="150" w:type="dxa"/>
              <w:right w:w="0" w:type="dxa"/>
            </w:tcMar>
            <w:vAlign w:val="center"/>
          </w:tcPr>
          <w:p w14:paraId="5D1E32EE">
            <w:pPr>
              <w:pStyle w:val="5"/>
              <w:keepNext w:val="0"/>
            </w:pPr>
            <w:r>
              <w:t>Water_volume</w:t>
            </w:r>
          </w:p>
        </w:tc>
      </w:tr>
      <w:tr w14:paraId="3D89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66961EA2">
            <w:pPr>
              <w:pStyle w:val="5"/>
              <w:keepNext w:val="0"/>
              <w:jc w:val="center"/>
              <w:rPr>
                <w:rFonts w:hint="eastAsia" w:ascii="黑体" w:hAnsi="黑体" w:eastAsia="黑体" w:cs="黑体"/>
              </w:rPr>
            </w:pPr>
            <w:r>
              <w:rPr>
                <w:rFonts w:ascii="黑体" w:hAnsi="黑体" w:eastAsia="黑体" w:cs="黑体"/>
              </w:rPr>
              <w:t>应用的公式编号</w:t>
            </w:r>
          </w:p>
        </w:tc>
        <w:tc>
          <w:tcPr>
            <w:tcW w:w="3269" w:type="pct"/>
            <w:tcMar>
              <w:top w:w="150" w:type="dxa"/>
              <w:left w:w="240" w:type="dxa"/>
              <w:bottom w:w="150" w:type="dxa"/>
              <w:right w:w="0" w:type="dxa"/>
            </w:tcMar>
            <w:vAlign w:val="center"/>
          </w:tcPr>
          <w:p w14:paraId="28220E43">
            <w:pPr>
              <w:pStyle w:val="5"/>
              <w:keepNext w:val="0"/>
            </w:pPr>
            <w:r>
              <w:rPr>
                <w:rFonts w:hint="eastAsia"/>
              </w:rPr>
              <w:t>公式（</w:t>
            </w:r>
            <w:r>
              <w:t>4</w:t>
            </w:r>
            <w:r>
              <w:rPr>
                <w:rFonts w:hint="eastAsia"/>
              </w:rPr>
              <w:t>）、公式（</w:t>
            </w:r>
            <w:r>
              <w:t>11</w:t>
            </w:r>
            <w:r>
              <w:rPr>
                <w:rFonts w:hint="eastAsia"/>
              </w:rPr>
              <w:t>）、公式（</w:t>
            </w:r>
            <w:r>
              <w:t>12</w:t>
            </w:r>
            <w:r>
              <w:rPr>
                <w:rFonts w:hint="eastAsia"/>
              </w:rPr>
              <w:t>）、公式（</w:t>
            </w:r>
            <w:r>
              <w:t>13</w:t>
            </w:r>
            <w:r>
              <w:rPr>
                <w:rFonts w:hint="eastAsia"/>
              </w:rPr>
              <w:t>）、公式（</w:t>
            </w:r>
            <w:r>
              <w:t>15</w:t>
            </w:r>
            <w:r>
              <w:rPr>
                <w:rFonts w:hint="eastAsia"/>
              </w:rPr>
              <w:t>）</w:t>
            </w:r>
          </w:p>
        </w:tc>
      </w:tr>
      <w:tr w14:paraId="78E1F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6C5341CD">
            <w:pPr>
              <w:pStyle w:val="5"/>
              <w:keepNext w:val="0"/>
              <w:jc w:val="center"/>
              <w:rPr>
                <w:rFonts w:hint="eastAsia" w:ascii="黑体" w:hAnsi="黑体" w:eastAsia="黑体" w:cs="黑体"/>
              </w:rPr>
            </w:pPr>
            <w:r>
              <w:rPr>
                <w:rFonts w:ascii="黑体" w:hAnsi="黑体" w:eastAsia="黑体" w:cs="黑体"/>
              </w:rPr>
              <w:t>数据描述</w:t>
            </w:r>
          </w:p>
        </w:tc>
        <w:tc>
          <w:tcPr>
            <w:tcW w:w="3269" w:type="pct"/>
            <w:tcMar>
              <w:top w:w="150" w:type="dxa"/>
              <w:left w:w="240" w:type="dxa"/>
              <w:bottom w:w="150" w:type="dxa"/>
              <w:right w:w="0" w:type="dxa"/>
            </w:tcMar>
            <w:vAlign w:val="center"/>
          </w:tcPr>
          <w:p w14:paraId="51104989">
            <w:pPr>
              <w:pStyle w:val="5"/>
              <w:keepNext w:val="0"/>
            </w:pPr>
            <w:r>
              <w:t>项目边界内水域的总体积（水域面积×常年平均水位）</w:t>
            </w:r>
          </w:p>
        </w:tc>
      </w:tr>
      <w:tr w14:paraId="76C6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0F6F684B">
            <w:pPr>
              <w:pStyle w:val="5"/>
              <w:keepNext w:val="0"/>
              <w:jc w:val="center"/>
              <w:rPr>
                <w:rFonts w:hint="eastAsia" w:ascii="黑体" w:hAnsi="黑体" w:eastAsia="黑体" w:cs="黑体"/>
              </w:rPr>
            </w:pPr>
            <w:r>
              <w:rPr>
                <w:rFonts w:ascii="黑体" w:hAnsi="黑体" w:eastAsia="黑体" w:cs="黑体"/>
              </w:rPr>
              <w:t>数据单位</w:t>
            </w:r>
          </w:p>
        </w:tc>
        <w:tc>
          <w:tcPr>
            <w:tcW w:w="3269" w:type="pct"/>
            <w:tcMar>
              <w:top w:w="150" w:type="dxa"/>
              <w:left w:w="240" w:type="dxa"/>
              <w:bottom w:w="150" w:type="dxa"/>
              <w:right w:w="0" w:type="dxa"/>
            </w:tcMar>
            <w:vAlign w:val="center"/>
          </w:tcPr>
          <w:p w14:paraId="4000B906">
            <w:pPr>
              <w:pStyle w:val="5"/>
              <w:keepNext w:val="0"/>
            </w:pPr>
            <w:r>
              <w:t>m³</w:t>
            </w:r>
          </w:p>
        </w:tc>
      </w:tr>
      <w:tr w14:paraId="1163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46E6D2B1">
            <w:pPr>
              <w:pStyle w:val="5"/>
              <w:keepNext w:val="0"/>
              <w:jc w:val="center"/>
              <w:rPr>
                <w:rFonts w:hint="eastAsia" w:ascii="黑体" w:hAnsi="黑体" w:eastAsia="黑体" w:cs="黑体"/>
              </w:rPr>
            </w:pPr>
            <w:r>
              <w:rPr>
                <w:rFonts w:ascii="黑体" w:hAnsi="黑体" w:eastAsia="黑体" w:cs="黑体"/>
              </w:rPr>
              <w:t>数据来源</w:t>
            </w:r>
          </w:p>
        </w:tc>
        <w:tc>
          <w:tcPr>
            <w:tcW w:w="3269" w:type="pct"/>
            <w:tcMar>
              <w:top w:w="150" w:type="dxa"/>
              <w:left w:w="240" w:type="dxa"/>
              <w:bottom w:w="150" w:type="dxa"/>
              <w:right w:w="0" w:type="dxa"/>
            </w:tcMar>
            <w:vAlign w:val="center"/>
          </w:tcPr>
          <w:p w14:paraId="202DA01A">
            <w:pPr>
              <w:pStyle w:val="5"/>
              <w:keepNext w:val="0"/>
            </w:pPr>
            <w:r>
              <w:t>由水域面积与常年平均水位计算获得</w:t>
            </w:r>
          </w:p>
        </w:tc>
      </w:tr>
      <w:tr w14:paraId="035FF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3C4C49CB">
            <w:pPr>
              <w:pStyle w:val="5"/>
              <w:keepNext w:val="0"/>
              <w:jc w:val="center"/>
              <w:rPr>
                <w:rFonts w:hint="eastAsia" w:ascii="黑体" w:hAnsi="黑体" w:eastAsia="黑体" w:cs="黑体"/>
              </w:rPr>
            </w:pPr>
            <w:r>
              <w:rPr>
                <w:rFonts w:ascii="黑体" w:hAnsi="黑体" w:eastAsia="黑体" w:cs="黑体"/>
              </w:rPr>
              <w:t>监测点要求</w:t>
            </w:r>
          </w:p>
        </w:tc>
        <w:tc>
          <w:tcPr>
            <w:tcW w:w="3269" w:type="pct"/>
            <w:tcMar>
              <w:top w:w="150" w:type="dxa"/>
              <w:left w:w="240" w:type="dxa"/>
              <w:bottom w:w="150" w:type="dxa"/>
              <w:right w:w="0" w:type="dxa"/>
            </w:tcMar>
            <w:vAlign w:val="center"/>
          </w:tcPr>
          <w:p w14:paraId="55B7B322">
            <w:pPr>
              <w:pStyle w:val="5"/>
              <w:keepNext w:val="0"/>
            </w:pPr>
            <w:r>
              <w:t>项目边界内全部水域</w:t>
            </w:r>
          </w:p>
        </w:tc>
      </w:tr>
      <w:tr w14:paraId="20FBB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1385E2DF">
            <w:pPr>
              <w:pStyle w:val="5"/>
              <w:keepNext w:val="0"/>
              <w:jc w:val="center"/>
              <w:rPr>
                <w:rFonts w:hint="eastAsia" w:ascii="黑体" w:hAnsi="黑体" w:eastAsia="黑体" w:cs="黑体"/>
              </w:rPr>
            </w:pPr>
            <w:r>
              <w:rPr>
                <w:rFonts w:ascii="黑体" w:hAnsi="黑体" w:eastAsia="黑体" w:cs="黑体"/>
              </w:rPr>
              <w:t>监测仪表要求</w:t>
            </w:r>
          </w:p>
        </w:tc>
        <w:tc>
          <w:tcPr>
            <w:tcW w:w="3269" w:type="pct"/>
            <w:tcMar>
              <w:top w:w="150" w:type="dxa"/>
              <w:left w:w="240" w:type="dxa"/>
              <w:bottom w:w="150" w:type="dxa"/>
              <w:right w:w="0" w:type="dxa"/>
            </w:tcMar>
            <w:vAlign w:val="center"/>
          </w:tcPr>
          <w:p w14:paraId="125D5111">
            <w:pPr>
              <w:pStyle w:val="5"/>
              <w:keepNext w:val="0"/>
            </w:pPr>
            <w:r>
              <w:t>—（计算值）</w:t>
            </w:r>
          </w:p>
        </w:tc>
      </w:tr>
      <w:tr w14:paraId="245D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7434DC27">
            <w:pPr>
              <w:pStyle w:val="5"/>
              <w:keepNext w:val="0"/>
              <w:jc w:val="center"/>
              <w:rPr>
                <w:rFonts w:hint="eastAsia" w:ascii="黑体" w:hAnsi="黑体" w:eastAsia="黑体" w:cs="黑体"/>
              </w:rPr>
            </w:pPr>
            <w:r>
              <w:rPr>
                <w:rFonts w:ascii="黑体" w:hAnsi="黑体" w:eastAsia="黑体" w:cs="黑体"/>
              </w:rPr>
              <w:t>监测程序与方法要求</w:t>
            </w:r>
          </w:p>
        </w:tc>
        <w:tc>
          <w:tcPr>
            <w:tcW w:w="3269" w:type="pct"/>
            <w:tcMar>
              <w:top w:w="150" w:type="dxa"/>
              <w:left w:w="240" w:type="dxa"/>
              <w:bottom w:w="150" w:type="dxa"/>
              <w:right w:w="0" w:type="dxa"/>
            </w:tcMar>
            <w:vAlign w:val="center"/>
          </w:tcPr>
          <w:p w14:paraId="2AEEC08D">
            <w:pPr>
              <w:pStyle w:val="5"/>
              <w:keepNext w:val="0"/>
            </w:pPr>
            <w:r>
              <w:t>基于实测水域面积与常年平均水位的乘积；计入期内如水域面积或水位发生显著变化，须重新计算</w:t>
            </w:r>
            <w:r>
              <w:rPr>
                <w:rFonts w:hint="eastAsia"/>
              </w:rPr>
              <w:t>；</w:t>
            </w:r>
            <w:r>
              <w:rPr>
                <w:rFonts w:ascii="Segoe UI" w:hAnsi="Segoe UI" w:eastAsia="Segoe UI" w:cs="Segoe UI"/>
                <w:color w:val="0F1115"/>
                <w:szCs w:val="24"/>
                <w:shd w:val="clear" w:color="auto" w:fill="FFFFFF"/>
              </w:rPr>
              <w:t>乡村小微湿地若已根据表</w:t>
            </w:r>
            <w:r>
              <w:rPr>
                <w:rFonts w:hint="eastAsia" w:ascii="Segoe UI" w:hAnsi="Segoe UI" w:cs="Segoe UI"/>
                <w:color w:val="0F1115"/>
                <w:szCs w:val="24"/>
                <w:shd w:val="clear" w:color="auto" w:fill="FFFFFF"/>
              </w:rPr>
              <w:t>1</w:t>
            </w:r>
            <w:r>
              <w:rPr>
                <w:rFonts w:ascii="Segoe UI" w:hAnsi="Segoe UI" w:eastAsia="Segoe UI" w:cs="Segoe UI"/>
                <w:color w:val="0F1115"/>
                <w:szCs w:val="24"/>
                <w:shd w:val="clear" w:color="auto" w:fill="FFFFFF"/>
              </w:rPr>
              <w:t>说明忽略水体DOC碳库，则本参数可不监测</w:t>
            </w:r>
          </w:p>
        </w:tc>
      </w:tr>
      <w:tr w14:paraId="0F99F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3820C60A">
            <w:pPr>
              <w:pStyle w:val="5"/>
              <w:keepNext w:val="0"/>
              <w:jc w:val="center"/>
              <w:rPr>
                <w:rFonts w:hint="eastAsia" w:ascii="黑体" w:hAnsi="黑体" w:eastAsia="黑体" w:cs="黑体"/>
              </w:rPr>
            </w:pPr>
            <w:r>
              <w:rPr>
                <w:rFonts w:ascii="黑体" w:hAnsi="黑体" w:eastAsia="黑体" w:cs="黑体"/>
              </w:rPr>
              <w:t>监测频次与记录要求</w:t>
            </w:r>
          </w:p>
        </w:tc>
        <w:tc>
          <w:tcPr>
            <w:tcW w:w="3269" w:type="pct"/>
            <w:tcMar>
              <w:top w:w="150" w:type="dxa"/>
              <w:left w:w="240" w:type="dxa"/>
              <w:bottom w:w="150" w:type="dxa"/>
              <w:right w:w="0" w:type="dxa"/>
            </w:tcMar>
            <w:vAlign w:val="center"/>
          </w:tcPr>
          <w:p w14:paraId="5C5A4F1D">
            <w:pPr>
              <w:pStyle w:val="5"/>
              <w:keepNext w:val="0"/>
            </w:pPr>
            <w:r>
              <w:t>每年核算时更新；记录计算依据的水域面积和水位数据来源</w:t>
            </w:r>
          </w:p>
        </w:tc>
      </w:tr>
      <w:tr w14:paraId="0080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1FD030BA">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269" w:type="pct"/>
            <w:tcMar>
              <w:top w:w="150" w:type="dxa"/>
              <w:left w:w="240" w:type="dxa"/>
              <w:bottom w:w="150" w:type="dxa"/>
              <w:right w:w="0" w:type="dxa"/>
            </w:tcMar>
            <w:vAlign w:val="center"/>
          </w:tcPr>
          <w:p w14:paraId="10EA1DA6">
            <w:pPr>
              <w:pStyle w:val="5"/>
              <w:keepNext w:val="0"/>
            </w:pPr>
            <w:r>
              <w:t>水域面积与水位数据均须来源于实测，计算过程须经复核</w:t>
            </w:r>
          </w:p>
        </w:tc>
      </w:tr>
      <w:tr w14:paraId="4F255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4F69A47B">
            <w:pPr>
              <w:pStyle w:val="5"/>
              <w:keepNext w:val="0"/>
              <w:jc w:val="center"/>
              <w:rPr>
                <w:rFonts w:hint="eastAsia" w:ascii="黑体" w:hAnsi="黑体" w:eastAsia="黑体" w:cs="黑体"/>
              </w:rPr>
            </w:pPr>
            <w:r>
              <w:rPr>
                <w:rFonts w:ascii="黑体" w:hAnsi="黑体" w:eastAsia="黑体" w:cs="黑体"/>
              </w:rPr>
              <w:t>数据用途</w:t>
            </w:r>
          </w:p>
        </w:tc>
        <w:tc>
          <w:tcPr>
            <w:tcW w:w="3269" w:type="pct"/>
            <w:tcMar>
              <w:top w:w="150" w:type="dxa"/>
              <w:left w:w="240" w:type="dxa"/>
              <w:bottom w:w="150" w:type="dxa"/>
              <w:right w:w="0" w:type="dxa"/>
            </w:tcMar>
            <w:vAlign w:val="center"/>
          </w:tcPr>
          <w:p w14:paraId="22D7E2D2">
            <w:pPr>
              <w:pStyle w:val="5"/>
              <w:keepNext w:val="0"/>
            </w:pPr>
            <w:r>
              <w:t>用于计算水体溶解有机碳储量</w:t>
            </w:r>
          </w:p>
        </w:tc>
      </w:tr>
      <w:tr w14:paraId="756B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0" w:type="pct"/>
            <w:tcMar>
              <w:top w:w="150" w:type="dxa"/>
              <w:left w:w="0" w:type="dxa"/>
              <w:bottom w:w="150" w:type="dxa"/>
              <w:right w:w="240" w:type="dxa"/>
            </w:tcMar>
            <w:vAlign w:val="center"/>
          </w:tcPr>
          <w:p w14:paraId="65EC2B1D">
            <w:pPr>
              <w:pStyle w:val="5"/>
              <w:keepNext w:val="0"/>
              <w:jc w:val="center"/>
              <w:rPr>
                <w:rFonts w:hint="eastAsia" w:ascii="黑体" w:hAnsi="黑体" w:eastAsia="黑体" w:cs="黑体"/>
              </w:rPr>
            </w:pPr>
            <w:r>
              <w:rPr>
                <w:rFonts w:ascii="黑体" w:hAnsi="黑体" w:eastAsia="黑体" w:cs="黑体"/>
              </w:rPr>
              <w:t>备注</w:t>
            </w:r>
          </w:p>
        </w:tc>
        <w:tc>
          <w:tcPr>
            <w:tcW w:w="3269" w:type="pct"/>
            <w:tcMar>
              <w:top w:w="150" w:type="dxa"/>
              <w:left w:w="240" w:type="dxa"/>
              <w:bottom w:w="150" w:type="dxa"/>
              <w:right w:w="0" w:type="dxa"/>
            </w:tcMar>
            <w:vAlign w:val="center"/>
          </w:tcPr>
          <w:p w14:paraId="303ED486">
            <w:pPr>
              <w:pStyle w:val="5"/>
              <w:keepNext w:val="0"/>
            </w:pPr>
            <w:r>
              <w:t>如采用地形测量与水位-容积曲线法，须在项目设计文件中说明</w:t>
            </w:r>
          </w:p>
        </w:tc>
      </w:tr>
    </w:tbl>
    <w:p w14:paraId="45E830A8">
      <w:pPr>
        <w:pStyle w:val="4"/>
      </w:pPr>
      <w:r>
        <w:t>表</w:t>
      </w:r>
      <w:r>
        <w:rPr>
          <w:rFonts w:hint="eastAsia"/>
        </w:rPr>
        <w:t>3</w:t>
      </w:r>
      <w:r>
        <w:rPr>
          <w:rFonts w:hint="eastAsia"/>
          <w:lang w:val="en-US" w:eastAsia="zh-CN"/>
        </w:rPr>
        <w:t>0</w:t>
      </w:r>
      <w:r>
        <w:t xml:space="preserve"> 水体温度</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897"/>
        <w:gridCol w:w="5416"/>
      </w:tblGrid>
      <w:tr w14:paraId="2793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779F7B10">
            <w:pPr>
              <w:pStyle w:val="5"/>
              <w:keepNext w:val="0"/>
              <w:jc w:val="center"/>
              <w:rPr>
                <w:rFonts w:hint="eastAsia" w:ascii="黑体" w:hAnsi="黑体" w:eastAsia="黑体" w:cs="黑体"/>
              </w:rPr>
            </w:pPr>
            <w:r>
              <w:rPr>
                <w:rFonts w:ascii="黑体" w:hAnsi="黑体" w:eastAsia="黑体" w:cs="黑体"/>
              </w:rPr>
              <w:t>数据/参数名称</w:t>
            </w:r>
          </w:p>
        </w:tc>
        <w:tc>
          <w:tcPr>
            <w:tcW w:w="3257" w:type="pct"/>
            <w:tcMar>
              <w:top w:w="150" w:type="dxa"/>
              <w:left w:w="240" w:type="dxa"/>
              <w:bottom w:w="150" w:type="dxa"/>
              <w:right w:w="0" w:type="dxa"/>
            </w:tcMar>
            <w:vAlign w:val="center"/>
          </w:tcPr>
          <w:p w14:paraId="3C411371">
            <w:pPr>
              <w:pStyle w:val="5"/>
              <w:keepNext w:val="0"/>
            </w:pPr>
            <w:r>
              <w:t>Water</w:t>
            </w:r>
            <w:r>
              <w:rPr>
                <w:rFonts w:hint="eastAsia"/>
              </w:rPr>
              <w:t xml:space="preserve"> </w:t>
            </w:r>
            <w:r>
              <w:t>temperature</w:t>
            </w:r>
          </w:p>
        </w:tc>
      </w:tr>
      <w:tr w14:paraId="7ED20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67AD110D">
            <w:pPr>
              <w:pStyle w:val="5"/>
              <w:keepNext w:val="0"/>
              <w:jc w:val="center"/>
              <w:rPr>
                <w:rFonts w:hint="eastAsia" w:ascii="黑体" w:hAnsi="黑体" w:eastAsia="黑体" w:cs="黑体"/>
              </w:rPr>
            </w:pPr>
            <w:r>
              <w:rPr>
                <w:rFonts w:ascii="黑体" w:hAnsi="黑体" w:eastAsia="黑体" w:cs="黑体"/>
              </w:rPr>
              <w:t>应用的公式编号</w:t>
            </w:r>
          </w:p>
        </w:tc>
        <w:tc>
          <w:tcPr>
            <w:tcW w:w="3257" w:type="pct"/>
            <w:tcMar>
              <w:top w:w="150" w:type="dxa"/>
              <w:left w:w="240" w:type="dxa"/>
              <w:bottom w:w="150" w:type="dxa"/>
              <w:right w:w="0" w:type="dxa"/>
            </w:tcMar>
            <w:vAlign w:val="center"/>
          </w:tcPr>
          <w:p w14:paraId="75740433">
            <w:pPr>
              <w:pStyle w:val="5"/>
              <w:keepNext w:val="0"/>
            </w:pPr>
            <w:r>
              <w:t>附录C水体采样与溶解有机碳分析记录表</w:t>
            </w:r>
          </w:p>
        </w:tc>
      </w:tr>
      <w:tr w14:paraId="54A6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5AA18B69">
            <w:pPr>
              <w:pStyle w:val="5"/>
              <w:keepNext w:val="0"/>
              <w:jc w:val="center"/>
              <w:rPr>
                <w:rFonts w:hint="eastAsia" w:ascii="黑体" w:hAnsi="黑体" w:eastAsia="黑体" w:cs="黑体"/>
              </w:rPr>
            </w:pPr>
            <w:r>
              <w:rPr>
                <w:rFonts w:ascii="黑体" w:hAnsi="黑体" w:eastAsia="黑体" w:cs="黑体"/>
              </w:rPr>
              <w:t>数据描述</w:t>
            </w:r>
          </w:p>
        </w:tc>
        <w:tc>
          <w:tcPr>
            <w:tcW w:w="3257" w:type="pct"/>
            <w:tcMar>
              <w:top w:w="150" w:type="dxa"/>
              <w:left w:w="240" w:type="dxa"/>
              <w:bottom w:w="150" w:type="dxa"/>
              <w:right w:w="0" w:type="dxa"/>
            </w:tcMar>
            <w:vAlign w:val="center"/>
          </w:tcPr>
          <w:p w14:paraId="026E1849">
            <w:pPr>
              <w:pStyle w:val="5"/>
              <w:keepNext w:val="0"/>
            </w:pPr>
            <w:r>
              <w:t>采样时水体的温度</w:t>
            </w:r>
          </w:p>
        </w:tc>
      </w:tr>
      <w:tr w14:paraId="4B3C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0BDF45EE">
            <w:pPr>
              <w:pStyle w:val="5"/>
              <w:keepNext w:val="0"/>
              <w:jc w:val="center"/>
              <w:rPr>
                <w:rFonts w:hint="eastAsia" w:ascii="黑体" w:hAnsi="黑体" w:eastAsia="黑体" w:cs="黑体"/>
              </w:rPr>
            </w:pPr>
            <w:r>
              <w:rPr>
                <w:rFonts w:ascii="黑体" w:hAnsi="黑体" w:eastAsia="黑体" w:cs="黑体"/>
              </w:rPr>
              <w:t>数据单位</w:t>
            </w:r>
          </w:p>
        </w:tc>
        <w:tc>
          <w:tcPr>
            <w:tcW w:w="3257" w:type="pct"/>
            <w:tcMar>
              <w:top w:w="150" w:type="dxa"/>
              <w:left w:w="240" w:type="dxa"/>
              <w:bottom w:w="150" w:type="dxa"/>
              <w:right w:w="0" w:type="dxa"/>
            </w:tcMar>
            <w:vAlign w:val="center"/>
          </w:tcPr>
          <w:p w14:paraId="0F8A6473">
            <w:pPr>
              <w:pStyle w:val="5"/>
              <w:keepNext w:val="0"/>
            </w:pPr>
            <w:r>
              <w:t>℃</w:t>
            </w:r>
          </w:p>
        </w:tc>
      </w:tr>
      <w:tr w14:paraId="3905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63FAEE9E">
            <w:pPr>
              <w:pStyle w:val="5"/>
              <w:keepNext w:val="0"/>
              <w:jc w:val="center"/>
              <w:rPr>
                <w:rFonts w:hint="eastAsia" w:ascii="黑体" w:hAnsi="黑体" w:eastAsia="黑体" w:cs="黑体"/>
              </w:rPr>
            </w:pPr>
            <w:r>
              <w:rPr>
                <w:rFonts w:ascii="黑体" w:hAnsi="黑体" w:eastAsia="黑体" w:cs="黑体"/>
              </w:rPr>
              <w:t>数据来源</w:t>
            </w:r>
          </w:p>
        </w:tc>
        <w:tc>
          <w:tcPr>
            <w:tcW w:w="3257" w:type="pct"/>
            <w:tcMar>
              <w:top w:w="150" w:type="dxa"/>
              <w:left w:w="240" w:type="dxa"/>
              <w:bottom w:w="150" w:type="dxa"/>
              <w:right w:w="0" w:type="dxa"/>
            </w:tcMar>
            <w:vAlign w:val="center"/>
          </w:tcPr>
          <w:p w14:paraId="2CA109E7">
            <w:pPr>
              <w:pStyle w:val="5"/>
              <w:keepNext w:val="0"/>
            </w:pPr>
            <w:r>
              <w:t>现场测定</w:t>
            </w:r>
          </w:p>
        </w:tc>
      </w:tr>
      <w:tr w14:paraId="33F4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2930524B">
            <w:pPr>
              <w:pStyle w:val="5"/>
              <w:keepNext w:val="0"/>
              <w:jc w:val="center"/>
              <w:rPr>
                <w:rFonts w:hint="eastAsia" w:ascii="黑体" w:hAnsi="黑体" w:eastAsia="黑体" w:cs="黑体"/>
              </w:rPr>
            </w:pPr>
            <w:r>
              <w:rPr>
                <w:rFonts w:ascii="黑体" w:hAnsi="黑体" w:eastAsia="黑体" w:cs="黑体"/>
              </w:rPr>
              <w:t>监测点要求</w:t>
            </w:r>
          </w:p>
        </w:tc>
        <w:tc>
          <w:tcPr>
            <w:tcW w:w="3257" w:type="pct"/>
            <w:tcMar>
              <w:top w:w="150" w:type="dxa"/>
              <w:left w:w="240" w:type="dxa"/>
              <w:bottom w:w="150" w:type="dxa"/>
              <w:right w:w="0" w:type="dxa"/>
            </w:tcMar>
            <w:vAlign w:val="center"/>
          </w:tcPr>
          <w:p w14:paraId="3DD1C80F">
            <w:pPr>
              <w:pStyle w:val="5"/>
              <w:keepNext w:val="0"/>
            </w:pPr>
            <w:r>
              <w:t>所有布设的水体监测点位（表层0.5m）</w:t>
            </w:r>
          </w:p>
        </w:tc>
      </w:tr>
      <w:tr w14:paraId="2223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50575DAA">
            <w:pPr>
              <w:pStyle w:val="5"/>
              <w:keepNext w:val="0"/>
              <w:jc w:val="center"/>
              <w:rPr>
                <w:rFonts w:hint="eastAsia" w:ascii="黑体" w:hAnsi="黑体" w:eastAsia="黑体" w:cs="黑体"/>
              </w:rPr>
            </w:pPr>
            <w:r>
              <w:rPr>
                <w:rFonts w:ascii="黑体" w:hAnsi="黑体" w:eastAsia="黑体" w:cs="黑体"/>
              </w:rPr>
              <w:t>监测仪表要求</w:t>
            </w:r>
          </w:p>
        </w:tc>
        <w:tc>
          <w:tcPr>
            <w:tcW w:w="3257" w:type="pct"/>
            <w:tcMar>
              <w:top w:w="150" w:type="dxa"/>
              <w:left w:w="240" w:type="dxa"/>
              <w:bottom w:w="150" w:type="dxa"/>
              <w:right w:w="0" w:type="dxa"/>
            </w:tcMar>
            <w:vAlign w:val="center"/>
          </w:tcPr>
          <w:p w14:paraId="42B12D4E">
            <w:pPr>
              <w:pStyle w:val="5"/>
              <w:keepNext w:val="0"/>
            </w:pPr>
            <w:r>
              <w:t>水温计（精度±0.5℃）或多参数水质分析仪</w:t>
            </w:r>
          </w:p>
        </w:tc>
      </w:tr>
      <w:tr w14:paraId="5329D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577E339F">
            <w:pPr>
              <w:pStyle w:val="5"/>
              <w:keepNext w:val="0"/>
              <w:jc w:val="center"/>
              <w:rPr>
                <w:rFonts w:hint="eastAsia" w:ascii="黑体" w:hAnsi="黑体" w:eastAsia="黑体" w:cs="黑体"/>
              </w:rPr>
            </w:pPr>
            <w:r>
              <w:rPr>
                <w:rFonts w:ascii="黑体" w:hAnsi="黑体" w:eastAsia="黑体" w:cs="黑体"/>
              </w:rPr>
              <w:t>监测程序与方法要求</w:t>
            </w:r>
          </w:p>
        </w:tc>
        <w:tc>
          <w:tcPr>
            <w:tcW w:w="3257" w:type="pct"/>
            <w:tcMar>
              <w:top w:w="150" w:type="dxa"/>
              <w:left w:w="240" w:type="dxa"/>
              <w:bottom w:w="150" w:type="dxa"/>
              <w:right w:w="0" w:type="dxa"/>
            </w:tcMar>
            <w:vAlign w:val="center"/>
          </w:tcPr>
          <w:p w14:paraId="1F8F2FCF">
            <w:pPr>
              <w:pStyle w:val="5"/>
              <w:keepNext w:val="0"/>
            </w:pPr>
            <w:r>
              <w:t>采水样同时现场测定水温；水温计浸没水中不少于3分钟</w:t>
            </w:r>
            <w:r>
              <w:rPr>
                <w:rFonts w:hint="eastAsia"/>
                <w:lang w:eastAsia="zh-CN"/>
              </w:rPr>
              <w:t>，稳定</w:t>
            </w:r>
            <w:r>
              <w:t>后读数</w:t>
            </w:r>
          </w:p>
        </w:tc>
      </w:tr>
      <w:tr w14:paraId="2A725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066612CA">
            <w:pPr>
              <w:pStyle w:val="5"/>
              <w:keepNext w:val="0"/>
              <w:jc w:val="center"/>
              <w:rPr>
                <w:rFonts w:hint="eastAsia" w:ascii="黑体" w:hAnsi="黑体" w:eastAsia="黑体" w:cs="黑体"/>
              </w:rPr>
            </w:pPr>
            <w:r>
              <w:rPr>
                <w:rFonts w:ascii="黑体" w:hAnsi="黑体" w:eastAsia="黑体" w:cs="黑体"/>
              </w:rPr>
              <w:t>监测频次与记录要求</w:t>
            </w:r>
          </w:p>
        </w:tc>
        <w:tc>
          <w:tcPr>
            <w:tcW w:w="3257" w:type="pct"/>
            <w:tcMar>
              <w:top w:w="150" w:type="dxa"/>
              <w:left w:w="240" w:type="dxa"/>
              <w:bottom w:w="150" w:type="dxa"/>
              <w:right w:w="0" w:type="dxa"/>
            </w:tcMar>
            <w:vAlign w:val="center"/>
          </w:tcPr>
          <w:p w14:paraId="14EB85A2">
            <w:pPr>
              <w:pStyle w:val="5"/>
              <w:keepNext w:val="0"/>
            </w:pPr>
            <w:r>
              <w:t>每季度1次（与水体DOC采样同步）；记录采样点位、水温读数</w:t>
            </w:r>
          </w:p>
        </w:tc>
      </w:tr>
      <w:tr w14:paraId="54FF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00AC0591">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257" w:type="pct"/>
            <w:tcMar>
              <w:top w:w="150" w:type="dxa"/>
              <w:left w:w="240" w:type="dxa"/>
              <w:bottom w:w="150" w:type="dxa"/>
              <w:right w:w="0" w:type="dxa"/>
            </w:tcMar>
            <w:vAlign w:val="center"/>
          </w:tcPr>
          <w:p w14:paraId="625E4166">
            <w:pPr>
              <w:pStyle w:val="5"/>
              <w:keepNext w:val="0"/>
            </w:pPr>
            <w:r>
              <w:t>水温计定期校准；平行测定偏差不超过±0.5℃</w:t>
            </w:r>
          </w:p>
        </w:tc>
      </w:tr>
      <w:tr w14:paraId="29FD1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73CD61AD">
            <w:pPr>
              <w:pStyle w:val="5"/>
              <w:keepNext w:val="0"/>
              <w:jc w:val="center"/>
              <w:rPr>
                <w:rFonts w:hint="eastAsia" w:ascii="黑体" w:hAnsi="黑体" w:eastAsia="黑体" w:cs="黑体"/>
              </w:rPr>
            </w:pPr>
            <w:r>
              <w:rPr>
                <w:rFonts w:ascii="黑体" w:hAnsi="黑体" w:eastAsia="黑体" w:cs="黑体"/>
              </w:rPr>
              <w:t>数据用途</w:t>
            </w:r>
          </w:p>
        </w:tc>
        <w:tc>
          <w:tcPr>
            <w:tcW w:w="3257" w:type="pct"/>
            <w:tcMar>
              <w:top w:w="150" w:type="dxa"/>
              <w:left w:w="240" w:type="dxa"/>
              <w:bottom w:w="150" w:type="dxa"/>
              <w:right w:w="0" w:type="dxa"/>
            </w:tcMar>
            <w:vAlign w:val="center"/>
          </w:tcPr>
          <w:p w14:paraId="292921A9">
            <w:pPr>
              <w:pStyle w:val="5"/>
              <w:keepNext w:val="0"/>
            </w:pPr>
            <w:r>
              <w:t>用于辅助分析水体DOC浓度的季节性变化</w:t>
            </w:r>
          </w:p>
        </w:tc>
      </w:tr>
      <w:tr w14:paraId="67E8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42" w:type="pct"/>
            <w:tcMar>
              <w:top w:w="150" w:type="dxa"/>
              <w:left w:w="0" w:type="dxa"/>
              <w:bottom w:w="150" w:type="dxa"/>
              <w:right w:w="240" w:type="dxa"/>
            </w:tcMar>
            <w:vAlign w:val="center"/>
          </w:tcPr>
          <w:p w14:paraId="6D19B632">
            <w:pPr>
              <w:pStyle w:val="5"/>
              <w:keepNext w:val="0"/>
              <w:jc w:val="center"/>
              <w:rPr>
                <w:rFonts w:hint="eastAsia" w:ascii="黑体" w:hAnsi="黑体" w:eastAsia="黑体" w:cs="黑体"/>
              </w:rPr>
            </w:pPr>
            <w:r>
              <w:rPr>
                <w:rFonts w:ascii="黑体" w:hAnsi="黑体" w:eastAsia="黑体" w:cs="黑体"/>
              </w:rPr>
              <w:t>备注</w:t>
            </w:r>
          </w:p>
        </w:tc>
        <w:tc>
          <w:tcPr>
            <w:tcW w:w="3257" w:type="pct"/>
            <w:tcMar>
              <w:top w:w="150" w:type="dxa"/>
              <w:left w:w="240" w:type="dxa"/>
              <w:bottom w:w="150" w:type="dxa"/>
              <w:right w:w="0" w:type="dxa"/>
            </w:tcMar>
            <w:vAlign w:val="center"/>
          </w:tcPr>
          <w:p w14:paraId="0E6F890A">
            <w:pPr>
              <w:pStyle w:val="5"/>
              <w:keepNext w:val="0"/>
            </w:pPr>
            <w:r>
              <w:t>水温异常变化须在备注中记录</w:t>
            </w:r>
          </w:p>
        </w:tc>
      </w:tr>
    </w:tbl>
    <w:p w14:paraId="6F15E0C1">
      <w:pPr>
        <w:pStyle w:val="4"/>
      </w:pPr>
      <w:r>
        <w:t>表3</w:t>
      </w:r>
      <w:r>
        <w:rPr>
          <w:rFonts w:hint="eastAsia"/>
          <w:lang w:val="en-US" w:eastAsia="zh-CN"/>
        </w:rPr>
        <w:t>1</w:t>
      </w:r>
      <w:r>
        <w:t xml:space="preserve"> 气象与水文数据</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76"/>
        <w:gridCol w:w="5337"/>
      </w:tblGrid>
      <w:tr w14:paraId="66FD0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355C4F04">
            <w:pPr>
              <w:pStyle w:val="5"/>
              <w:keepNext w:val="0"/>
              <w:jc w:val="center"/>
              <w:rPr>
                <w:rFonts w:hint="eastAsia" w:ascii="黑体" w:hAnsi="黑体" w:eastAsia="黑体" w:cs="黑体"/>
              </w:rPr>
            </w:pPr>
            <w:r>
              <w:rPr>
                <w:rFonts w:ascii="黑体" w:hAnsi="黑体" w:eastAsia="黑体" w:cs="黑体"/>
              </w:rPr>
              <w:t>数据/参数名称</w:t>
            </w:r>
          </w:p>
        </w:tc>
        <w:tc>
          <w:tcPr>
            <w:tcW w:w="3209" w:type="pct"/>
            <w:tcMar>
              <w:top w:w="150" w:type="dxa"/>
              <w:left w:w="240" w:type="dxa"/>
              <w:bottom w:w="150" w:type="dxa"/>
              <w:right w:w="0" w:type="dxa"/>
            </w:tcMar>
            <w:vAlign w:val="center"/>
          </w:tcPr>
          <w:p w14:paraId="31500C85">
            <w:pPr>
              <w:pStyle w:val="5"/>
              <w:keepNext w:val="0"/>
            </w:pPr>
            <w:r>
              <w:t>气象与水文数据</w:t>
            </w:r>
          </w:p>
        </w:tc>
      </w:tr>
      <w:tr w14:paraId="30EA5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145EB260">
            <w:pPr>
              <w:pStyle w:val="5"/>
              <w:keepNext w:val="0"/>
              <w:jc w:val="center"/>
              <w:rPr>
                <w:rFonts w:hint="eastAsia" w:ascii="黑体" w:hAnsi="黑体" w:eastAsia="黑体" w:cs="黑体"/>
              </w:rPr>
            </w:pPr>
            <w:r>
              <w:rPr>
                <w:rFonts w:ascii="黑体" w:hAnsi="黑体" w:eastAsia="黑体" w:cs="黑体"/>
              </w:rPr>
              <w:t>应用的公式编号</w:t>
            </w:r>
          </w:p>
        </w:tc>
        <w:tc>
          <w:tcPr>
            <w:tcW w:w="3209" w:type="pct"/>
            <w:tcMar>
              <w:top w:w="150" w:type="dxa"/>
              <w:left w:w="240" w:type="dxa"/>
              <w:bottom w:w="150" w:type="dxa"/>
              <w:right w:w="0" w:type="dxa"/>
            </w:tcMar>
            <w:vAlign w:val="center"/>
          </w:tcPr>
          <w:p w14:paraId="0FEDCD51">
            <w:pPr>
              <w:pStyle w:val="5"/>
              <w:keepNext w:val="0"/>
            </w:pPr>
            <w:r>
              <w:t>附录D气象与水文监测记录表</w:t>
            </w:r>
          </w:p>
        </w:tc>
      </w:tr>
      <w:tr w14:paraId="6CC41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293E94A0">
            <w:pPr>
              <w:pStyle w:val="5"/>
              <w:keepNext w:val="0"/>
              <w:jc w:val="center"/>
              <w:rPr>
                <w:rFonts w:hint="eastAsia" w:ascii="黑体" w:hAnsi="黑体" w:eastAsia="黑体" w:cs="黑体"/>
              </w:rPr>
            </w:pPr>
            <w:r>
              <w:rPr>
                <w:rFonts w:ascii="黑体" w:hAnsi="黑体" w:eastAsia="黑体" w:cs="黑体"/>
              </w:rPr>
              <w:t>数据描述</w:t>
            </w:r>
          </w:p>
        </w:tc>
        <w:tc>
          <w:tcPr>
            <w:tcW w:w="3209" w:type="pct"/>
            <w:tcMar>
              <w:top w:w="150" w:type="dxa"/>
              <w:left w:w="240" w:type="dxa"/>
              <w:bottom w:w="150" w:type="dxa"/>
              <w:right w:w="0" w:type="dxa"/>
            </w:tcMar>
            <w:vAlign w:val="center"/>
          </w:tcPr>
          <w:p w14:paraId="60D8806F">
            <w:pPr>
              <w:pStyle w:val="5"/>
              <w:keepNext w:val="0"/>
            </w:pPr>
            <w:r>
              <w:t>项目区域的气象与水文监测数据，包括平均气温、累计降雨量、平均风速、无霜期天数、月度平均水位、水位波动幅度、水体透明度、主要水质状况等</w:t>
            </w:r>
          </w:p>
        </w:tc>
      </w:tr>
      <w:tr w14:paraId="5767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3A005724">
            <w:pPr>
              <w:pStyle w:val="5"/>
              <w:keepNext w:val="0"/>
              <w:jc w:val="center"/>
              <w:rPr>
                <w:rFonts w:hint="eastAsia" w:ascii="黑体" w:hAnsi="黑体" w:eastAsia="黑体" w:cs="黑体"/>
              </w:rPr>
            </w:pPr>
            <w:r>
              <w:rPr>
                <w:rFonts w:ascii="黑体" w:hAnsi="黑体" w:eastAsia="黑体" w:cs="黑体"/>
              </w:rPr>
              <w:t>数据单位</w:t>
            </w:r>
          </w:p>
        </w:tc>
        <w:tc>
          <w:tcPr>
            <w:tcW w:w="3209" w:type="pct"/>
            <w:tcMar>
              <w:top w:w="150" w:type="dxa"/>
              <w:left w:w="240" w:type="dxa"/>
              <w:bottom w:w="150" w:type="dxa"/>
              <w:right w:w="0" w:type="dxa"/>
            </w:tcMar>
            <w:vAlign w:val="center"/>
          </w:tcPr>
          <w:p w14:paraId="3A1BCBD5">
            <w:pPr>
              <w:pStyle w:val="5"/>
              <w:keepNext w:val="0"/>
            </w:pPr>
            <w:r>
              <w:t>气温：℃；降雨量：mm；风速：m/s；水位：m；透明度：cm</w:t>
            </w:r>
          </w:p>
        </w:tc>
      </w:tr>
      <w:tr w14:paraId="2280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373461F1">
            <w:pPr>
              <w:pStyle w:val="5"/>
              <w:keepNext w:val="0"/>
              <w:jc w:val="center"/>
              <w:rPr>
                <w:rFonts w:hint="eastAsia" w:ascii="黑体" w:hAnsi="黑体" w:eastAsia="黑体" w:cs="黑体"/>
              </w:rPr>
            </w:pPr>
            <w:r>
              <w:rPr>
                <w:rFonts w:ascii="黑体" w:hAnsi="黑体" w:eastAsia="黑体" w:cs="黑体"/>
              </w:rPr>
              <w:t>数据来源</w:t>
            </w:r>
          </w:p>
        </w:tc>
        <w:tc>
          <w:tcPr>
            <w:tcW w:w="3209" w:type="pct"/>
            <w:tcMar>
              <w:top w:w="150" w:type="dxa"/>
              <w:left w:w="240" w:type="dxa"/>
              <w:bottom w:w="150" w:type="dxa"/>
              <w:right w:w="0" w:type="dxa"/>
            </w:tcMar>
            <w:vAlign w:val="center"/>
          </w:tcPr>
          <w:p w14:paraId="6F9E2F11">
            <w:pPr>
              <w:pStyle w:val="5"/>
              <w:keepNext w:val="0"/>
            </w:pPr>
            <w:r>
              <w:t>项目现场监测、南京市气象局公开数据、水文站数据</w:t>
            </w:r>
          </w:p>
        </w:tc>
      </w:tr>
      <w:tr w14:paraId="1DBBF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3ACE253A">
            <w:pPr>
              <w:pStyle w:val="5"/>
              <w:keepNext w:val="0"/>
              <w:jc w:val="center"/>
              <w:rPr>
                <w:rFonts w:hint="eastAsia" w:ascii="黑体" w:hAnsi="黑体" w:eastAsia="黑体" w:cs="黑体"/>
              </w:rPr>
            </w:pPr>
            <w:r>
              <w:rPr>
                <w:rFonts w:ascii="黑体" w:hAnsi="黑体" w:eastAsia="黑体" w:cs="黑体"/>
              </w:rPr>
              <w:t>监测点要求</w:t>
            </w:r>
          </w:p>
        </w:tc>
        <w:tc>
          <w:tcPr>
            <w:tcW w:w="3209" w:type="pct"/>
            <w:tcMar>
              <w:top w:w="150" w:type="dxa"/>
              <w:left w:w="240" w:type="dxa"/>
              <w:bottom w:w="150" w:type="dxa"/>
              <w:right w:w="0" w:type="dxa"/>
            </w:tcMar>
            <w:vAlign w:val="center"/>
          </w:tcPr>
          <w:p w14:paraId="11770308">
            <w:pPr>
              <w:pStyle w:val="5"/>
              <w:keepNext w:val="0"/>
            </w:pPr>
            <w:r>
              <w:t>项目边界内代表性位置（不少于1个气象监测点、不少于3个水文监测点）</w:t>
            </w:r>
          </w:p>
        </w:tc>
      </w:tr>
      <w:tr w14:paraId="0122A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5033A76D">
            <w:pPr>
              <w:pStyle w:val="5"/>
              <w:keepNext w:val="0"/>
              <w:jc w:val="center"/>
              <w:rPr>
                <w:rFonts w:hint="eastAsia" w:ascii="黑体" w:hAnsi="黑体" w:eastAsia="黑体" w:cs="黑体"/>
              </w:rPr>
            </w:pPr>
            <w:r>
              <w:rPr>
                <w:rFonts w:ascii="黑体" w:hAnsi="黑体" w:eastAsia="黑体" w:cs="黑体"/>
              </w:rPr>
              <w:t>监测仪表要求</w:t>
            </w:r>
          </w:p>
        </w:tc>
        <w:tc>
          <w:tcPr>
            <w:tcW w:w="3209" w:type="pct"/>
            <w:tcMar>
              <w:top w:w="150" w:type="dxa"/>
              <w:left w:w="240" w:type="dxa"/>
              <w:bottom w:w="150" w:type="dxa"/>
              <w:right w:w="0" w:type="dxa"/>
            </w:tcMar>
            <w:vAlign w:val="center"/>
          </w:tcPr>
          <w:p w14:paraId="68AAF269">
            <w:pPr>
              <w:pStyle w:val="5"/>
              <w:keepNext w:val="0"/>
            </w:pPr>
            <w:r>
              <w:t>小型气象站、水位标尺、透明度盘、多参数水质分析仪</w:t>
            </w:r>
          </w:p>
        </w:tc>
      </w:tr>
      <w:tr w14:paraId="20C0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28D31BD3">
            <w:pPr>
              <w:pStyle w:val="5"/>
              <w:keepNext w:val="0"/>
              <w:jc w:val="center"/>
              <w:rPr>
                <w:rFonts w:hint="eastAsia" w:ascii="黑体" w:hAnsi="黑体" w:eastAsia="黑体" w:cs="黑体"/>
              </w:rPr>
            </w:pPr>
            <w:r>
              <w:rPr>
                <w:rFonts w:ascii="黑体" w:hAnsi="黑体" w:eastAsia="黑体" w:cs="黑体"/>
              </w:rPr>
              <w:t>监测程序与方法要求</w:t>
            </w:r>
          </w:p>
        </w:tc>
        <w:tc>
          <w:tcPr>
            <w:tcW w:w="3209" w:type="pct"/>
            <w:tcMar>
              <w:top w:w="150" w:type="dxa"/>
              <w:left w:w="240" w:type="dxa"/>
              <w:bottom w:w="150" w:type="dxa"/>
              <w:right w:w="0" w:type="dxa"/>
            </w:tcMar>
            <w:vAlign w:val="center"/>
          </w:tcPr>
          <w:p w14:paraId="45DF40AD">
            <w:pPr>
              <w:pStyle w:val="5"/>
              <w:keepNext w:val="0"/>
            </w:pPr>
            <w:r>
              <w:t>气温、降雨、风速等气象数据可选用项目现场监测或南京市气象局公开发布数据；水位每月固定日期读取；透明度采用塞氏盘法测定</w:t>
            </w:r>
          </w:p>
        </w:tc>
      </w:tr>
      <w:tr w14:paraId="165A1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259F4CF1">
            <w:pPr>
              <w:pStyle w:val="5"/>
              <w:keepNext w:val="0"/>
              <w:jc w:val="center"/>
              <w:rPr>
                <w:rFonts w:hint="eastAsia" w:ascii="黑体" w:hAnsi="黑体" w:eastAsia="黑体" w:cs="黑体"/>
              </w:rPr>
            </w:pPr>
            <w:r>
              <w:rPr>
                <w:rFonts w:ascii="黑体" w:hAnsi="黑体" w:eastAsia="黑体" w:cs="黑体"/>
              </w:rPr>
              <w:t>监测频次与记录要求</w:t>
            </w:r>
          </w:p>
        </w:tc>
        <w:tc>
          <w:tcPr>
            <w:tcW w:w="3209" w:type="pct"/>
            <w:tcMar>
              <w:top w:w="150" w:type="dxa"/>
              <w:left w:w="240" w:type="dxa"/>
              <w:bottom w:w="150" w:type="dxa"/>
              <w:right w:w="0" w:type="dxa"/>
            </w:tcMar>
            <w:vAlign w:val="center"/>
          </w:tcPr>
          <w:p w14:paraId="6B577CC2">
            <w:pPr>
              <w:pStyle w:val="5"/>
              <w:keepNext w:val="0"/>
            </w:pPr>
            <w:r>
              <w:t>每月1次；记录月度气象水文数据；极端天气事件（暴雨、大风、高温、低温）</w:t>
            </w:r>
            <w:r>
              <w:rPr>
                <w:rFonts w:hint="eastAsia"/>
                <w:lang w:eastAsia="zh-CN"/>
              </w:rPr>
              <w:t>需</w:t>
            </w:r>
            <w:r>
              <w:t>专项记录</w:t>
            </w:r>
          </w:p>
        </w:tc>
      </w:tr>
      <w:tr w14:paraId="2BE2C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19F32F69">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209" w:type="pct"/>
            <w:tcMar>
              <w:top w:w="150" w:type="dxa"/>
              <w:left w:w="240" w:type="dxa"/>
              <w:bottom w:w="150" w:type="dxa"/>
              <w:right w:w="0" w:type="dxa"/>
            </w:tcMar>
            <w:vAlign w:val="center"/>
          </w:tcPr>
          <w:p w14:paraId="216E9F52">
            <w:pPr>
              <w:pStyle w:val="5"/>
              <w:keepNext w:val="0"/>
            </w:pPr>
            <w:r>
              <w:t>监测仪表定期校准；人工读数与自动记录交叉验证</w:t>
            </w:r>
          </w:p>
        </w:tc>
      </w:tr>
      <w:tr w14:paraId="581D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3701EAD7">
            <w:pPr>
              <w:pStyle w:val="5"/>
              <w:keepNext w:val="0"/>
              <w:jc w:val="center"/>
              <w:rPr>
                <w:rFonts w:hint="eastAsia" w:ascii="黑体" w:hAnsi="黑体" w:eastAsia="黑体" w:cs="黑体"/>
              </w:rPr>
            </w:pPr>
            <w:r>
              <w:rPr>
                <w:rFonts w:ascii="黑体" w:hAnsi="黑体" w:eastAsia="黑体" w:cs="黑体"/>
              </w:rPr>
              <w:t>数据用途</w:t>
            </w:r>
          </w:p>
        </w:tc>
        <w:tc>
          <w:tcPr>
            <w:tcW w:w="3209" w:type="pct"/>
            <w:tcMar>
              <w:top w:w="150" w:type="dxa"/>
              <w:left w:w="240" w:type="dxa"/>
              <w:bottom w:w="150" w:type="dxa"/>
              <w:right w:w="0" w:type="dxa"/>
            </w:tcMar>
            <w:vAlign w:val="center"/>
          </w:tcPr>
          <w:p w14:paraId="5F9AFE5D">
            <w:pPr>
              <w:pStyle w:val="5"/>
              <w:keepNext w:val="0"/>
            </w:pPr>
            <w:r>
              <w:t>用于辅助分析湿地碳汇的年际波动、识别极端事件对碳汇的影响</w:t>
            </w:r>
          </w:p>
        </w:tc>
      </w:tr>
      <w:tr w14:paraId="4543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0" w:type="pct"/>
            <w:tcMar>
              <w:top w:w="150" w:type="dxa"/>
              <w:left w:w="0" w:type="dxa"/>
              <w:bottom w:w="150" w:type="dxa"/>
              <w:right w:w="240" w:type="dxa"/>
            </w:tcMar>
            <w:vAlign w:val="center"/>
          </w:tcPr>
          <w:p w14:paraId="70A7BF5E">
            <w:pPr>
              <w:pStyle w:val="5"/>
              <w:keepNext w:val="0"/>
              <w:jc w:val="center"/>
              <w:rPr>
                <w:rFonts w:hint="eastAsia" w:ascii="黑体" w:hAnsi="黑体" w:eastAsia="黑体" w:cs="黑体"/>
              </w:rPr>
            </w:pPr>
            <w:r>
              <w:rPr>
                <w:rFonts w:ascii="黑体" w:hAnsi="黑体" w:eastAsia="黑体" w:cs="黑体"/>
              </w:rPr>
              <w:t>备注</w:t>
            </w:r>
          </w:p>
        </w:tc>
        <w:tc>
          <w:tcPr>
            <w:tcW w:w="3209" w:type="pct"/>
            <w:tcMar>
              <w:top w:w="150" w:type="dxa"/>
              <w:left w:w="240" w:type="dxa"/>
              <w:bottom w:w="150" w:type="dxa"/>
              <w:right w:w="0" w:type="dxa"/>
            </w:tcMar>
            <w:vAlign w:val="center"/>
          </w:tcPr>
          <w:p w14:paraId="6E6574ED">
            <w:pPr>
              <w:pStyle w:val="5"/>
              <w:keepNext w:val="0"/>
            </w:pPr>
            <w:r>
              <w:t>极端天气后15日内须完成应急补测并记录</w:t>
            </w:r>
          </w:p>
        </w:tc>
      </w:tr>
    </w:tbl>
    <w:p w14:paraId="5003DF10">
      <w:pPr>
        <w:pStyle w:val="4"/>
      </w:pPr>
      <w:r>
        <w:t>表3</w:t>
      </w:r>
      <w:r>
        <w:rPr>
          <w:rFonts w:hint="eastAsia"/>
          <w:lang w:val="en-US" w:eastAsia="zh-CN"/>
        </w:rPr>
        <w:t>2</w:t>
      </w:r>
      <w:r>
        <w:rPr>
          <w:rFonts w:hint="eastAsia"/>
        </w:rPr>
        <w:t xml:space="preserve"> </w:t>
      </w:r>
      <w:r>
        <w:t>土壤扰动面积</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81"/>
        <w:gridCol w:w="5332"/>
      </w:tblGrid>
      <w:tr w14:paraId="3F52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3F914E44">
            <w:pPr>
              <w:pStyle w:val="5"/>
              <w:keepNext w:val="0"/>
              <w:jc w:val="center"/>
              <w:rPr>
                <w:rFonts w:hint="eastAsia" w:ascii="黑体" w:hAnsi="黑体" w:eastAsia="黑体" w:cs="黑体"/>
              </w:rPr>
            </w:pPr>
            <w:r>
              <w:rPr>
                <w:rFonts w:ascii="黑体" w:hAnsi="黑体" w:eastAsia="黑体" w:cs="黑体"/>
              </w:rPr>
              <w:t>数据/参数名称</w:t>
            </w:r>
          </w:p>
        </w:tc>
        <w:tc>
          <w:tcPr>
            <w:tcW w:w="3206" w:type="pct"/>
            <w:tcMar>
              <w:top w:w="150" w:type="dxa"/>
              <w:left w:w="240" w:type="dxa"/>
              <w:bottom w:w="150" w:type="dxa"/>
              <w:right w:w="0" w:type="dxa"/>
            </w:tcMar>
            <w:vAlign w:val="center"/>
          </w:tcPr>
          <w:p w14:paraId="44745E4B">
            <w:pPr>
              <w:pStyle w:val="5"/>
              <w:keepNext w:val="0"/>
            </w:pPr>
            <m:oMathPara>
              <m:oMathParaPr>
                <m:jc m:val="left"/>
              </m:oMathParaPr>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disturb</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m:oMathPara>
          </w:p>
        </w:tc>
      </w:tr>
      <w:tr w14:paraId="6E35D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52EF904A">
            <w:pPr>
              <w:pStyle w:val="5"/>
              <w:keepNext w:val="0"/>
              <w:jc w:val="center"/>
              <w:rPr>
                <w:rFonts w:hint="eastAsia" w:ascii="黑体" w:hAnsi="黑体" w:eastAsia="黑体" w:cs="黑体"/>
              </w:rPr>
            </w:pPr>
            <w:r>
              <w:rPr>
                <w:rFonts w:ascii="黑体" w:hAnsi="黑体" w:eastAsia="黑体" w:cs="黑体"/>
              </w:rPr>
              <w:t>应用的公式编号</w:t>
            </w:r>
          </w:p>
        </w:tc>
        <w:tc>
          <w:tcPr>
            <w:tcW w:w="3206" w:type="pct"/>
            <w:tcMar>
              <w:top w:w="150" w:type="dxa"/>
              <w:left w:w="240" w:type="dxa"/>
              <w:bottom w:w="150" w:type="dxa"/>
              <w:right w:w="0" w:type="dxa"/>
            </w:tcMar>
            <w:vAlign w:val="center"/>
          </w:tcPr>
          <w:p w14:paraId="4B7F503B">
            <w:pPr>
              <w:pStyle w:val="5"/>
              <w:keepNext w:val="0"/>
            </w:pPr>
            <w:r>
              <w:rPr>
                <w:rFonts w:hint="eastAsia"/>
              </w:rPr>
              <w:t>公式（</w:t>
            </w:r>
            <w:r>
              <w:t>18</w:t>
            </w:r>
            <w:r>
              <w:rPr>
                <w:rFonts w:hint="eastAsia"/>
              </w:rPr>
              <w:t>）、公式（</w:t>
            </w:r>
            <w:r>
              <w:t>20</w:t>
            </w:r>
            <w:r>
              <w:rPr>
                <w:rFonts w:hint="eastAsia"/>
              </w:rPr>
              <w:t>）</w:t>
            </w:r>
          </w:p>
        </w:tc>
      </w:tr>
      <w:tr w14:paraId="1DF0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217D927F">
            <w:pPr>
              <w:pStyle w:val="5"/>
              <w:keepNext w:val="0"/>
              <w:jc w:val="center"/>
              <w:rPr>
                <w:rFonts w:hint="eastAsia" w:ascii="黑体" w:hAnsi="黑体" w:eastAsia="黑体" w:cs="黑体"/>
              </w:rPr>
            </w:pPr>
            <w:r>
              <w:rPr>
                <w:rFonts w:ascii="黑体" w:hAnsi="黑体" w:eastAsia="黑体" w:cs="黑体"/>
              </w:rPr>
              <w:t>数据描述</w:t>
            </w:r>
          </w:p>
        </w:tc>
        <w:tc>
          <w:tcPr>
            <w:tcW w:w="3206" w:type="pct"/>
            <w:tcMar>
              <w:top w:w="150" w:type="dxa"/>
              <w:left w:w="240" w:type="dxa"/>
              <w:bottom w:w="150" w:type="dxa"/>
              <w:right w:w="0" w:type="dxa"/>
            </w:tcMar>
            <w:vAlign w:val="center"/>
          </w:tcPr>
          <w:p w14:paraId="6969E12F">
            <w:pPr>
              <w:pStyle w:val="5"/>
              <w:keepNext w:val="0"/>
            </w:pPr>
            <w:r>
              <w:t>第t年受到土壤扰动的面积</w:t>
            </w:r>
          </w:p>
        </w:tc>
      </w:tr>
      <w:tr w14:paraId="7F866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3720D5E9">
            <w:pPr>
              <w:pStyle w:val="5"/>
              <w:keepNext w:val="0"/>
              <w:jc w:val="center"/>
              <w:rPr>
                <w:rFonts w:hint="eastAsia" w:ascii="黑体" w:hAnsi="黑体" w:eastAsia="黑体" w:cs="黑体"/>
              </w:rPr>
            </w:pPr>
            <w:r>
              <w:rPr>
                <w:rFonts w:ascii="黑体" w:hAnsi="黑体" w:eastAsia="黑体" w:cs="黑体"/>
              </w:rPr>
              <w:t>数据单位</w:t>
            </w:r>
          </w:p>
        </w:tc>
        <w:tc>
          <w:tcPr>
            <w:tcW w:w="3206" w:type="pct"/>
            <w:tcMar>
              <w:top w:w="150" w:type="dxa"/>
              <w:left w:w="240" w:type="dxa"/>
              <w:bottom w:w="150" w:type="dxa"/>
              <w:right w:w="0" w:type="dxa"/>
            </w:tcMar>
            <w:vAlign w:val="center"/>
          </w:tcPr>
          <w:p w14:paraId="01BB0A4A">
            <w:pPr>
              <w:pStyle w:val="5"/>
              <w:keepNext w:val="0"/>
            </w:pPr>
            <w:r>
              <w:t>hm²</w:t>
            </w:r>
          </w:p>
        </w:tc>
      </w:tr>
      <w:tr w14:paraId="0116C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621D60EC">
            <w:pPr>
              <w:pStyle w:val="5"/>
              <w:keepNext w:val="0"/>
              <w:jc w:val="center"/>
              <w:rPr>
                <w:rFonts w:hint="eastAsia" w:ascii="黑体" w:hAnsi="黑体" w:eastAsia="黑体" w:cs="黑体"/>
              </w:rPr>
            </w:pPr>
            <w:r>
              <w:rPr>
                <w:rFonts w:ascii="黑体" w:hAnsi="黑体" w:eastAsia="黑体" w:cs="黑体"/>
              </w:rPr>
              <w:t>数据来源</w:t>
            </w:r>
          </w:p>
        </w:tc>
        <w:tc>
          <w:tcPr>
            <w:tcW w:w="3206" w:type="pct"/>
            <w:tcMar>
              <w:top w:w="150" w:type="dxa"/>
              <w:left w:w="240" w:type="dxa"/>
              <w:bottom w:w="150" w:type="dxa"/>
              <w:right w:w="0" w:type="dxa"/>
            </w:tcMar>
            <w:vAlign w:val="center"/>
          </w:tcPr>
          <w:p w14:paraId="1C1C3480">
            <w:pPr>
              <w:pStyle w:val="5"/>
              <w:keepNext w:val="0"/>
            </w:pPr>
            <w:r>
              <w:t>施工记录、现场核查、遥感影像</w:t>
            </w:r>
          </w:p>
        </w:tc>
      </w:tr>
      <w:tr w14:paraId="63247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61234016">
            <w:pPr>
              <w:pStyle w:val="5"/>
              <w:keepNext w:val="0"/>
              <w:jc w:val="center"/>
              <w:rPr>
                <w:rFonts w:hint="eastAsia" w:ascii="黑体" w:hAnsi="黑体" w:eastAsia="黑体" w:cs="黑体"/>
              </w:rPr>
            </w:pPr>
            <w:r>
              <w:rPr>
                <w:rFonts w:ascii="黑体" w:hAnsi="黑体" w:eastAsia="黑体" w:cs="黑体"/>
              </w:rPr>
              <w:t>监测点要求</w:t>
            </w:r>
          </w:p>
        </w:tc>
        <w:tc>
          <w:tcPr>
            <w:tcW w:w="3206" w:type="pct"/>
            <w:tcMar>
              <w:top w:w="150" w:type="dxa"/>
              <w:left w:w="240" w:type="dxa"/>
              <w:bottom w:w="150" w:type="dxa"/>
              <w:right w:w="0" w:type="dxa"/>
            </w:tcMar>
            <w:vAlign w:val="center"/>
          </w:tcPr>
          <w:p w14:paraId="205E77BE">
            <w:pPr>
              <w:pStyle w:val="5"/>
              <w:keepNext w:val="0"/>
            </w:pPr>
            <w:r>
              <w:t>所有发生土壤扰动的项目地块</w:t>
            </w:r>
          </w:p>
        </w:tc>
      </w:tr>
      <w:tr w14:paraId="4E43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09806A33">
            <w:pPr>
              <w:pStyle w:val="5"/>
              <w:keepNext w:val="0"/>
              <w:jc w:val="center"/>
              <w:rPr>
                <w:rFonts w:hint="eastAsia" w:ascii="黑体" w:hAnsi="黑体" w:eastAsia="黑体" w:cs="黑体"/>
              </w:rPr>
            </w:pPr>
            <w:r>
              <w:rPr>
                <w:rFonts w:ascii="黑体" w:hAnsi="黑体" w:eastAsia="黑体" w:cs="黑体"/>
              </w:rPr>
              <w:t>监测仪表要求</w:t>
            </w:r>
          </w:p>
        </w:tc>
        <w:tc>
          <w:tcPr>
            <w:tcW w:w="3206" w:type="pct"/>
            <w:tcMar>
              <w:top w:w="150" w:type="dxa"/>
              <w:left w:w="240" w:type="dxa"/>
              <w:bottom w:w="150" w:type="dxa"/>
              <w:right w:w="0" w:type="dxa"/>
            </w:tcMar>
            <w:vAlign w:val="center"/>
          </w:tcPr>
          <w:p w14:paraId="1E76CA7F">
            <w:pPr>
              <w:pStyle w:val="5"/>
              <w:keepNext w:val="0"/>
            </w:pPr>
            <w:r>
              <w:t>RTK、GPS/BDS等卫星定位系统（CGCS2000坐标系）</w:t>
            </w:r>
          </w:p>
        </w:tc>
      </w:tr>
      <w:tr w14:paraId="4DA48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00E7D54C">
            <w:pPr>
              <w:pStyle w:val="5"/>
              <w:keepNext w:val="0"/>
              <w:jc w:val="center"/>
              <w:rPr>
                <w:rFonts w:hint="eastAsia" w:ascii="黑体" w:hAnsi="黑体" w:eastAsia="黑体" w:cs="黑体"/>
              </w:rPr>
            </w:pPr>
            <w:r>
              <w:rPr>
                <w:rFonts w:ascii="黑体" w:hAnsi="黑体" w:eastAsia="黑体" w:cs="黑体"/>
              </w:rPr>
              <w:t>监测程序与方法要求</w:t>
            </w:r>
          </w:p>
        </w:tc>
        <w:tc>
          <w:tcPr>
            <w:tcW w:w="3206" w:type="pct"/>
            <w:tcMar>
              <w:top w:w="150" w:type="dxa"/>
              <w:left w:w="240" w:type="dxa"/>
              <w:bottom w:w="150" w:type="dxa"/>
              <w:right w:w="0" w:type="dxa"/>
            </w:tcMar>
            <w:vAlign w:val="center"/>
          </w:tcPr>
          <w:p w14:paraId="58EE6BA5">
            <w:pPr>
              <w:pStyle w:val="5"/>
              <w:keepNext w:val="0"/>
            </w:pPr>
            <w:r>
              <w:t>逐块测量扰动区域边界拐点坐标；在GIS中计算扰动面积；记录扰动类型（整地、翻耕、基质改良等）</w:t>
            </w:r>
          </w:p>
        </w:tc>
      </w:tr>
      <w:tr w14:paraId="66D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3C7A75C3">
            <w:pPr>
              <w:pStyle w:val="5"/>
              <w:keepNext w:val="0"/>
              <w:jc w:val="center"/>
              <w:rPr>
                <w:rFonts w:hint="eastAsia" w:ascii="黑体" w:hAnsi="黑体" w:eastAsia="黑体" w:cs="黑体"/>
              </w:rPr>
            </w:pPr>
            <w:r>
              <w:rPr>
                <w:rFonts w:ascii="黑体" w:hAnsi="黑体" w:eastAsia="黑体" w:cs="黑体"/>
              </w:rPr>
              <w:t>监测频次与记录要求</w:t>
            </w:r>
          </w:p>
        </w:tc>
        <w:tc>
          <w:tcPr>
            <w:tcW w:w="3206" w:type="pct"/>
            <w:tcMar>
              <w:top w:w="150" w:type="dxa"/>
              <w:left w:w="240" w:type="dxa"/>
              <w:bottom w:w="150" w:type="dxa"/>
              <w:right w:w="0" w:type="dxa"/>
            </w:tcMar>
            <w:vAlign w:val="center"/>
          </w:tcPr>
          <w:p w14:paraId="41048E96">
            <w:pPr>
              <w:pStyle w:val="5"/>
              <w:keepNext w:val="0"/>
            </w:pPr>
            <w:r>
              <w:t>扰动发生后15日内完成测量；记录扰动位置、面积、类型及时间</w:t>
            </w:r>
          </w:p>
        </w:tc>
      </w:tr>
      <w:tr w14:paraId="6682A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0D91D5EE">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206" w:type="pct"/>
            <w:tcMar>
              <w:top w:w="150" w:type="dxa"/>
              <w:left w:w="240" w:type="dxa"/>
              <w:bottom w:w="150" w:type="dxa"/>
              <w:right w:w="0" w:type="dxa"/>
            </w:tcMar>
            <w:vAlign w:val="center"/>
          </w:tcPr>
          <w:p w14:paraId="2EC8C036">
            <w:pPr>
              <w:pStyle w:val="5"/>
              <w:keepNext w:val="0"/>
            </w:pPr>
            <w:r>
              <w:t>施工记录与现场核查双重确认；边界数据须经项目业主确认</w:t>
            </w:r>
          </w:p>
        </w:tc>
      </w:tr>
      <w:tr w14:paraId="5DB9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3E26AF74">
            <w:pPr>
              <w:pStyle w:val="5"/>
              <w:keepNext w:val="0"/>
              <w:jc w:val="center"/>
              <w:rPr>
                <w:rFonts w:hint="eastAsia" w:ascii="黑体" w:hAnsi="黑体" w:eastAsia="黑体" w:cs="黑体"/>
              </w:rPr>
            </w:pPr>
            <w:r>
              <w:rPr>
                <w:rFonts w:ascii="黑体" w:hAnsi="黑体" w:eastAsia="黑体" w:cs="黑体"/>
              </w:rPr>
              <w:t>数据用途</w:t>
            </w:r>
          </w:p>
        </w:tc>
        <w:tc>
          <w:tcPr>
            <w:tcW w:w="3206" w:type="pct"/>
            <w:tcMar>
              <w:top w:w="150" w:type="dxa"/>
              <w:left w:w="240" w:type="dxa"/>
              <w:bottom w:w="150" w:type="dxa"/>
              <w:right w:w="0" w:type="dxa"/>
            </w:tcMar>
            <w:vAlign w:val="center"/>
          </w:tcPr>
          <w:p w14:paraId="6D25C9BB">
            <w:pPr>
              <w:pStyle w:val="5"/>
              <w:keepNext w:val="0"/>
            </w:pPr>
            <w:r>
              <w:t>用于计算土壤扰动引起的CH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排放量</w:t>
            </w:r>
          </w:p>
        </w:tc>
      </w:tr>
      <w:tr w14:paraId="075E6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1F576A9B">
            <w:pPr>
              <w:pStyle w:val="5"/>
              <w:keepNext w:val="0"/>
              <w:jc w:val="center"/>
              <w:rPr>
                <w:rFonts w:hint="eastAsia" w:ascii="黑体" w:hAnsi="黑体" w:eastAsia="黑体" w:cs="黑体"/>
              </w:rPr>
            </w:pPr>
            <w:r>
              <w:rPr>
                <w:rFonts w:ascii="黑体" w:hAnsi="黑体" w:eastAsia="黑体" w:cs="黑体"/>
              </w:rPr>
              <w:t>备注</w:t>
            </w:r>
          </w:p>
        </w:tc>
        <w:tc>
          <w:tcPr>
            <w:tcW w:w="3206" w:type="pct"/>
            <w:tcMar>
              <w:top w:w="150" w:type="dxa"/>
              <w:left w:w="240" w:type="dxa"/>
              <w:bottom w:w="150" w:type="dxa"/>
              <w:right w:w="0" w:type="dxa"/>
            </w:tcMar>
            <w:vAlign w:val="center"/>
          </w:tcPr>
          <w:p w14:paraId="77A1704E">
            <w:pPr>
              <w:pStyle w:val="5"/>
              <w:keepNext w:val="0"/>
            </w:pPr>
            <w:r>
              <w:t>项目区域内土壤扰动的面积比例应控制在10%以下（适用条件f）</w:t>
            </w:r>
          </w:p>
        </w:tc>
      </w:tr>
    </w:tbl>
    <w:p w14:paraId="4B009C00">
      <w:pPr>
        <w:pStyle w:val="4"/>
      </w:pPr>
      <w:r>
        <w:t>表3</w:t>
      </w:r>
      <w:r>
        <w:rPr>
          <w:rFonts w:hint="eastAsia"/>
          <w:lang w:val="en-US" w:eastAsia="zh-CN"/>
        </w:rPr>
        <w:t>3</w:t>
      </w:r>
      <w:r>
        <w:t xml:space="preserve"> 水体管理影响水域面积</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80"/>
        <w:gridCol w:w="5333"/>
      </w:tblGrid>
      <w:tr w14:paraId="2D9E3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716D83D0">
            <w:pPr>
              <w:pStyle w:val="5"/>
              <w:keepNext w:val="0"/>
              <w:jc w:val="center"/>
              <w:rPr>
                <w:rFonts w:hint="eastAsia" w:ascii="黑体" w:hAnsi="黑体" w:eastAsia="黑体" w:cs="黑体"/>
              </w:rPr>
            </w:pPr>
            <w:r>
              <w:rPr>
                <w:rFonts w:ascii="黑体" w:hAnsi="黑体" w:eastAsia="黑体" w:cs="黑体"/>
              </w:rPr>
              <w:t>数据/参数名称</w:t>
            </w:r>
          </w:p>
        </w:tc>
        <w:tc>
          <w:tcPr>
            <w:tcW w:w="3207" w:type="pct"/>
            <w:tcMar>
              <w:top w:w="150" w:type="dxa"/>
              <w:left w:w="240" w:type="dxa"/>
              <w:bottom w:w="150" w:type="dxa"/>
              <w:right w:w="0" w:type="dxa"/>
            </w:tcMar>
            <w:vAlign w:val="center"/>
          </w:tcPr>
          <w:p w14:paraId="1166BE46">
            <w:pPr>
              <w:pStyle w:val="5"/>
              <w:keepNext w:val="0"/>
            </w:pPr>
            <m:oMathPara>
              <m:oMathParaPr>
                <m:jc m:val="left"/>
              </m:oMathParaPr>
              <m:oMath>
                <m:sSub>
                  <m:sSubPr>
                    <m:ctrlPr>
                      <w:rPr>
                        <w:rFonts w:ascii="Cambria Math" w:hAnsi="Cambria Math"/>
                      </w:rPr>
                    </m:ctrlPr>
                  </m:sSubPr>
                  <m:e>
                    <m:r>
                      <m:rPr>
                        <m:sty m:val="p"/>
                      </m:rPr>
                      <w:rPr>
                        <w:rFonts w:ascii="Cambria Math" w:hAnsi="Cambria Math"/>
                      </w:rPr>
                      <m:t>A</m:t>
                    </m:r>
                    <m:ctrlPr>
                      <w:rPr>
                        <w:rFonts w:ascii="Cambria Math" w:hAnsi="Cambria Math"/>
                      </w:rPr>
                    </m:ctrlPr>
                  </m:e>
                  <m:sub>
                    <m:r>
                      <m:rPr>
                        <m:sty m:val="p"/>
                      </m:rPr>
                      <w:rPr>
                        <w:rFonts w:hint="eastAsia" w:ascii="Cambria Math" w:hAnsi="Cambria Math"/>
                      </w:rPr>
                      <m:t>water</m:t>
                    </m:r>
                    <m:r>
                      <m:rPr>
                        <m:sty m:val="p"/>
                      </m:rPr>
                      <w:rPr>
                        <w:rFonts w:ascii="Cambria Math" w:hAnsi="Cambria Math"/>
                      </w:rPr>
                      <m:t>,</m:t>
                    </m:r>
                    <m:r>
                      <m:rPr>
                        <m:sty m:val="p"/>
                      </m:rPr>
                      <w:rPr>
                        <w:rFonts w:hint="eastAsia" w:ascii="Cambria Math" w:hAnsi="Cambria Math"/>
                      </w:rPr>
                      <m:t>t</m:t>
                    </m:r>
                    <m:ctrlPr>
                      <w:rPr>
                        <w:rFonts w:ascii="Cambria Math" w:hAnsi="Cambria Math"/>
                      </w:rPr>
                    </m:ctrlPr>
                  </m:sub>
                </m:sSub>
              </m:oMath>
            </m:oMathPara>
          </w:p>
        </w:tc>
      </w:tr>
      <w:tr w14:paraId="3DB00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290C3B32">
            <w:pPr>
              <w:pStyle w:val="5"/>
              <w:keepNext w:val="0"/>
              <w:jc w:val="center"/>
              <w:rPr>
                <w:rFonts w:hint="eastAsia" w:ascii="黑体" w:hAnsi="黑体" w:eastAsia="黑体" w:cs="黑体"/>
              </w:rPr>
            </w:pPr>
            <w:r>
              <w:rPr>
                <w:rFonts w:ascii="黑体" w:hAnsi="黑体" w:eastAsia="黑体" w:cs="黑体"/>
              </w:rPr>
              <w:t>应用的公式编号</w:t>
            </w:r>
          </w:p>
        </w:tc>
        <w:tc>
          <w:tcPr>
            <w:tcW w:w="3207" w:type="pct"/>
            <w:tcMar>
              <w:top w:w="150" w:type="dxa"/>
              <w:left w:w="240" w:type="dxa"/>
              <w:bottom w:w="150" w:type="dxa"/>
              <w:right w:w="0" w:type="dxa"/>
            </w:tcMar>
            <w:vAlign w:val="center"/>
          </w:tcPr>
          <w:p w14:paraId="5547C727">
            <w:pPr>
              <w:pStyle w:val="5"/>
              <w:keepNext w:val="0"/>
            </w:pPr>
            <w:r>
              <w:t>公式（1</w:t>
            </w:r>
            <w:r>
              <w:rPr>
                <w:rFonts w:hint="eastAsia"/>
              </w:rPr>
              <w:t>9</w:t>
            </w:r>
            <w:r>
              <w:t>）、公式（20）</w:t>
            </w:r>
          </w:p>
        </w:tc>
      </w:tr>
      <w:tr w14:paraId="26E0D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24675D71">
            <w:pPr>
              <w:pStyle w:val="5"/>
              <w:keepNext w:val="0"/>
              <w:jc w:val="center"/>
              <w:rPr>
                <w:rFonts w:hint="eastAsia" w:ascii="黑体" w:hAnsi="黑体" w:eastAsia="黑体" w:cs="黑体"/>
              </w:rPr>
            </w:pPr>
            <w:r>
              <w:rPr>
                <w:rFonts w:ascii="黑体" w:hAnsi="黑体" w:eastAsia="黑体" w:cs="黑体"/>
              </w:rPr>
              <w:t>数据描述</w:t>
            </w:r>
          </w:p>
        </w:tc>
        <w:tc>
          <w:tcPr>
            <w:tcW w:w="3207" w:type="pct"/>
            <w:tcMar>
              <w:top w:w="150" w:type="dxa"/>
              <w:left w:w="240" w:type="dxa"/>
              <w:bottom w:w="150" w:type="dxa"/>
              <w:right w:w="0" w:type="dxa"/>
            </w:tcMar>
            <w:vAlign w:val="center"/>
          </w:tcPr>
          <w:p w14:paraId="2C788707">
            <w:pPr>
              <w:pStyle w:val="5"/>
              <w:keepNext w:val="0"/>
            </w:pPr>
            <w:r>
              <w:t>第t年受水位调节、水质净化等管理措施影响的水域面积</w:t>
            </w:r>
          </w:p>
        </w:tc>
      </w:tr>
      <w:tr w14:paraId="3EDC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1B6E72BF">
            <w:pPr>
              <w:pStyle w:val="5"/>
              <w:keepNext w:val="0"/>
              <w:jc w:val="center"/>
              <w:rPr>
                <w:rFonts w:hint="eastAsia" w:ascii="黑体" w:hAnsi="黑体" w:eastAsia="黑体" w:cs="黑体"/>
              </w:rPr>
            </w:pPr>
            <w:r>
              <w:rPr>
                <w:rFonts w:ascii="黑体" w:hAnsi="黑体" w:eastAsia="黑体" w:cs="黑体"/>
              </w:rPr>
              <w:t>数据单位</w:t>
            </w:r>
          </w:p>
        </w:tc>
        <w:tc>
          <w:tcPr>
            <w:tcW w:w="3207" w:type="pct"/>
            <w:tcMar>
              <w:top w:w="150" w:type="dxa"/>
              <w:left w:w="240" w:type="dxa"/>
              <w:bottom w:w="150" w:type="dxa"/>
              <w:right w:w="0" w:type="dxa"/>
            </w:tcMar>
            <w:vAlign w:val="center"/>
          </w:tcPr>
          <w:p w14:paraId="7734C7A6">
            <w:pPr>
              <w:pStyle w:val="5"/>
              <w:keepNext w:val="0"/>
            </w:pPr>
            <w:r>
              <w:t>hm²</w:t>
            </w:r>
          </w:p>
        </w:tc>
      </w:tr>
      <w:tr w14:paraId="03856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1F2A8FCD">
            <w:pPr>
              <w:pStyle w:val="5"/>
              <w:keepNext w:val="0"/>
              <w:jc w:val="center"/>
              <w:rPr>
                <w:rFonts w:hint="eastAsia" w:ascii="黑体" w:hAnsi="黑体" w:eastAsia="黑体" w:cs="黑体"/>
              </w:rPr>
            </w:pPr>
            <w:r>
              <w:rPr>
                <w:rFonts w:ascii="黑体" w:hAnsi="黑体" w:eastAsia="黑体" w:cs="黑体"/>
              </w:rPr>
              <w:t>数据来源</w:t>
            </w:r>
          </w:p>
        </w:tc>
        <w:tc>
          <w:tcPr>
            <w:tcW w:w="3207" w:type="pct"/>
            <w:tcMar>
              <w:top w:w="150" w:type="dxa"/>
              <w:left w:w="240" w:type="dxa"/>
              <w:bottom w:w="150" w:type="dxa"/>
              <w:right w:w="0" w:type="dxa"/>
            </w:tcMar>
            <w:vAlign w:val="center"/>
          </w:tcPr>
          <w:p w14:paraId="3EDB70DB">
            <w:pPr>
              <w:pStyle w:val="5"/>
              <w:keepNext w:val="0"/>
            </w:pPr>
            <w:r>
              <w:t>施工记录、运行管理台账、遥感影像</w:t>
            </w:r>
          </w:p>
        </w:tc>
      </w:tr>
      <w:tr w14:paraId="04A9A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2F355C89">
            <w:pPr>
              <w:pStyle w:val="5"/>
              <w:keepNext w:val="0"/>
              <w:jc w:val="center"/>
              <w:rPr>
                <w:rFonts w:hint="eastAsia" w:ascii="黑体" w:hAnsi="黑体" w:eastAsia="黑体" w:cs="黑体"/>
              </w:rPr>
            </w:pPr>
            <w:r>
              <w:rPr>
                <w:rFonts w:ascii="黑体" w:hAnsi="黑体" w:eastAsia="黑体" w:cs="黑体"/>
              </w:rPr>
              <w:t>监测点要求</w:t>
            </w:r>
          </w:p>
        </w:tc>
        <w:tc>
          <w:tcPr>
            <w:tcW w:w="3207" w:type="pct"/>
            <w:tcMar>
              <w:top w:w="150" w:type="dxa"/>
              <w:left w:w="240" w:type="dxa"/>
              <w:bottom w:w="150" w:type="dxa"/>
              <w:right w:w="0" w:type="dxa"/>
            </w:tcMar>
            <w:vAlign w:val="center"/>
          </w:tcPr>
          <w:p w14:paraId="2D2BCECF">
            <w:pPr>
              <w:pStyle w:val="5"/>
              <w:keepNext w:val="0"/>
            </w:pPr>
            <w:r>
              <w:t>所有实施水体管理措施的项目水域</w:t>
            </w:r>
          </w:p>
        </w:tc>
      </w:tr>
      <w:tr w14:paraId="2C5E6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7BCFC69B">
            <w:pPr>
              <w:pStyle w:val="5"/>
              <w:keepNext w:val="0"/>
              <w:jc w:val="center"/>
              <w:rPr>
                <w:rFonts w:hint="eastAsia" w:ascii="黑体" w:hAnsi="黑体" w:eastAsia="黑体" w:cs="黑体"/>
              </w:rPr>
            </w:pPr>
            <w:r>
              <w:rPr>
                <w:rFonts w:ascii="黑体" w:hAnsi="黑体" w:eastAsia="黑体" w:cs="黑体"/>
              </w:rPr>
              <w:t>监测仪表要求</w:t>
            </w:r>
          </w:p>
        </w:tc>
        <w:tc>
          <w:tcPr>
            <w:tcW w:w="3207" w:type="pct"/>
            <w:tcMar>
              <w:top w:w="150" w:type="dxa"/>
              <w:left w:w="240" w:type="dxa"/>
              <w:bottom w:w="150" w:type="dxa"/>
              <w:right w:w="0" w:type="dxa"/>
            </w:tcMar>
            <w:vAlign w:val="center"/>
          </w:tcPr>
          <w:p w14:paraId="6D0322E4">
            <w:pPr>
              <w:pStyle w:val="5"/>
              <w:keepNext w:val="0"/>
            </w:pPr>
            <w:r>
              <w:t>RTK、GPS/BDS等卫星定位系统（CGCS2000坐标系）</w:t>
            </w:r>
          </w:p>
        </w:tc>
      </w:tr>
      <w:tr w14:paraId="7C3C6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3C540D01">
            <w:pPr>
              <w:pStyle w:val="5"/>
              <w:keepNext w:val="0"/>
              <w:jc w:val="center"/>
              <w:rPr>
                <w:rFonts w:hint="eastAsia" w:ascii="黑体" w:hAnsi="黑体" w:eastAsia="黑体" w:cs="黑体"/>
              </w:rPr>
            </w:pPr>
            <w:r>
              <w:rPr>
                <w:rFonts w:ascii="黑体" w:hAnsi="黑体" w:eastAsia="黑体" w:cs="黑体"/>
              </w:rPr>
              <w:t>监测程序与方法要求</w:t>
            </w:r>
          </w:p>
        </w:tc>
        <w:tc>
          <w:tcPr>
            <w:tcW w:w="3207" w:type="pct"/>
            <w:tcMar>
              <w:top w:w="150" w:type="dxa"/>
              <w:left w:w="240" w:type="dxa"/>
              <w:bottom w:w="150" w:type="dxa"/>
              <w:right w:w="0" w:type="dxa"/>
            </w:tcMar>
            <w:vAlign w:val="center"/>
          </w:tcPr>
          <w:p w14:paraId="7F83BED2">
            <w:pPr>
              <w:pStyle w:val="5"/>
              <w:keepNext w:val="0"/>
            </w:pPr>
            <w:r>
              <w:t>根据管理措施实施范围确定影响水域边界；记录管理措施类型（水位调节、曝气、植物收割等）及实施时间</w:t>
            </w:r>
          </w:p>
        </w:tc>
      </w:tr>
      <w:tr w14:paraId="3A4AD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34696094">
            <w:pPr>
              <w:pStyle w:val="5"/>
              <w:keepNext w:val="0"/>
              <w:jc w:val="center"/>
              <w:rPr>
                <w:rFonts w:hint="eastAsia" w:ascii="黑体" w:hAnsi="黑体" w:eastAsia="黑体" w:cs="黑体"/>
              </w:rPr>
            </w:pPr>
            <w:r>
              <w:rPr>
                <w:rFonts w:ascii="黑体" w:hAnsi="黑体" w:eastAsia="黑体" w:cs="黑体"/>
              </w:rPr>
              <w:t>监测频次与记录要求</w:t>
            </w:r>
          </w:p>
        </w:tc>
        <w:tc>
          <w:tcPr>
            <w:tcW w:w="3207" w:type="pct"/>
            <w:tcMar>
              <w:top w:w="150" w:type="dxa"/>
              <w:left w:w="240" w:type="dxa"/>
              <w:bottom w:w="150" w:type="dxa"/>
              <w:right w:w="0" w:type="dxa"/>
            </w:tcMar>
            <w:vAlign w:val="center"/>
          </w:tcPr>
          <w:p w14:paraId="49AAD8C5">
            <w:pPr>
              <w:pStyle w:val="5"/>
              <w:keepNext w:val="0"/>
            </w:pPr>
            <w:r>
              <w:t>每次管理措施实施后15日内记录；管理台账须完整可追溯</w:t>
            </w:r>
          </w:p>
        </w:tc>
      </w:tr>
      <w:tr w14:paraId="3084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6330EE38">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207" w:type="pct"/>
            <w:tcMar>
              <w:top w:w="150" w:type="dxa"/>
              <w:left w:w="240" w:type="dxa"/>
              <w:bottom w:w="150" w:type="dxa"/>
              <w:right w:w="0" w:type="dxa"/>
            </w:tcMar>
            <w:vAlign w:val="center"/>
          </w:tcPr>
          <w:p w14:paraId="672FD17A">
            <w:pPr>
              <w:pStyle w:val="5"/>
              <w:keepNext w:val="0"/>
            </w:pPr>
            <w:r>
              <w:t>管理台账与现场核查双重确认</w:t>
            </w:r>
          </w:p>
        </w:tc>
      </w:tr>
      <w:tr w14:paraId="34CE4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59EC7406">
            <w:pPr>
              <w:pStyle w:val="5"/>
              <w:keepNext w:val="0"/>
              <w:jc w:val="center"/>
              <w:rPr>
                <w:rFonts w:hint="eastAsia" w:ascii="黑体" w:hAnsi="黑体" w:eastAsia="黑体" w:cs="黑体"/>
              </w:rPr>
            </w:pPr>
            <w:r>
              <w:rPr>
                <w:rFonts w:ascii="黑体" w:hAnsi="黑体" w:eastAsia="黑体" w:cs="黑体"/>
              </w:rPr>
              <w:t>数据用途</w:t>
            </w:r>
          </w:p>
        </w:tc>
        <w:tc>
          <w:tcPr>
            <w:tcW w:w="3207" w:type="pct"/>
            <w:tcMar>
              <w:top w:w="150" w:type="dxa"/>
              <w:left w:w="240" w:type="dxa"/>
              <w:bottom w:w="150" w:type="dxa"/>
              <w:right w:w="0" w:type="dxa"/>
            </w:tcMar>
            <w:vAlign w:val="center"/>
          </w:tcPr>
          <w:p w14:paraId="5F2BF7CC">
            <w:pPr>
              <w:pStyle w:val="5"/>
              <w:keepNext w:val="0"/>
            </w:pPr>
            <w:r>
              <w:t>用于计算水体管理引起的CH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排放量</w:t>
            </w:r>
          </w:p>
        </w:tc>
      </w:tr>
      <w:tr w14:paraId="4CE5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2" w:type="pct"/>
            <w:tcMar>
              <w:top w:w="150" w:type="dxa"/>
              <w:left w:w="0" w:type="dxa"/>
              <w:bottom w:w="150" w:type="dxa"/>
              <w:right w:w="240" w:type="dxa"/>
            </w:tcMar>
            <w:vAlign w:val="center"/>
          </w:tcPr>
          <w:p w14:paraId="67FA78EF">
            <w:pPr>
              <w:pStyle w:val="5"/>
              <w:keepNext w:val="0"/>
              <w:jc w:val="center"/>
              <w:rPr>
                <w:rFonts w:hint="eastAsia" w:ascii="黑体" w:hAnsi="黑体" w:eastAsia="黑体" w:cs="黑体"/>
              </w:rPr>
            </w:pPr>
            <w:r>
              <w:rPr>
                <w:rFonts w:ascii="黑体" w:hAnsi="黑体" w:eastAsia="黑体" w:cs="黑体"/>
              </w:rPr>
              <w:t>备注</w:t>
            </w:r>
          </w:p>
        </w:tc>
        <w:tc>
          <w:tcPr>
            <w:tcW w:w="3207" w:type="pct"/>
            <w:tcMar>
              <w:top w:w="150" w:type="dxa"/>
              <w:left w:w="240" w:type="dxa"/>
              <w:bottom w:w="150" w:type="dxa"/>
              <w:right w:w="0" w:type="dxa"/>
            </w:tcMar>
            <w:vAlign w:val="center"/>
          </w:tcPr>
          <w:p w14:paraId="0EFE4D3B">
            <w:pPr>
              <w:pStyle w:val="5"/>
              <w:keepNext w:val="0"/>
            </w:pPr>
            <w:r>
              <w:t>如项目未进行水位调节等管理活动，该参数取值为0</w:t>
            </w:r>
          </w:p>
        </w:tc>
      </w:tr>
    </w:tbl>
    <w:p w14:paraId="1E4CB8F0">
      <w:pPr>
        <w:pStyle w:val="4"/>
      </w:pPr>
      <w:r>
        <w:t>表3</w:t>
      </w:r>
      <w:r>
        <w:rPr>
          <w:rFonts w:hint="eastAsia"/>
          <w:lang w:val="en-US" w:eastAsia="zh-CN"/>
        </w:rPr>
        <w:t>4</w:t>
      </w:r>
      <w:r>
        <w:t xml:space="preserve"> 土壤扰动CH</w:t>
      </w:r>
      <w:r>
        <w:rPr>
          <w:rFonts w:hint="eastAsia"/>
          <w:vertAlign w:val="subscript"/>
          <w:lang w:val="en-US" w:eastAsia="zh-CN"/>
        </w:rPr>
        <w:t>4</w:t>
      </w:r>
      <w:r>
        <w:t>排放因子</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93"/>
        <w:gridCol w:w="5320"/>
      </w:tblGrid>
      <w:tr w14:paraId="51935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005F8584">
            <w:pPr>
              <w:pStyle w:val="5"/>
              <w:keepNext w:val="0"/>
              <w:jc w:val="center"/>
              <w:rPr>
                <w:rFonts w:hint="eastAsia" w:ascii="黑体" w:hAnsi="黑体" w:eastAsia="黑体" w:cs="黑体"/>
              </w:rPr>
            </w:pPr>
            <w:r>
              <w:rPr>
                <w:rFonts w:ascii="黑体" w:hAnsi="黑体" w:eastAsia="黑体" w:cs="黑体"/>
              </w:rPr>
              <w:t>数据/参数名称</w:t>
            </w:r>
          </w:p>
        </w:tc>
        <w:tc>
          <w:tcPr>
            <w:tcW w:w="3199" w:type="pct"/>
            <w:tcMar>
              <w:top w:w="150" w:type="dxa"/>
              <w:left w:w="240" w:type="dxa"/>
              <w:bottom w:w="150" w:type="dxa"/>
              <w:right w:w="0" w:type="dxa"/>
            </w:tcMar>
            <w:vAlign w:val="center"/>
          </w:tcPr>
          <w:p w14:paraId="6B91C083">
            <w:pPr>
              <w:pStyle w:val="5"/>
              <w:keepNext w:val="0"/>
            </w:pPr>
            <m:oMathPara>
              <m:oMathParaPr>
                <m:jc m:val="left"/>
              </m:oMathParaPr>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r>
                      <m:rPr>
                        <m:sty m:val="p"/>
                      </m:rPr>
                      <w:rPr>
                        <w:rFonts w:ascii="Cambria Math" w:hAnsi="Cambria Math"/>
                      </w:rPr>
                      <m:t>,</m:t>
                    </m:r>
                    <m:r>
                      <m:rPr>
                        <m:sty m:val="p"/>
                      </m:rPr>
                      <w:rPr>
                        <w:rFonts w:hint="eastAsia" w:ascii="Cambria Math" w:hAnsi="Cambria Math"/>
                      </w:rPr>
                      <m:t>soil</m:t>
                    </m:r>
                    <m:ctrlPr>
                      <w:rPr>
                        <w:rFonts w:ascii="Cambria Math" w:hAnsi="Cambria Math"/>
                      </w:rPr>
                    </m:ctrlPr>
                  </m:sub>
                </m:sSub>
              </m:oMath>
            </m:oMathPara>
          </w:p>
        </w:tc>
      </w:tr>
      <w:tr w14:paraId="358C8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1D918F17">
            <w:pPr>
              <w:pStyle w:val="5"/>
              <w:keepNext w:val="0"/>
              <w:jc w:val="center"/>
              <w:rPr>
                <w:rFonts w:hint="eastAsia" w:ascii="黑体" w:hAnsi="黑体" w:eastAsia="黑体" w:cs="黑体"/>
              </w:rPr>
            </w:pPr>
            <w:r>
              <w:rPr>
                <w:rFonts w:ascii="黑体" w:hAnsi="黑体" w:eastAsia="黑体" w:cs="黑体"/>
              </w:rPr>
              <w:t>应用的公式编号</w:t>
            </w:r>
          </w:p>
        </w:tc>
        <w:tc>
          <w:tcPr>
            <w:tcW w:w="3199" w:type="pct"/>
            <w:tcMar>
              <w:top w:w="150" w:type="dxa"/>
              <w:left w:w="240" w:type="dxa"/>
              <w:bottom w:w="150" w:type="dxa"/>
              <w:right w:w="0" w:type="dxa"/>
            </w:tcMar>
            <w:vAlign w:val="center"/>
          </w:tcPr>
          <w:p w14:paraId="742B208C">
            <w:pPr>
              <w:pStyle w:val="5"/>
              <w:keepNext w:val="0"/>
            </w:pPr>
            <w:r>
              <w:t>公式（1</w:t>
            </w:r>
            <w:r>
              <w:rPr>
                <w:rFonts w:hint="eastAsia"/>
              </w:rPr>
              <w:t>8</w:t>
            </w:r>
            <w:r>
              <w:t>）</w:t>
            </w:r>
          </w:p>
        </w:tc>
      </w:tr>
      <w:tr w14:paraId="649E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6B3FE7EC">
            <w:pPr>
              <w:pStyle w:val="5"/>
              <w:keepNext w:val="0"/>
              <w:jc w:val="center"/>
              <w:rPr>
                <w:rFonts w:hint="eastAsia" w:ascii="黑体" w:hAnsi="黑体" w:eastAsia="黑体" w:cs="黑体"/>
              </w:rPr>
            </w:pPr>
            <w:r>
              <w:rPr>
                <w:rFonts w:ascii="黑体" w:hAnsi="黑体" w:eastAsia="黑体" w:cs="黑体"/>
              </w:rPr>
              <w:t>数据描述</w:t>
            </w:r>
          </w:p>
        </w:tc>
        <w:tc>
          <w:tcPr>
            <w:tcW w:w="3199" w:type="pct"/>
            <w:tcMar>
              <w:top w:w="150" w:type="dxa"/>
              <w:left w:w="240" w:type="dxa"/>
              <w:bottom w:w="150" w:type="dxa"/>
              <w:right w:w="0" w:type="dxa"/>
            </w:tcMar>
            <w:vAlign w:val="center"/>
          </w:tcPr>
          <w:p w14:paraId="0DB14485">
            <w:pPr>
              <w:pStyle w:val="5"/>
              <w:keepNext w:val="0"/>
            </w:pPr>
            <w:r>
              <w:t>湿地土壤扰动产生的CH</w:t>
            </w:r>
            <w:r>
              <w:rPr>
                <w:rFonts w:hint="eastAsia"/>
                <w:vertAlign w:val="subscript"/>
                <w:lang w:val="en-US" w:eastAsia="zh-CN"/>
              </w:rPr>
              <w:t>4</w:t>
            </w:r>
            <w:r>
              <w:t>排放因子</w:t>
            </w:r>
          </w:p>
        </w:tc>
      </w:tr>
      <w:tr w14:paraId="3157C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29B599C4">
            <w:pPr>
              <w:pStyle w:val="5"/>
              <w:keepNext w:val="0"/>
              <w:jc w:val="center"/>
              <w:rPr>
                <w:rFonts w:hint="eastAsia" w:ascii="黑体" w:hAnsi="黑体" w:eastAsia="黑体" w:cs="黑体"/>
              </w:rPr>
            </w:pPr>
            <w:r>
              <w:rPr>
                <w:rFonts w:ascii="黑体" w:hAnsi="黑体" w:eastAsia="黑体" w:cs="黑体"/>
              </w:rPr>
              <w:t>数据单位</w:t>
            </w:r>
          </w:p>
        </w:tc>
        <w:tc>
          <w:tcPr>
            <w:tcW w:w="3199" w:type="pct"/>
            <w:tcMar>
              <w:top w:w="150" w:type="dxa"/>
              <w:left w:w="240" w:type="dxa"/>
              <w:bottom w:w="150" w:type="dxa"/>
              <w:right w:w="0" w:type="dxa"/>
            </w:tcMar>
            <w:vAlign w:val="center"/>
          </w:tcPr>
          <w:p w14:paraId="36D8AC53">
            <w:pPr>
              <w:pStyle w:val="5"/>
              <w:keepNext w:val="0"/>
            </w:pPr>
            <w:r>
              <w:t>kg CH</w:t>
            </w:r>
            <w:r>
              <w:rPr>
                <w:rFonts w:hint="eastAsia"/>
                <w:vertAlign w:val="subscript"/>
                <w:lang w:val="en-US" w:eastAsia="zh-CN"/>
              </w:rPr>
              <w:t>4</w:t>
            </w:r>
            <w:r>
              <w:t>/（hm²·a）</w:t>
            </w:r>
          </w:p>
        </w:tc>
      </w:tr>
      <w:tr w14:paraId="4A605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0F9B4FB7">
            <w:pPr>
              <w:pStyle w:val="5"/>
              <w:keepNext w:val="0"/>
              <w:jc w:val="center"/>
              <w:rPr>
                <w:rFonts w:hint="eastAsia" w:ascii="黑体" w:hAnsi="黑体" w:eastAsia="黑体" w:cs="黑体"/>
              </w:rPr>
            </w:pPr>
            <w:r>
              <w:rPr>
                <w:rFonts w:ascii="黑体" w:hAnsi="黑体" w:eastAsia="黑体" w:cs="黑体"/>
              </w:rPr>
              <w:t>数据来源</w:t>
            </w:r>
          </w:p>
        </w:tc>
        <w:tc>
          <w:tcPr>
            <w:tcW w:w="3199" w:type="pct"/>
            <w:tcMar>
              <w:top w:w="150" w:type="dxa"/>
              <w:left w:w="240" w:type="dxa"/>
              <w:bottom w:w="150" w:type="dxa"/>
              <w:right w:w="0" w:type="dxa"/>
            </w:tcMar>
            <w:vAlign w:val="center"/>
          </w:tcPr>
          <w:p w14:paraId="544DDE92">
            <w:pPr>
              <w:pStyle w:val="5"/>
              <w:keepNext w:val="0"/>
            </w:pPr>
            <w:r>
              <w:t>项目业主须按照如下优先顺序选择：</w:t>
            </w:r>
            <w:r>
              <w:br w:type="textWrapping"/>
            </w:r>
            <w:r>
              <w:t>a）南京地区湿地的实测数据；</w:t>
            </w:r>
            <w:r>
              <w:br w:type="textWrapping"/>
            </w:r>
            <w:r>
              <w:t>b）IPCC国家温室气体清单指南缺省值；</w:t>
            </w:r>
            <w:r>
              <w:br w:type="textWrapping"/>
            </w:r>
            <w:r>
              <w:t>c）国内同类研究文献值</w:t>
            </w:r>
          </w:p>
        </w:tc>
      </w:tr>
      <w:tr w14:paraId="18408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6E1B2D4A">
            <w:pPr>
              <w:pStyle w:val="5"/>
              <w:keepNext w:val="0"/>
              <w:jc w:val="center"/>
              <w:rPr>
                <w:rFonts w:hint="eastAsia" w:ascii="黑体" w:hAnsi="黑体" w:eastAsia="黑体" w:cs="黑体"/>
              </w:rPr>
            </w:pPr>
            <w:r>
              <w:rPr>
                <w:rFonts w:ascii="黑体" w:hAnsi="黑体" w:eastAsia="黑体" w:cs="黑体"/>
              </w:rPr>
              <w:t>数据选用的合理性</w:t>
            </w:r>
          </w:p>
        </w:tc>
        <w:tc>
          <w:tcPr>
            <w:tcW w:w="3199" w:type="pct"/>
            <w:tcMar>
              <w:top w:w="150" w:type="dxa"/>
              <w:left w:w="240" w:type="dxa"/>
              <w:bottom w:w="150" w:type="dxa"/>
              <w:right w:w="0" w:type="dxa"/>
            </w:tcMar>
            <w:vAlign w:val="center"/>
          </w:tcPr>
          <w:p w14:paraId="23A551D1">
            <w:pPr>
              <w:pStyle w:val="5"/>
              <w:keepNext w:val="0"/>
            </w:pPr>
            <w:r>
              <w:t>土壤扰动会增加CH</w:t>
            </w:r>
            <w:r>
              <w:rPr>
                <w:rFonts w:hint="eastAsia"/>
                <w:vertAlign w:val="subscript"/>
                <w:lang w:val="en-US" w:eastAsia="zh-CN"/>
              </w:rPr>
              <w:t>4</w:t>
            </w:r>
            <w:r>
              <w:t>排放，采用本地排放因子可提高核算准确性</w:t>
            </w:r>
          </w:p>
        </w:tc>
      </w:tr>
      <w:tr w14:paraId="75B61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7DC79030">
            <w:pPr>
              <w:pStyle w:val="5"/>
              <w:keepNext w:val="0"/>
              <w:jc w:val="center"/>
              <w:rPr>
                <w:rFonts w:hint="eastAsia" w:ascii="黑体" w:hAnsi="黑体" w:eastAsia="黑体" w:cs="黑体"/>
              </w:rPr>
            </w:pPr>
            <w:r>
              <w:rPr>
                <w:rFonts w:ascii="黑体" w:hAnsi="黑体" w:eastAsia="黑体" w:cs="黑体"/>
              </w:rPr>
              <w:t>数值（如有）</w:t>
            </w:r>
          </w:p>
        </w:tc>
        <w:tc>
          <w:tcPr>
            <w:tcW w:w="3199" w:type="pct"/>
            <w:tcMar>
              <w:top w:w="150" w:type="dxa"/>
              <w:left w:w="240" w:type="dxa"/>
              <w:bottom w:w="150" w:type="dxa"/>
              <w:right w:w="0" w:type="dxa"/>
            </w:tcMar>
            <w:vAlign w:val="center"/>
          </w:tcPr>
          <w:p w14:paraId="6BF37400">
            <w:pPr>
              <w:pStyle w:val="5"/>
              <w:keepNext w:val="0"/>
            </w:pPr>
            <w:r>
              <w:t>优先采用南京地区实测值，若无则采用IPCC缺省值</w:t>
            </w:r>
          </w:p>
        </w:tc>
      </w:tr>
      <w:tr w14:paraId="5D069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660B027B">
            <w:pPr>
              <w:pStyle w:val="5"/>
              <w:keepNext w:val="0"/>
              <w:jc w:val="center"/>
              <w:rPr>
                <w:rFonts w:hint="eastAsia" w:ascii="黑体" w:hAnsi="黑体" w:eastAsia="黑体" w:cs="黑体"/>
              </w:rPr>
            </w:pPr>
            <w:r>
              <w:rPr>
                <w:rFonts w:ascii="黑体" w:hAnsi="黑体" w:eastAsia="黑体" w:cs="黑体"/>
              </w:rPr>
              <w:t>数据用途</w:t>
            </w:r>
          </w:p>
        </w:tc>
        <w:tc>
          <w:tcPr>
            <w:tcW w:w="3199" w:type="pct"/>
            <w:tcMar>
              <w:top w:w="150" w:type="dxa"/>
              <w:left w:w="240" w:type="dxa"/>
              <w:bottom w:w="150" w:type="dxa"/>
              <w:right w:w="0" w:type="dxa"/>
            </w:tcMar>
            <w:vAlign w:val="center"/>
          </w:tcPr>
          <w:p w14:paraId="4F6B28BC">
            <w:pPr>
              <w:pStyle w:val="5"/>
              <w:keepNext w:val="0"/>
            </w:pPr>
            <w:r>
              <w:t>用于计算土壤扰动引起的CH</w:t>
            </w:r>
            <w:r>
              <w:rPr>
                <w:rFonts w:hint="eastAsia"/>
                <w:vertAlign w:val="subscript"/>
                <w:lang w:val="en-US" w:eastAsia="zh-CN"/>
              </w:rPr>
              <w:t>4</w:t>
            </w:r>
            <w:r>
              <w:t>排放量</w:t>
            </w:r>
          </w:p>
        </w:tc>
      </w:tr>
      <w:tr w14:paraId="5CE25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61F76A52">
            <w:pPr>
              <w:pStyle w:val="5"/>
              <w:keepNext w:val="0"/>
              <w:jc w:val="center"/>
              <w:rPr>
                <w:rFonts w:hint="eastAsia" w:ascii="黑体" w:hAnsi="黑体" w:eastAsia="黑体" w:cs="黑体"/>
              </w:rPr>
            </w:pPr>
            <w:r>
              <w:rPr>
                <w:rFonts w:ascii="黑体" w:hAnsi="黑体" w:eastAsia="黑体" w:cs="黑体"/>
              </w:rPr>
              <w:t>备注</w:t>
            </w:r>
          </w:p>
        </w:tc>
        <w:tc>
          <w:tcPr>
            <w:tcW w:w="3199" w:type="pct"/>
            <w:tcMar>
              <w:top w:w="150" w:type="dxa"/>
              <w:left w:w="240" w:type="dxa"/>
              <w:bottom w:w="150" w:type="dxa"/>
              <w:right w:w="0" w:type="dxa"/>
            </w:tcMar>
            <w:vAlign w:val="center"/>
          </w:tcPr>
          <w:p w14:paraId="6BB6BFA0">
            <w:pPr>
              <w:pStyle w:val="5"/>
              <w:keepNext w:val="0"/>
            </w:pPr>
            <w:r>
              <w:t>按不同扰动类型（整地、翻耕、基质改良）分别取值</w:t>
            </w:r>
          </w:p>
        </w:tc>
      </w:tr>
    </w:tbl>
    <w:p w14:paraId="7214FD6B">
      <w:pPr>
        <w:pStyle w:val="4"/>
      </w:pPr>
      <w:r>
        <w:t>表3</w:t>
      </w:r>
      <w:r>
        <w:rPr>
          <w:rFonts w:hint="eastAsia"/>
          <w:lang w:val="en-US" w:eastAsia="zh-CN"/>
        </w:rPr>
        <w:t>5</w:t>
      </w:r>
      <w:r>
        <w:t xml:space="preserve"> 土壤扰动</w:t>
      </w:r>
      <w:r>
        <w:rPr>
          <w:rFonts w:cs="Times New Roman"/>
        </w:rPr>
        <w:t>N</w:t>
      </w:r>
      <w:r>
        <w:rPr>
          <w:rFonts w:hint="eastAsia" w:cs="Times New Roman"/>
          <w:vertAlign w:val="subscript"/>
          <w:lang w:val="en-US" w:eastAsia="zh-CN"/>
        </w:rPr>
        <w:t>2</w:t>
      </w:r>
      <w:r>
        <w:rPr>
          <w:rFonts w:cs="Times New Roman"/>
        </w:rPr>
        <w:t>O</w:t>
      </w:r>
      <w:r>
        <w:t>排放因子</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81"/>
        <w:gridCol w:w="5332"/>
      </w:tblGrid>
      <w:tr w14:paraId="516C8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2A4AD5FA">
            <w:pPr>
              <w:pStyle w:val="5"/>
              <w:keepNext w:val="0"/>
              <w:jc w:val="center"/>
              <w:rPr>
                <w:rFonts w:hint="eastAsia" w:ascii="黑体" w:hAnsi="黑体" w:eastAsia="黑体" w:cs="黑体"/>
              </w:rPr>
            </w:pPr>
            <w:r>
              <w:rPr>
                <w:rFonts w:ascii="黑体" w:hAnsi="黑体" w:eastAsia="黑体" w:cs="黑体"/>
              </w:rPr>
              <w:t>数据/参数名称</w:t>
            </w:r>
          </w:p>
        </w:tc>
        <w:tc>
          <w:tcPr>
            <w:tcW w:w="3206" w:type="pct"/>
            <w:tcMar>
              <w:top w:w="150" w:type="dxa"/>
              <w:left w:w="240" w:type="dxa"/>
              <w:bottom w:w="150" w:type="dxa"/>
              <w:right w:w="0" w:type="dxa"/>
            </w:tcMar>
            <w:vAlign w:val="center"/>
          </w:tcPr>
          <w:p w14:paraId="13FFA513">
            <w:pPr>
              <w:pStyle w:val="5"/>
              <w:keepNext w:val="0"/>
            </w:pPr>
            <m:oMathPara>
              <m:oMathParaPr>
                <m:jc m:val="left"/>
              </m:oMathParaPr>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r>
                      <m:rPr>
                        <m:sty m:val="p"/>
                      </m:rPr>
                      <w:rPr>
                        <w:rFonts w:hint="eastAsia" w:ascii="Cambria Math" w:hAnsi="Cambria Math"/>
                      </w:rPr>
                      <m:t>soil</m:t>
                    </m:r>
                    <m:ctrlPr>
                      <w:rPr>
                        <w:rFonts w:ascii="Cambria Math" w:hAnsi="Cambria Math"/>
                      </w:rPr>
                    </m:ctrlPr>
                  </m:sub>
                </m:sSub>
              </m:oMath>
            </m:oMathPara>
          </w:p>
        </w:tc>
      </w:tr>
      <w:tr w14:paraId="5CA20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4BA251EF">
            <w:pPr>
              <w:pStyle w:val="5"/>
              <w:keepNext w:val="0"/>
              <w:jc w:val="center"/>
              <w:rPr>
                <w:rFonts w:hint="eastAsia" w:ascii="黑体" w:hAnsi="黑体" w:eastAsia="黑体" w:cs="黑体"/>
              </w:rPr>
            </w:pPr>
            <w:r>
              <w:rPr>
                <w:rFonts w:ascii="黑体" w:hAnsi="黑体" w:eastAsia="黑体" w:cs="黑体"/>
              </w:rPr>
              <w:t>应用的公式编号</w:t>
            </w:r>
          </w:p>
        </w:tc>
        <w:tc>
          <w:tcPr>
            <w:tcW w:w="3206" w:type="pct"/>
            <w:tcMar>
              <w:top w:w="150" w:type="dxa"/>
              <w:left w:w="240" w:type="dxa"/>
              <w:bottom w:w="150" w:type="dxa"/>
              <w:right w:w="0" w:type="dxa"/>
            </w:tcMar>
            <w:vAlign w:val="center"/>
          </w:tcPr>
          <w:p w14:paraId="2D2E19D6">
            <w:pPr>
              <w:pStyle w:val="5"/>
              <w:keepNext w:val="0"/>
            </w:pPr>
            <w:r>
              <w:t>公式（1</w:t>
            </w:r>
            <w:r>
              <w:rPr>
                <w:rFonts w:hint="eastAsia"/>
              </w:rPr>
              <w:t>8</w:t>
            </w:r>
            <w:r>
              <w:t>）</w:t>
            </w:r>
          </w:p>
        </w:tc>
      </w:tr>
      <w:tr w14:paraId="08F36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4E4DA22E">
            <w:pPr>
              <w:pStyle w:val="5"/>
              <w:keepNext w:val="0"/>
              <w:jc w:val="center"/>
              <w:rPr>
                <w:rFonts w:hint="eastAsia" w:ascii="黑体" w:hAnsi="黑体" w:eastAsia="黑体" w:cs="黑体"/>
              </w:rPr>
            </w:pPr>
            <w:r>
              <w:rPr>
                <w:rFonts w:ascii="黑体" w:hAnsi="黑体" w:eastAsia="黑体" w:cs="黑体"/>
              </w:rPr>
              <w:t>数据描述</w:t>
            </w:r>
          </w:p>
        </w:tc>
        <w:tc>
          <w:tcPr>
            <w:tcW w:w="3206" w:type="pct"/>
            <w:tcMar>
              <w:top w:w="150" w:type="dxa"/>
              <w:left w:w="240" w:type="dxa"/>
              <w:bottom w:w="150" w:type="dxa"/>
              <w:right w:w="0" w:type="dxa"/>
            </w:tcMar>
            <w:vAlign w:val="center"/>
          </w:tcPr>
          <w:p w14:paraId="135397CE">
            <w:pPr>
              <w:pStyle w:val="5"/>
              <w:keepNext w:val="0"/>
            </w:pPr>
            <w:r>
              <w:t>湿地土壤扰动产生的</w:t>
            </w:r>
            <w:r>
              <w:rPr>
                <w:rFonts w:cs="Times New Roman"/>
              </w:rPr>
              <w:t>N</w:t>
            </w:r>
            <w:r>
              <w:rPr>
                <w:rFonts w:hint="eastAsia" w:cs="Times New Roman"/>
                <w:vertAlign w:val="subscript"/>
                <w:lang w:val="en-US" w:eastAsia="zh-CN"/>
              </w:rPr>
              <w:t>2</w:t>
            </w:r>
            <w:r>
              <w:rPr>
                <w:rFonts w:cs="Times New Roman"/>
              </w:rPr>
              <w:t>O</w:t>
            </w:r>
            <w:r>
              <w:t>排放因子</w:t>
            </w:r>
          </w:p>
        </w:tc>
      </w:tr>
      <w:tr w14:paraId="57CC2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7D8A49AC">
            <w:pPr>
              <w:pStyle w:val="5"/>
              <w:keepNext w:val="0"/>
              <w:jc w:val="center"/>
              <w:rPr>
                <w:rFonts w:hint="eastAsia" w:ascii="黑体" w:hAnsi="黑体" w:eastAsia="黑体" w:cs="黑体"/>
              </w:rPr>
            </w:pPr>
            <w:r>
              <w:rPr>
                <w:rFonts w:ascii="黑体" w:hAnsi="黑体" w:eastAsia="黑体" w:cs="黑体"/>
              </w:rPr>
              <w:t>数据单位</w:t>
            </w:r>
          </w:p>
        </w:tc>
        <w:tc>
          <w:tcPr>
            <w:tcW w:w="3206" w:type="pct"/>
            <w:tcMar>
              <w:top w:w="150" w:type="dxa"/>
              <w:left w:w="240" w:type="dxa"/>
              <w:bottom w:w="150" w:type="dxa"/>
              <w:right w:w="0" w:type="dxa"/>
            </w:tcMar>
            <w:vAlign w:val="center"/>
          </w:tcPr>
          <w:p w14:paraId="3D393C54">
            <w:pPr>
              <w:pStyle w:val="5"/>
              <w:keepNext w:val="0"/>
            </w:pPr>
            <w:r>
              <w:t xml:space="preserve">kg </w:t>
            </w:r>
            <w:r>
              <w:rPr>
                <w:rFonts w:cs="Times New Roman"/>
              </w:rPr>
              <w:t>N</w:t>
            </w:r>
            <w:r>
              <w:rPr>
                <w:rFonts w:hint="eastAsia" w:cs="Times New Roman"/>
                <w:vertAlign w:val="subscript"/>
                <w:lang w:val="en-US" w:eastAsia="zh-CN"/>
              </w:rPr>
              <w:t>2</w:t>
            </w:r>
            <w:r>
              <w:rPr>
                <w:rFonts w:cs="Times New Roman"/>
              </w:rPr>
              <w:t>O</w:t>
            </w:r>
            <w:r>
              <w:t>/（hm²·a）</w:t>
            </w:r>
          </w:p>
        </w:tc>
      </w:tr>
      <w:tr w14:paraId="2F5B1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4EA4DE37">
            <w:pPr>
              <w:pStyle w:val="5"/>
              <w:keepNext w:val="0"/>
              <w:jc w:val="center"/>
              <w:rPr>
                <w:rFonts w:hint="eastAsia" w:ascii="黑体" w:hAnsi="黑体" w:eastAsia="黑体" w:cs="黑体"/>
              </w:rPr>
            </w:pPr>
            <w:r>
              <w:rPr>
                <w:rFonts w:ascii="黑体" w:hAnsi="黑体" w:eastAsia="黑体" w:cs="黑体"/>
              </w:rPr>
              <w:t>数据来源</w:t>
            </w:r>
          </w:p>
        </w:tc>
        <w:tc>
          <w:tcPr>
            <w:tcW w:w="3206" w:type="pct"/>
            <w:tcMar>
              <w:top w:w="150" w:type="dxa"/>
              <w:left w:w="240" w:type="dxa"/>
              <w:bottom w:w="150" w:type="dxa"/>
              <w:right w:w="0" w:type="dxa"/>
            </w:tcMar>
            <w:vAlign w:val="center"/>
          </w:tcPr>
          <w:p w14:paraId="25EDD041">
            <w:pPr>
              <w:pStyle w:val="5"/>
              <w:keepNext w:val="0"/>
            </w:pPr>
            <w:r>
              <w:t>项目业主须按照如下优先顺序选择：</w:t>
            </w:r>
            <w:r>
              <w:br w:type="textWrapping"/>
            </w:r>
            <w:r>
              <w:t>a）南京地区湿地的实测数据；</w:t>
            </w:r>
            <w:r>
              <w:br w:type="textWrapping"/>
            </w:r>
            <w:r>
              <w:t>b）IPCC国家温室气体清单指南缺省值；</w:t>
            </w:r>
            <w:r>
              <w:br w:type="textWrapping"/>
            </w:r>
            <w:r>
              <w:t>c）国内同类研究文献值</w:t>
            </w:r>
          </w:p>
        </w:tc>
      </w:tr>
      <w:tr w14:paraId="709AB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53FA61DC">
            <w:pPr>
              <w:pStyle w:val="5"/>
              <w:keepNext w:val="0"/>
              <w:jc w:val="center"/>
              <w:rPr>
                <w:rFonts w:hint="eastAsia" w:ascii="黑体" w:hAnsi="黑体" w:eastAsia="黑体" w:cs="黑体"/>
              </w:rPr>
            </w:pPr>
            <w:r>
              <w:rPr>
                <w:rFonts w:ascii="黑体" w:hAnsi="黑体" w:eastAsia="黑体" w:cs="黑体"/>
              </w:rPr>
              <w:t>数据选用的合理性</w:t>
            </w:r>
          </w:p>
        </w:tc>
        <w:tc>
          <w:tcPr>
            <w:tcW w:w="3206" w:type="pct"/>
            <w:tcMar>
              <w:top w:w="150" w:type="dxa"/>
              <w:left w:w="240" w:type="dxa"/>
              <w:bottom w:w="150" w:type="dxa"/>
              <w:right w:w="0" w:type="dxa"/>
            </w:tcMar>
            <w:vAlign w:val="center"/>
          </w:tcPr>
          <w:p w14:paraId="47891295">
            <w:pPr>
              <w:pStyle w:val="5"/>
              <w:keepNext w:val="0"/>
            </w:pPr>
            <w:r>
              <w:t>土壤扰动会增加</w:t>
            </w:r>
            <w:r>
              <w:rPr>
                <w:rFonts w:cs="Times New Roman"/>
              </w:rPr>
              <w:t>N</w:t>
            </w:r>
            <w:r>
              <w:rPr>
                <w:rFonts w:hint="eastAsia" w:cs="Times New Roman"/>
                <w:vertAlign w:val="subscript"/>
                <w:lang w:val="en-US" w:eastAsia="zh-CN"/>
              </w:rPr>
              <w:t>2</w:t>
            </w:r>
            <w:r>
              <w:rPr>
                <w:rFonts w:cs="Times New Roman"/>
              </w:rPr>
              <w:t>O</w:t>
            </w:r>
            <w:r>
              <w:t>排放，采用本地排放因子可提高核算准确性</w:t>
            </w:r>
          </w:p>
        </w:tc>
      </w:tr>
      <w:tr w14:paraId="0014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7ADB3366">
            <w:pPr>
              <w:pStyle w:val="5"/>
              <w:keepNext w:val="0"/>
              <w:jc w:val="center"/>
              <w:rPr>
                <w:rFonts w:hint="eastAsia" w:ascii="黑体" w:hAnsi="黑体" w:eastAsia="黑体" w:cs="黑体"/>
              </w:rPr>
            </w:pPr>
            <w:r>
              <w:rPr>
                <w:rFonts w:ascii="黑体" w:hAnsi="黑体" w:eastAsia="黑体" w:cs="黑体"/>
              </w:rPr>
              <w:t>数值（如有）</w:t>
            </w:r>
          </w:p>
        </w:tc>
        <w:tc>
          <w:tcPr>
            <w:tcW w:w="3206" w:type="pct"/>
            <w:tcMar>
              <w:top w:w="150" w:type="dxa"/>
              <w:left w:w="240" w:type="dxa"/>
              <w:bottom w:w="150" w:type="dxa"/>
              <w:right w:w="0" w:type="dxa"/>
            </w:tcMar>
            <w:vAlign w:val="center"/>
          </w:tcPr>
          <w:p w14:paraId="464FD7C0">
            <w:pPr>
              <w:pStyle w:val="5"/>
              <w:keepNext w:val="0"/>
            </w:pPr>
            <w:r>
              <w:t>优先采用南京地区实测值，若无则采用IPCC缺省值</w:t>
            </w:r>
          </w:p>
        </w:tc>
      </w:tr>
      <w:tr w14:paraId="17A86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360207A2">
            <w:pPr>
              <w:pStyle w:val="5"/>
              <w:keepNext w:val="0"/>
              <w:jc w:val="center"/>
              <w:rPr>
                <w:rFonts w:hint="eastAsia" w:ascii="黑体" w:hAnsi="黑体" w:eastAsia="黑体" w:cs="黑体"/>
              </w:rPr>
            </w:pPr>
            <w:r>
              <w:rPr>
                <w:rFonts w:ascii="黑体" w:hAnsi="黑体" w:eastAsia="黑体" w:cs="黑体"/>
              </w:rPr>
              <w:t>数据用途</w:t>
            </w:r>
          </w:p>
        </w:tc>
        <w:tc>
          <w:tcPr>
            <w:tcW w:w="3206" w:type="pct"/>
            <w:tcMar>
              <w:top w:w="150" w:type="dxa"/>
              <w:left w:w="240" w:type="dxa"/>
              <w:bottom w:w="150" w:type="dxa"/>
              <w:right w:w="0" w:type="dxa"/>
            </w:tcMar>
            <w:vAlign w:val="center"/>
          </w:tcPr>
          <w:p w14:paraId="06EB9B10">
            <w:pPr>
              <w:pStyle w:val="5"/>
              <w:keepNext w:val="0"/>
            </w:pPr>
            <w:r>
              <w:t>用于计算土壤扰动引起的</w:t>
            </w:r>
            <w:r>
              <w:rPr>
                <w:rFonts w:cs="Times New Roman"/>
              </w:rPr>
              <w:t>N</w:t>
            </w:r>
            <w:r>
              <w:rPr>
                <w:rFonts w:hint="eastAsia" w:cs="Times New Roman"/>
                <w:vertAlign w:val="subscript"/>
                <w:lang w:val="en-US" w:eastAsia="zh-CN"/>
              </w:rPr>
              <w:t>2</w:t>
            </w:r>
            <w:r>
              <w:rPr>
                <w:rFonts w:cs="Times New Roman"/>
              </w:rPr>
              <w:t>O</w:t>
            </w:r>
            <w:r>
              <w:t>排放量</w:t>
            </w:r>
          </w:p>
        </w:tc>
      </w:tr>
      <w:tr w14:paraId="1835F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31AA5C95">
            <w:pPr>
              <w:pStyle w:val="5"/>
              <w:keepNext w:val="0"/>
              <w:jc w:val="center"/>
              <w:rPr>
                <w:rFonts w:hint="eastAsia" w:ascii="黑体" w:hAnsi="黑体" w:eastAsia="黑体" w:cs="黑体"/>
              </w:rPr>
            </w:pPr>
            <w:r>
              <w:rPr>
                <w:rFonts w:ascii="黑体" w:hAnsi="黑体" w:eastAsia="黑体" w:cs="黑体"/>
              </w:rPr>
              <w:t>备注</w:t>
            </w:r>
          </w:p>
        </w:tc>
        <w:tc>
          <w:tcPr>
            <w:tcW w:w="3206" w:type="pct"/>
            <w:tcMar>
              <w:top w:w="150" w:type="dxa"/>
              <w:left w:w="240" w:type="dxa"/>
              <w:bottom w:w="150" w:type="dxa"/>
              <w:right w:w="0" w:type="dxa"/>
            </w:tcMar>
            <w:vAlign w:val="center"/>
          </w:tcPr>
          <w:p w14:paraId="6FAE9924">
            <w:pPr>
              <w:pStyle w:val="5"/>
              <w:keepNext w:val="0"/>
            </w:pPr>
            <w:r>
              <w:t>按不同扰动类型（整地、翻耕、基质改良）分别取值</w:t>
            </w:r>
          </w:p>
        </w:tc>
      </w:tr>
    </w:tbl>
    <w:p w14:paraId="6898FBDE">
      <w:pPr>
        <w:pStyle w:val="4"/>
      </w:pPr>
      <w:r>
        <w:t>表3</w:t>
      </w:r>
      <w:r>
        <w:rPr>
          <w:rFonts w:hint="eastAsia"/>
          <w:lang w:val="en-US" w:eastAsia="zh-CN"/>
        </w:rPr>
        <w:t>6</w:t>
      </w:r>
      <w:r>
        <w:t xml:space="preserve"> 水体管理CH</w:t>
      </w:r>
      <w:r>
        <w:rPr>
          <w:rFonts w:hint="eastAsia"/>
          <w:vertAlign w:val="subscript"/>
          <w:lang w:val="en-US" w:eastAsia="zh-CN"/>
        </w:rPr>
        <w:t>4</w:t>
      </w:r>
      <w:r>
        <w:t>排放因子</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81"/>
        <w:gridCol w:w="5332"/>
      </w:tblGrid>
      <w:tr w14:paraId="008A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50036B15">
            <w:pPr>
              <w:pStyle w:val="5"/>
              <w:keepNext w:val="0"/>
              <w:jc w:val="center"/>
              <w:rPr>
                <w:rFonts w:hint="eastAsia" w:ascii="黑体" w:hAnsi="黑体" w:eastAsia="黑体" w:cs="黑体"/>
              </w:rPr>
            </w:pPr>
            <w:r>
              <w:rPr>
                <w:rFonts w:ascii="黑体" w:hAnsi="黑体" w:eastAsia="黑体" w:cs="黑体"/>
              </w:rPr>
              <w:t>数据/参数名称</w:t>
            </w:r>
          </w:p>
        </w:tc>
        <w:tc>
          <w:tcPr>
            <w:tcW w:w="3206" w:type="pct"/>
            <w:tcMar>
              <w:top w:w="150" w:type="dxa"/>
              <w:left w:w="240" w:type="dxa"/>
              <w:bottom w:w="150" w:type="dxa"/>
              <w:right w:w="0" w:type="dxa"/>
            </w:tcMar>
            <w:vAlign w:val="center"/>
          </w:tcPr>
          <w:p w14:paraId="2E2FF300">
            <w:pPr>
              <w:pStyle w:val="5"/>
              <w:keepNext w:val="0"/>
            </w:pPr>
            <m:oMathPara>
              <m:oMathParaPr>
                <m:jc m:val="left"/>
              </m:oMathParaPr>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CH</m:t>
                        </m:r>
                        <m:ctrlPr>
                          <w:rPr>
                            <w:rFonts w:ascii="Cambria Math" w:hAnsi="Cambria Math"/>
                          </w:rPr>
                        </m:ctrlPr>
                      </m:e>
                      <m:sub>
                        <m:r>
                          <m:rPr>
                            <m:sty m:val="p"/>
                          </m:rPr>
                          <w:rPr>
                            <w:rFonts w:ascii="Cambria Math" w:hAnsi="Cambria Math"/>
                          </w:rPr>
                          <m:t>4</m:t>
                        </m:r>
                        <m:ctrlPr>
                          <w:rPr>
                            <w:rFonts w:ascii="Cambria Math" w:hAnsi="Cambria Math"/>
                          </w:rPr>
                        </m:ctrlPr>
                      </m:sub>
                    </m:sSub>
                    <m:r>
                      <m:rPr>
                        <m:sty m:val="p"/>
                      </m:rPr>
                      <w:rPr>
                        <w:rFonts w:ascii="Cambria Math" w:hAnsi="Cambria Math"/>
                      </w:rPr>
                      <m:t>,</m:t>
                    </m:r>
                    <m:r>
                      <m:rPr>
                        <m:sty m:val="p"/>
                      </m:rPr>
                      <w:rPr>
                        <w:rFonts w:hint="eastAsia" w:ascii="Cambria Math" w:hAnsi="Cambria Math"/>
                      </w:rPr>
                      <m:t>water</m:t>
                    </m:r>
                    <m:ctrlPr>
                      <w:rPr>
                        <w:rFonts w:ascii="Cambria Math" w:hAnsi="Cambria Math"/>
                      </w:rPr>
                    </m:ctrlPr>
                  </m:sub>
                </m:sSub>
              </m:oMath>
            </m:oMathPara>
          </w:p>
        </w:tc>
      </w:tr>
      <w:tr w14:paraId="7B11C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4B8E2722">
            <w:pPr>
              <w:pStyle w:val="5"/>
              <w:keepNext w:val="0"/>
              <w:jc w:val="center"/>
              <w:rPr>
                <w:rFonts w:hint="eastAsia" w:ascii="黑体" w:hAnsi="黑体" w:eastAsia="黑体" w:cs="黑体"/>
              </w:rPr>
            </w:pPr>
            <w:r>
              <w:rPr>
                <w:rFonts w:ascii="黑体" w:hAnsi="黑体" w:eastAsia="黑体" w:cs="黑体"/>
              </w:rPr>
              <w:t>应用的公式编号</w:t>
            </w:r>
          </w:p>
        </w:tc>
        <w:tc>
          <w:tcPr>
            <w:tcW w:w="3206" w:type="pct"/>
            <w:tcMar>
              <w:top w:w="150" w:type="dxa"/>
              <w:left w:w="240" w:type="dxa"/>
              <w:bottom w:w="150" w:type="dxa"/>
              <w:right w:w="0" w:type="dxa"/>
            </w:tcMar>
            <w:vAlign w:val="center"/>
          </w:tcPr>
          <w:p w14:paraId="27802B81">
            <w:pPr>
              <w:pStyle w:val="5"/>
              <w:keepNext w:val="0"/>
            </w:pPr>
            <w:r>
              <w:t>公式（1</w:t>
            </w:r>
            <w:r>
              <w:rPr>
                <w:rFonts w:hint="eastAsia"/>
              </w:rPr>
              <w:t>9</w:t>
            </w:r>
            <w:r>
              <w:t>）</w:t>
            </w:r>
          </w:p>
        </w:tc>
      </w:tr>
      <w:tr w14:paraId="2CEA5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73C872AC">
            <w:pPr>
              <w:pStyle w:val="5"/>
              <w:keepNext w:val="0"/>
              <w:jc w:val="center"/>
              <w:rPr>
                <w:rFonts w:hint="eastAsia" w:ascii="黑体" w:hAnsi="黑体" w:eastAsia="黑体" w:cs="黑体"/>
              </w:rPr>
            </w:pPr>
            <w:r>
              <w:rPr>
                <w:rFonts w:ascii="黑体" w:hAnsi="黑体" w:eastAsia="黑体" w:cs="黑体"/>
              </w:rPr>
              <w:t>数据描述</w:t>
            </w:r>
          </w:p>
        </w:tc>
        <w:tc>
          <w:tcPr>
            <w:tcW w:w="3206" w:type="pct"/>
            <w:tcMar>
              <w:top w:w="150" w:type="dxa"/>
              <w:left w:w="240" w:type="dxa"/>
              <w:bottom w:w="150" w:type="dxa"/>
              <w:right w:w="0" w:type="dxa"/>
            </w:tcMar>
            <w:vAlign w:val="center"/>
          </w:tcPr>
          <w:p w14:paraId="6BE435A1">
            <w:pPr>
              <w:pStyle w:val="5"/>
              <w:keepNext w:val="0"/>
            </w:pPr>
            <w:r>
              <w:t>湿地水体管理产生的CH</w:t>
            </w:r>
            <w:r>
              <w:rPr>
                <w:rFonts w:hint="eastAsia"/>
                <w:vertAlign w:val="subscript"/>
                <w:lang w:val="en-US" w:eastAsia="zh-CN"/>
              </w:rPr>
              <w:t>4</w:t>
            </w:r>
            <w:r>
              <w:t>排放因子</w:t>
            </w:r>
          </w:p>
        </w:tc>
      </w:tr>
      <w:tr w14:paraId="1A411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356AE3CB">
            <w:pPr>
              <w:pStyle w:val="5"/>
              <w:keepNext w:val="0"/>
              <w:jc w:val="center"/>
              <w:rPr>
                <w:rFonts w:hint="eastAsia" w:ascii="黑体" w:hAnsi="黑体" w:eastAsia="黑体" w:cs="黑体"/>
              </w:rPr>
            </w:pPr>
            <w:r>
              <w:rPr>
                <w:rFonts w:ascii="黑体" w:hAnsi="黑体" w:eastAsia="黑体" w:cs="黑体"/>
              </w:rPr>
              <w:t>数据单位</w:t>
            </w:r>
          </w:p>
        </w:tc>
        <w:tc>
          <w:tcPr>
            <w:tcW w:w="3206" w:type="pct"/>
            <w:tcMar>
              <w:top w:w="150" w:type="dxa"/>
              <w:left w:w="240" w:type="dxa"/>
              <w:bottom w:w="150" w:type="dxa"/>
              <w:right w:w="0" w:type="dxa"/>
            </w:tcMar>
            <w:vAlign w:val="center"/>
          </w:tcPr>
          <w:p w14:paraId="60B1A62E">
            <w:pPr>
              <w:pStyle w:val="5"/>
              <w:keepNext w:val="0"/>
            </w:pPr>
            <w:r>
              <w:t>kg CH</w:t>
            </w:r>
            <w:r>
              <w:rPr>
                <w:rFonts w:hint="eastAsia"/>
                <w:vertAlign w:val="subscript"/>
                <w:lang w:val="en-US" w:eastAsia="zh-CN"/>
              </w:rPr>
              <w:t>4</w:t>
            </w:r>
            <w:r>
              <w:t>/（hm²·a）</w:t>
            </w:r>
          </w:p>
        </w:tc>
      </w:tr>
      <w:tr w14:paraId="44341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4F48AF57">
            <w:pPr>
              <w:pStyle w:val="5"/>
              <w:keepNext w:val="0"/>
              <w:jc w:val="center"/>
              <w:rPr>
                <w:rFonts w:hint="eastAsia" w:ascii="黑体" w:hAnsi="黑体" w:eastAsia="黑体" w:cs="黑体"/>
              </w:rPr>
            </w:pPr>
            <w:r>
              <w:rPr>
                <w:rFonts w:ascii="黑体" w:hAnsi="黑体" w:eastAsia="黑体" w:cs="黑体"/>
              </w:rPr>
              <w:t>数据来源</w:t>
            </w:r>
          </w:p>
        </w:tc>
        <w:tc>
          <w:tcPr>
            <w:tcW w:w="3206" w:type="pct"/>
            <w:tcMar>
              <w:top w:w="150" w:type="dxa"/>
              <w:left w:w="240" w:type="dxa"/>
              <w:bottom w:w="150" w:type="dxa"/>
              <w:right w:w="0" w:type="dxa"/>
            </w:tcMar>
            <w:vAlign w:val="center"/>
          </w:tcPr>
          <w:p w14:paraId="327B6DE7">
            <w:pPr>
              <w:pStyle w:val="5"/>
              <w:keepNext w:val="0"/>
            </w:pPr>
            <w:r>
              <w:t>项目业主须按照如下优先顺序选择：</w:t>
            </w:r>
            <w:r>
              <w:br w:type="textWrapping"/>
            </w:r>
            <w:r>
              <w:t>a）南京地区湿地的实测数据；</w:t>
            </w:r>
            <w:r>
              <w:br w:type="textWrapping"/>
            </w:r>
            <w:r>
              <w:t>b）IPCC国家温室气体清单指南缺省值；</w:t>
            </w:r>
            <w:r>
              <w:br w:type="textWrapping"/>
            </w:r>
            <w:r>
              <w:t>c）国内同类研究文献值</w:t>
            </w:r>
          </w:p>
        </w:tc>
      </w:tr>
      <w:tr w14:paraId="4767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1CE98ED9">
            <w:pPr>
              <w:pStyle w:val="5"/>
              <w:keepNext w:val="0"/>
              <w:jc w:val="center"/>
              <w:rPr>
                <w:rFonts w:hint="eastAsia" w:ascii="黑体" w:hAnsi="黑体" w:eastAsia="黑体" w:cs="黑体"/>
              </w:rPr>
            </w:pPr>
            <w:r>
              <w:rPr>
                <w:rFonts w:ascii="黑体" w:hAnsi="黑体" w:eastAsia="黑体" w:cs="黑体"/>
              </w:rPr>
              <w:t>数据选用的合理性</w:t>
            </w:r>
          </w:p>
        </w:tc>
        <w:tc>
          <w:tcPr>
            <w:tcW w:w="3206" w:type="pct"/>
            <w:tcMar>
              <w:top w:w="150" w:type="dxa"/>
              <w:left w:w="240" w:type="dxa"/>
              <w:bottom w:w="150" w:type="dxa"/>
              <w:right w:w="0" w:type="dxa"/>
            </w:tcMar>
            <w:vAlign w:val="center"/>
          </w:tcPr>
          <w:p w14:paraId="4719E4B6">
            <w:pPr>
              <w:pStyle w:val="5"/>
              <w:keepNext w:val="0"/>
            </w:pPr>
            <w:r>
              <w:t>水位调节等管理活动会影响CH</w:t>
            </w:r>
            <w:r>
              <w:rPr>
                <w:rFonts w:hint="eastAsia"/>
                <w:vertAlign w:val="subscript"/>
                <w:lang w:val="en-US" w:eastAsia="zh-CN"/>
              </w:rPr>
              <w:t>4</w:t>
            </w:r>
            <w:r>
              <w:t>排放，采用本地排放因子可提高核算准确性</w:t>
            </w:r>
          </w:p>
        </w:tc>
      </w:tr>
      <w:tr w14:paraId="25A31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7A968935">
            <w:pPr>
              <w:pStyle w:val="5"/>
              <w:keepNext w:val="0"/>
              <w:jc w:val="center"/>
              <w:rPr>
                <w:rFonts w:hint="eastAsia" w:ascii="黑体" w:hAnsi="黑体" w:eastAsia="黑体" w:cs="黑体"/>
              </w:rPr>
            </w:pPr>
            <w:r>
              <w:rPr>
                <w:rFonts w:ascii="黑体" w:hAnsi="黑体" w:eastAsia="黑体" w:cs="黑体"/>
              </w:rPr>
              <w:t>数值（如有）</w:t>
            </w:r>
          </w:p>
        </w:tc>
        <w:tc>
          <w:tcPr>
            <w:tcW w:w="3206" w:type="pct"/>
            <w:tcMar>
              <w:top w:w="150" w:type="dxa"/>
              <w:left w:w="240" w:type="dxa"/>
              <w:bottom w:w="150" w:type="dxa"/>
              <w:right w:w="0" w:type="dxa"/>
            </w:tcMar>
            <w:vAlign w:val="center"/>
          </w:tcPr>
          <w:p w14:paraId="7C1AA7C4">
            <w:pPr>
              <w:pStyle w:val="5"/>
              <w:keepNext w:val="0"/>
            </w:pPr>
            <w:r>
              <w:t>优先采用南京地区实测值，若无则采用IPCC缺省值</w:t>
            </w:r>
          </w:p>
        </w:tc>
      </w:tr>
      <w:tr w14:paraId="111A2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7BE6FD1C">
            <w:pPr>
              <w:pStyle w:val="5"/>
              <w:keepNext w:val="0"/>
              <w:jc w:val="center"/>
              <w:rPr>
                <w:rFonts w:hint="eastAsia" w:ascii="黑体" w:hAnsi="黑体" w:eastAsia="黑体" w:cs="黑体"/>
              </w:rPr>
            </w:pPr>
            <w:r>
              <w:rPr>
                <w:rFonts w:ascii="黑体" w:hAnsi="黑体" w:eastAsia="黑体" w:cs="黑体"/>
              </w:rPr>
              <w:t>数据用途</w:t>
            </w:r>
          </w:p>
        </w:tc>
        <w:tc>
          <w:tcPr>
            <w:tcW w:w="3206" w:type="pct"/>
            <w:tcMar>
              <w:top w:w="150" w:type="dxa"/>
              <w:left w:w="240" w:type="dxa"/>
              <w:bottom w:w="150" w:type="dxa"/>
              <w:right w:w="0" w:type="dxa"/>
            </w:tcMar>
            <w:vAlign w:val="center"/>
          </w:tcPr>
          <w:p w14:paraId="678915E7">
            <w:pPr>
              <w:pStyle w:val="5"/>
              <w:keepNext w:val="0"/>
            </w:pPr>
            <w:r>
              <w:t>用于计算水体管理引起的CH</w:t>
            </w:r>
            <w:r>
              <w:rPr>
                <w:rFonts w:hint="eastAsia"/>
                <w:vertAlign w:val="subscript"/>
                <w:lang w:val="en-US" w:eastAsia="zh-CN"/>
              </w:rPr>
              <w:t>4</w:t>
            </w:r>
            <w:r>
              <w:t>排放量</w:t>
            </w:r>
          </w:p>
        </w:tc>
      </w:tr>
      <w:tr w14:paraId="10027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93" w:type="pct"/>
            <w:tcMar>
              <w:top w:w="150" w:type="dxa"/>
              <w:left w:w="0" w:type="dxa"/>
              <w:bottom w:w="150" w:type="dxa"/>
              <w:right w:w="240" w:type="dxa"/>
            </w:tcMar>
            <w:vAlign w:val="center"/>
          </w:tcPr>
          <w:p w14:paraId="344278F9">
            <w:pPr>
              <w:pStyle w:val="5"/>
              <w:keepNext w:val="0"/>
              <w:jc w:val="center"/>
              <w:rPr>
                <w:rFonts w:hint="eastAsia" w:ascii="黑体" w:hAnsi="黑体" w:eastAsia="黑体" w:cs="黑体"/>
              </w:rPr>
            </w:pPr>
            <w:r>
              <w:rPr>
                <w:rFonts w:ascii="黑体" w:hAnsi="黑体" w:eastAsia="黑体" w:cs="黑体"/>
              </w:rPr>
              <w:t>备注</w:t>
            </w:r>
          </w:p>
        </w:tc>
        <w:tc>
          <w:tcPr>
            <w:tcW w:w="3206" w:type="pct"/>
            <w:tcMar>
              <w:top w:w="150" w:type="dxa"/>
              <w:left w:w="240" w:type="dxa"/>
              <w:bottom w:w="150" w:type="dxa"/>
              <w:right w:w="0" w:type="dxa"/>
            </w:tcMar>
            <w:vAlign w:val="center"/>
          </w:tcPr>
          <w:p w14:paraId="7527B974">
            <w:pPr>
              <w:pStyle w:val="5"/>
              <w:keepNext w:val="0"/>
            </w:pPr>
            <w:r>
              <w:t>若项目未进行水位调节等管理活动，该参数可不取值</w:t>
            </w:r>
          </w:p>
        </w:tc>
      </w:tr>
    </w:tbl>
    <w:p w14:paraId="4ABD6772">
      <w:pPr>
        <w:pStyle w:val="4"/>
      </w:pPr>
      <w:r>
        <w:t>表3</w:t>
      </w:r>
      <w:r>
        <w:rPr>
          <w:rFonts w:hint="eastAsia"/>
          <w:lang w:val="en-US" w:eastAsia="zh-CN"/>
        </w:rPr>
        <w:t>7</w:t>
      </w:r>
      <w:r>
        <w:t xml:space="preserve"> 水体管理</w:t>
      </w:r>
      <w:r>
        <w:rPr>
          <w:rFonts w:cs="Times New Roman"/>
        </w:rPr>
        <w:t>N</w:t>
      </w:r>
      <w:r>
        <w:rPr>
          <w:rFonts w:hint="eastAsia" w:cs="Times New Roman"/>
          <w:vertAlign w:val="subscript"/>
          <w:lang w:val="en-US" w:eastAsia="zh-CN"/>
        </w:rPr>
        <w:t>2</w:t>
      </w:r>
      <w:r>
        <w:rPr>
          <w:rFonts w:cs="Times New Roman"/>
        </w:rPr>
        <w:t>O</w:t>
      </w:r>
      <w:r>
        <w:t>排放因子</w:t>
      </w:r>
    </w:p>
    <w:tbl>
      <w:tblPr>
        <w:tblStyle w:val="13"/>
        <w:tblW w:w="48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12"/>
        <w:gridCol w:w="5177"/>
      </w:tblGrid>
      <w:tr w14:paraId="025FC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5F366F28">
            <w:pPr>
              <w:pStyle w:val="5"/>
              <w:keepNext w:val="0"/>
              <w:jc w:val="center"/>
              <w:rPr>
                <w:rFonts w:hint="eastAsia" w:ascii="黑体" w:hAnsi="黑体" w:eastAsia="黑体" w:cs="黑体"/>
              </w:rPr>
            </w:pPr>
            <w:r>
              <w:rPr>
                <w:rFonts w:ascii="黑体" w:hAnsi="黑体" w:eastAsia="黑体" w:cs="黑体"/>
              </w:rPr>
              <w:t>数据/参数名称</w:t>
            </w:r>
          </w:p>
        </w:tc>
        <w:tc>
          <w:tcPr>
            <w:tcW w:w="3199" w:type="pct"/>
            <w:tcMar>
              <w:top w:w="150" w:type="dxa"/>
              <w:left w:w="240" w:type="dxa"/>
              <w:bottom w:w="150" w:type="dxa"/>
              <w:right w:w="0" w:type="dxa"/>
            </w:tcMar>
            <w:vAlign w:val="center"/>
          </w:tcPr>
          <w:p w14:paraId="46533D34">
            <w:pPr>
              <w:pStyle w:val="5"/>
              <w:keepNext w:val="0"/>
            </w:pPr>
            <m:oMathPara>
              <m:oMathParaPr>
                <m:jc m:val="left"/>
              </m:oMathParaPr>
              <m:oMath>
                <m:sSub>
                  <m:sSubPr>
                    <m:ctrlPr>
                      <w:rPr>
                        <w:rFonts w:ascii="Cambria Math" w:hAnsi="Cambria Math"/>
                      </w:rPr>
                    </m:ctrlPr>
                  </m:sSubPr>
                  <m:e>
                    <m:r>
                      <m:rPr>
                        <m:sty m:val="p"/>
                      </m:rPr>
                      <w:rPr>
                        <w:rFonts w:ascii="Cambria Math" w:hAnsi="Cambria Math"/>
                      </w:rPr>
                      <m:t>EF</m:t>
                    </m:r>
                    <m:ctrlPr>
                      <w:rPr>
                        <w:rFonts w:ascii="Cambria Math" w:hAnsi="Cambria Math"/>
                      </w:rPr>
                    </m:ctrlPr>
                  </m:e>
                  <m:sub>
                    <m:sSub>
                      <m:sSubPr>
                        <m:ctrlPr>
                          <w:rPr>
                            <w:rFonts w:ascii="Cambria Math" w:hAnsi="Cambria Math"/>
                          </w:rPr>
                        </m:ctrlPr>
                      </m:sSubPr>
                      <m:e>
                        <m:r>
                          <m:rPr>
                            <m:sty m:val="p"/>
                          </m:rPr>
                          <w:rPr>
                            <w:rFonts w:ascii="Cambria Math" w:hAnsi="Cambria Math"/>
                          </w:rPr>
                          <m:t>N</m:t>
                        </m:r>
                        <m:ctrlPr>
                          <w:rPr>
                            <w:rFonts w:ascii="Cambria Math" w:hAnsi="Cambria Math"/>
                          </w:rPr>
                        </m:ctrlPr>
                      </m:e>
                      <m:sub>
                        <m:r>
                          <m:rPr>
                            <m:sty m:val="p"/>
                          </m:rPr>
                          <w:rPr>
                            <w:rFonts w:ascii="Cambria Math" w:hAnsi="Cambria Math"/>
                          </w:rPr>
                          <m:t>2</m:t>
                        </m:r>
                        <m:ctrlPr>
                          <w:rPr>
                            <w:rFonts w:ascii="Cambria Math" w:hAnsi="Cambria Math"/>
                          </w:rPr>
                        </m:ctrlPr>
                      </m:sub>
                    </m:sSub>
                    <m:r>
                      <m:rPr>
                        <m:sty m:val="p"/>
                      </m:rPr>
                      <w:rPr>
                        <w:rFonts w:ascii="Cambria Math" w:hAnsi="Cambria Math"/>
                      </w:rPr>
                      <m:t>O,</m:t>
                    </m:r>
                    <m:r>
                      <m:rPr>
                        <m:sty m:val="p"/>
                      </m:rPr>
                      <w:rPr>
                        <w:rFonts w:hint="eastAsia" w:ascii="Cambria Math" w:hAnsi="Cambria Math"/>
                      </w:rPr>
                      <m:t>water</m:t>
                    </m:r>
                    <m:ctrlPr>
                      <w:rPr>
                        <w:rFonts w:ascii="Cambria Math" w:hAnsi="Cambria Math"/>
                      </w:rPr>
                    </m:ctrlPr>
                  </m:sub>
                </m:sSub>
              </m:oMath>
            </m:oMathPara>
          </w:p>
        </w:tc>
      </w:tr>
      <w:tr w14:paraId="2D964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307E2F71">
            <w:pPr>
              <w:pStyle w:val="5"/>
              <w:keepNext w:val="0"/>
              <w:jc w:val="center"/>
              <w:rPr>
                <w:rFonts w:hint="eastAsia" w:ascii="黑体" w:hAnsi="黑体" w:eastAsia="黑体" w:cs="黑体"/>
              </w:rPr>
            </w:pPr>
            <w:r>
              <w:rPr>
                <w:rFonts w:ascii="黑体" w:hAnsi="黑体" w:eastAsia="黑体" w:cs="黑体"/>
              </w:rPr>
              <w:t>应用的公式编号</w:t>
            </w:r>
          </w:p>
        </w:tc>
        <w:tc>
          <w:tcPr>
            <w:tcW w:w="3199" w:type="pct"/>
            <w:tcMar>
              <w:top w:w="150" w:type="dxa"/>
              <w:left w:w="240" w:type="dxa"/>
              <w:bottom w:w="150" w:type="dxa"/>
              <w:right w:w="0" w:type="dxa"/>
            </w:tcMar>
            <w:vAlign w:val="center"/>
          </w:tcPr>
          <w:p w14:paraId="73EEDCB7">
            <w:pPr>
              <w:pStyle w:val="5"/>
              <w:keepNext w:val="0"/>
            </w:pPr>
            <w:r>
              <w:t>公式（1</w:t>
            </w:r>
            <w:r>
              <w:rPr>
                <w:rFonts w:hint="eastAsia"/>
              </w:rPr>
              <w:t>9</w:t>
            </w:r>
            <w:r>
              <w:t>）</w:t>
            </w:r>
          </w:p>
        </w:tc>
      </w:tr>
      <w:tr w14:paraId="6CBB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784B8BFB">
            <w:pPr>
              <w:pStyle w:val="5"/>
              <w:keepNext w:val="0"/>
              <w:jc w:val="center"/>
              <w:rPr>
                <w:rFonts w:hint="eastAsia" w:ascii="黑体" w:hAnsi="黑体" w:eastAsia="黑体" w:cs="黑体"/>
              </w:rPr>
            </w:pPr>
            <w:r>
              <w:rPr>
                <w:rFonts w:ascii="黑体" w:hAnsi="黑体" w:eastAsia="黑体" w:cs="黑体"/>
              </w:rPr>
              <w:t>数据描述</w:t>
            </w:r>
          </w:p>
        </w:tc>
        <w:tc>
          <w:tcPr>
            <w:tcW w:w="3199" w:type="pct"/>
            <w:tcMar>
              <w:top w:w="150" w:type="dxa"/>
              <w:left w:w="240" w:type="dxa"/>
              <w:bottom w:w="150" w:type="dxa"/>
              <w:right w:w="0" w:type="dxa"/>
            </w:tcMar>
            <w:vAlign w:val="center"/>
          </w:tcPr>
          <w:p w14:paraId="054615B9">
            <w:pPr>
              <w:pStyle w:val="5"/>
              <w:keepNext w:val="0"/>
            </w:pPr>
            <w:r>
              <w:t>湿地水体管理产生的</w:t>
            </w:r>
            <w:r>
              <w:rPr>
                <w:rFonts w:cs="Times New Roman"/>
              </w:rPr>
              <w:t>N</w:t>
            </w:r>
            <w:r>
              <w:rPr>
                <w:rFonts w:hint="eastAsia" w:cs="Times New Roman"/>
                <w:vertAlign w:val="subscript"/>
                <w:lang w:val="en-US" w:eastAsia="zh-CN"/>
              </w:rPr>
              <w:t>2</w:t>
            </w:r>
            <w:r>
              <w:rPr>
                <w:rFonts w:cs="Times New Roman"/>
              </w:rPr>
              <w:t>O</w:t>
            </w:r>
            <w:r>
              <w:t>排放因子</w:t>
            </w:r>
          </w:p>
        </w:tc>
      </w:tr>
      <w:tr w14:paraId="6290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033DDD15">
            <w:pPr>
              <w:pStyle w:val="5"/>
              <w:keepNext w:val="0"/>
              <w:jc w:val="center"/>
              <w:rPr>
                <w:rFonts w:hint="eastAsia" w:ascii="黑体" w:hAnsi="黑体" w:eastAsia="黑体" w:cs="黑体"/>
              </w:rPr>
            </w:pPr>
            <w:r>
              <w:rPr>
                <w:rFonts w:ascii="黑体" w:hAnsi="黑体" w:eastAsia="黑体" w:cs="黑体"/>
              </w:rPr>
              <w:t>数据单位</w:t>
            </w:r>
          </w:p>
        </w:tc>
        <w:tc>
          <w:tcPr>
            <w:tcW w:w="3199" w:type="pct"/>
            <w:tcMar>
              <w:top w:w="150" w:type="dxa"/>
              <w:left w:w="240" w:type="dxa"/>
              <w:bottom w:w="150" w:type="dxa"/>
              <w:right w:w="0" w:type="dxa"/>
            </w:tcMar>
            <w:vAlign w:val="center"/>
          </w:tcPr>
          <w:p w14:paraId="7757136A">
            <w:pPr>
              <w:pStyle w:val="5"/>
              <w:keepNext w:val="0"/>
            </w:pPr>
            <w:r>
              <w:t>kg</w:t>
            </w:r>
            <w:r>
              <w:rPr>
                <w:rFonts w:cs="Times New Roman"/>
              </w:rPr>
              <w:t>N</w:t>
            </w:r>
            <w:r>
              <w:rPr>
                <w:rFonts w:hint="eastAsia" w:cs="Times New Roman"/>
                <w:vertAlign w:val="subscript"/>
                <w:lang w:val="en-US" w:eastAsia="zh-CN"/>
              </w:rPr>
              <w:t>2</w:t>
            </w:r>
            <w:r>
              <w:rPr>
                <w:rFonts w:cs="Times New Roman"/>
              </w:rPr>
              <w:t>O</w:t>
            </w:r>
            <w:r>
              <w:t>/（hm²·a）</w:t>
            </w:r>
          </w:p>
        </w:tc>
      </w:tr>
      <w:tr w14:paraId="0FA28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68A84794">
            <w:pPr>
              <w:pStyle w:val="5"/>
              <w:keepNext w:val="0"/>
              <w:jc w:val="center"/>
              <w:rPr>
                <w:rFonts w:hint="eastAsia" w:ascii="黑体" w:hAnsi="黑体" w:eastAsia="黑体" w:cs="黑体"/>
              </w:rPr>
            </w:pPr>
            <w:r>
              <w:rPr>
                <w:rFonts w:ascii="黑体" w:hAnsi="黑体" w:eastAsia="黑体" w:cs="黑体"/>
              </w:rPr>
              <w:t>数据来源</w:t>
            </w:r>
          </w:p>
        </w:tc>
        <w:tc>
          <w:tcPr>
            <w:tcW w:w="3199" w:type="pct"/>
            <w:tcMar>
              <w:top w:w="150" w:type="dxa"/>
              <w:left w:w="240" w:type="dxa"/>
              <w:bottom w:w="150" w:type="dxa"/>
              <w:right w:w="0" w:type="dxa"/>
            </w:tcMar>
            <w:vAlign w:val="center"/>
          </w:tcPr>
          <w:p w14:paraId="1ACEEE8E">
            <w:pPr>
              <w:pStyle w:val="5"/>
              <w:keepNext w:val="0"/>
            </w:pPr>
            <w:r>
              <w:t>项目业主须按照如下优先顺序选择：</w:t>
            </w:r>
            <w:r>
              <w:br w:type="textWrapping"/>
            </w:r>
            <w:r>
              <w:t>a）南京地区湿地的实测数据；</w:t>
            </w:r>
            <w:r>
              <w:br w:type="textWrapping"/>
            </w:r>
            <w:r>
              <w:t>b）IPCC国家温室气体清单指南缺省值；</w:t>
            </w:r>
            <w:r>
              <w:br w:type="textWrapping"/>
            </w:r>
            <w:r>
              <w:t>c）国内同类研究文献值</w:t>
            </w:r>
          </w:p>
        </w:tc>
      </w:tr>
      <w:tr w14:paraId="0B24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68F1A0CA">
            <w:pPr>
              <w:pStyle w:val="5"/>
              <w:keepNext w:val="0"/>
              <w:jc w:val="center"/>
              <w:rPr>
                <w:rFonts w:hint="eastAsia" w:ascii="黑体" w:hAnsi="黑体" w:eastAsia="黑体" w:cs="黑体"/>
              </w:rPr>
            </w:pPr>
            <w:r>
              <w:rPr>
                <w:rFonts w:ascii="黑体" w:hAnsi="黑体" w:eastAsia="黑体" w:cs="黑体"/>
              </w:rPr>
              <w:t>数据选用的合理性</w:t>
            </w:r>
          </w:p>
        </w:tc>
        <w:tc>
          <w:tcPr>
            <w:tcW w:w="3199" w:type="pct"/>
            <w:tcMar>
              <w:top w:w="150" w:type="dxa"/>
              <w:left w:w="240" w:type="dxa"/>
              <w:bottom w:w="150" w:type="dxa"/>
              <w:right w:w="0" w:type="dxa"/>
            </w:tcMar>
            <w:vAlign w:val="center"/>
          </w:tcPr>
          <w:p w14:paraId="18B24C43">
            <w:pPr>
              <w:pStyle w:val="5"/>
              <w:keepNext w:val="0"/>
            </w:pPr>
            <w:r>
              <w:t>水位调节等管理活动会影响</w:t>
            </w:r>
            <w:r>
              <w:rPr>
                <w:rFonts w:cs="Times New Roman"/>
              </w:rPr>
              <w:t>N</w:t>
            </w:r>
            <w:r>
              <w:rPr>
                <w:rFonts w:hint="eastAsia" w:cs="Times New Roman"/>
                <w:vertAlign w:val="subscript"/>
                <w:lang w:val="en-US" w:eastAsia="zh-CN"/>
              </w:rPr>
              <w:t>2</w:t>
            </w:r>
            <w:r>
              <w:rPr>
                <w:rFonts w:cs="Times New Roman"/>
              </w:rPr>
              <w:t>O</w:t>
            </w:r>
            <w:r>
              <w:t>排放，采用本地排放因子可提高核算准确性</w:t>
            </w:r>
          </w:p>
        </w:tc>
      </w:tr>
      <w:tr w14:paraId="5E3C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0ED83E9B">
            <w:pPr>
              <w:pStyle w:val="5"/>
              <w:keepNext w:val="0"/>
              <w:jc w:val="center"/>
              <w:rPr>
                <w:rFonts w:hint="eastAsia" w:ascii="黑体" w:hAnsi="黑体" w:eastAsia="黑体" w:cs="黑体"/>
              </w:rPr>
            </w:pPr>
            <w:r>
              <w:rPr>
                <w:rFonts w:ascii="黑体" w:hAnsi="黑体" w:eastAsia="黑体" w:cs="黑体"/>
              </w:rPr>
              <w:t>数值（如有）</w:t>
            </w:r>
          </w:p>
        </w:tc>
        <w:tc>
          <w:tcPr>
            <w:tcW w:w="3199" w:type="pct"/>
            <w:tcMar>
              <w:top w:w="150" w:type="dxa"/>
              <w:left w:w="240" w:type="dxa"/>
              <w:bottom w:w="150" w:type="dxa"/>
              <w:right w:w="0" w:type="dxa"/>
            </w:tcMar>
            <w:vAlign w:val="center"/>
          </w:tcPr>
          <w:p w14:paraId="18E682FF">
            <w:pPr>
              <w:pStyle w:val="5"/>
              <w:keepNext w:val="0"/>
            </w:pPr>
            <w:r>
              <w:t>优先采用南京地区实测值，若无则采用IPCC缺省值</w:t>
            </w:r>
          </w:p>
        </w:tc>
      </w:tr>
      <w:tr w14:paraId="24397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480DD27F">
            <w:pPr>
              <w:pStyle w:val="5"/>
              <w:keepNext w:val="0"/>
              <w:jc w:val="center"/>
              <w:rPr>
                <w:rFonts w:hint="eastAsia" w:ascii="黑体" w:hAnsi="黑体" w:eastAsia="黑体" w:cs="黑体"/>
              </w:rPr>
            </w:pPr>
            <w:r>
              <w:rPr>
                <w:rFonts w:ascii="黑体" w:hAnsi="黑体" w:eastAsia="黑体" w:cs="黑体"/>
              </w:rPr>
              <w:t>数据用途</w:t>
            </w:r>
          </w:p>
        </w:tc>
        <w:tc>
          <w:tcPr>
            <w:tcW w:w="3199" w:type="pct"/>
            <w:tcMar>
              <w:top w:w="150" w:type="dxa"/>
              <w:left w:w="240" w:type="dxa"/>
              <w:bottom w:w="150" w:type="dxa"/>
              <w:right w:w="0" w:type="dxa"/>
            </w:tcMar>
            <w:vAlign w:val="center"/>
          </w:tcPr>
          <w:p w14:paraId="55511FB0">
            <w:pPr>
              <w:pStyle w:val="5"/>
              <w:keepNext w:val="0"/>
            </w:pPr>
            <w:r>
              <w:t>用于计算水体管理引起的</w:t>
            </w:r>
            <w:r>
              <w:rPr>
                <w:rFonts w:cs="Times New Roman"/>
              </w:rPr>
              <w:t>N</w:t>
            </w:r>
            <w:r>
              <w:rPr>
                <w:rFonts w:hint="eastAsia" w:cs="Times New Roman"/>
                <w:vertAlign w:val="subscript"/>
                <w:lang w:val="en-US" w:eastAsia="zh-CN"/>
              </w:rPr>
              <w:t>2</w:t>
            </w:r>
            <w:r>
              <w:rPr>
                <w:rFonts w:cs="Times New Roman"/>
              </w:rPr>
              <w:t>O</w:t>
            </w:r>
            <w:r>
              <w:t>排放量</w:t>
            </w:r>
          </w:p>
        </w:tc>
      </w:tr>
      <w:tr w14:paraId="1D80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800" w:type="pct"/>
            <w:tcMar>
              <w:top w:w="150" w:type="dxa"/>
              <w:left w:w="0" w:type="dxa"/>
              <w:bottom w:w="150" w:type="dxa"/>
              <w:right w:w="240" w:type="dxa"/>
            </w:tcMar>
            <w:vAlign w:val="center"/>
          </w:tcPr>
          <w:p w14:paraId="4C71D018">
            <w:pPr>
              <w:pStyle w:val="5"/>
              <w:keepNext w:val="0"/>
              <w:jc w:val="center"/>
              <w:rPr>
                <w:rFonts w:hint="eastAsia" w:ascii="黑体" w:hAnsi="黑体" w:eastAsia="黑体" w:cs="黑体"/>
              </w:rPr>
            </w:pPr>
            <w:r>
              <w:rPr>
                <w:rFonts w:ascii="黑体" w:hAnsi="黑体" w:eastAsia="黑体" w:cs="黑体"/>
              </w:rPr>
              <w:t>备注</w:t>
            </w:r>
          </w:p>
        </w:tc>
        <w:tc>
          <w:tcPr>
            <w:tcW w:w="3199" w:type="pct"/>
            <w:tcMar>
              <w:top w:w="150" w:type="dxa"/>
              <w:left w:w="240" w:type="dxa"/>
              <w:bottom w:w="150" w:type="dxa"/>
              <w:right w:w="0" w:type="dxa"/>
            </w:tcMar>
            <w:vAlign w:val="center"/>
          </w:tcPr>
          <w:p w14:paraId="4549063B">
            <w:pPr>
              <w:pStyle w:val="5"/>
              <w:keepNext w:val="0"/>
            </w:pPr>
            <w:r>
              <w:t>若项目未进行水位调节等管理活动，该参数可不取值</w:t>
            </w:r>
          </w:p>
        </w:tc>
      </w:tr>
    </w:tbl>
    <w:p w14:paraId="723666CA">
      <w:pPr>
        <w:pStyle w:val="4"/>
      </w:pPr>
      <w:r>
        <w:t>表3</w:t>
      </w:r>
      <w:r>
        <w:rPr>
          <w:rFonts w:hint="eastAsia"/>
          <w:lang w:val="en-US" w:eastAsia="zh-CN"/>
        </w:rPr>
        <w:t>8</w:t>
      </w:r>
      <w:r>
        <w:t xml:space="preserve"> 泄漏排放量</w:t>
      </w:r>
    </w:p>
    <w:tbl>
      <w:tblPr>
        <w:tblStyle w:val="13"/>
        <w:tblW w:w="48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806"/>
        <w:gridCol w:w="5283"/>
      </w:tblGrid>
      <w:tr w14:paraId="079C0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2C125A55">
            <w:pPr>
              <w:pStyle w:val="5"/>
              <w:keepNext w:val="0"/>
              <w:jc w:val="center"/>
              <w:rPr>
                <w:rFonts w:hint="eastAsia" w:ascii="黑体" w:hAnsi="黑体" w:eastAsia="黑体" w:cs="黑体"/>
              </w:rPr>
            </w:pPr>
            <w:r>
              <w:rPr>
                <w:rFonts w:ascii="黑体" w:hAnsi="黑体" w:eastAsia="黑体" w:cs="黑体"/>
              </w:rPr>
              <w:t>数据/参数名称</w:t>
            </w:r>
          </w:p>
        </w:tc>
        <w:tc>
          <w:tcPr>
            <w:tcW w:w="3265" w:type="pct"/>
            <w:tcMar>
              <w:top w:w="150" w:type="dxa"/>
              <w:left w:w="240" w:type="dxa"/>
              <w:bottom w:w="150" w:type="dxa"/>
              <w:right w:w="0" w:type="dxa"/>
            </w:tcMar>
            <w:vAlign w:val="center"/>
          </w:tcPr>
          <w:p w14:paraId="57202799">
            <w:pPr>
              <w:pStyle w:val="5"/>
              <w:keepNext w:val="0"/>
            </w:pPr>
            <m:oMathPara>
              <m:oMathParaPr>
                <m:jc m:val="left"/>
              </m:oMathParaPr>
              <m:oMath>
                <m:sSub>
                  <m:sSubPr>
                    <m:ctrlPr>
                      <w:rPr>
                        <w:rFonts w:ascii="Cambria Math" w:hAnsi="Cambria Math" w:cs="Times New Roman"/>
                      </w:rPr>
                    </m:ctrlPr>
                  </m:sSubPr>
                  <m:e>
                    <m:r>
                      <m:rPr>
                        <m:nor/>
                        <m:sty m:val="p"/>
                      </m:rPr>
                      <w:rPr>
                        <w:rFonts w:cs="Times New Roman"/>
                        <w:b w:val="0"/>
                        <w:i w:val="0"/>
                      </w:rPr>
                      <m:t>E</m:t>
                    </m:r>
                    <m:ctrlPr>
                      <w:rPr>
                        <w:rFonts w:ascii="Cambria Math" w:hAnsi="Cambria Math" w:cs="Times New Roman"/>
                      </w:rPr>
                    </m:ctrlPr>
                  </m:e>
                  <m:sub>
                    <m:r>
                      <m:rPr>
                        <m:nor/>
                        <m:sty m:val="p"/>
                      </m:rPr>
                      <w:rPr>
                        <w:rFonts w:cs="Times New Roman"/>
                        <w:b w:val="0"/>
                        <w:i w:val="0"/>
                      </w:rPr>
                      <m:t>leakage,t</m:t>
                    </m:r>
                    <m:ctrlPr>
                      <w:rPr>
                        <w:rFonts w:ascii="Cambria Math" w:hAnsi="Cambria Math" w:cs="Times New Roman"/>
                      </w:rPr>
                    </m:ctrlPr>
                  </m:sub>
                </m:sSub>
              </m:oMath>
            </m:oMathPara>
          </w:p>
        </w:tc>
      </w:tr>
      <w:tr w14:paraId="003D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0792A9AC">
            <w:pPr>
              <w:pStyle w:val="5"/>
              <w:keepNext w:val="0"/>
              <w:jc w:val="center"/>
              <w:rPr>
                <w:rFonts w:hint="eastAsia" w:ascii="黑体" w:hAnsi="黑体" w:eastAsia="黑体" w:cs="黑体"/>
              </w:rPr>
            </w:pPr>
            <w:r>
              <w:rPr>
                <w:rFonts w:ascii="黑体" w:hAnsi="黑体" w:eastAsia="黑体" w:cs="黑体"/>
              </w:rPr>
              <w:t>应用的公式编号</w:t>
            </w:r>
          </w:p>
        </w:tc>
        <w:tc>
          <w:tcPr>
            <w:tcW w:w="3265" w:type="pct"/>
            <w:tcMar>
              <w:top w:w="150" w:type="dxa"/>
              <w:left w:w="240" w:type="dxa"/>
              <w:bottom w:w="150" w:type="dxa"/>
              <w:right w:w="0" w:type="dxa"/>
            </w:tcMar>
            <w:vAlign w:val="center"/>
          </w:tcPr>
          <w:p w14:paraId="2083ED93">
            <w:pPr>
              <w:pStyle w:val="5"/>
              <w:keepNext w:val="0"/>
            </w:pPr>
            <w:r>
              <w:t>公式（</w:t>
            </w:r>
            <w:r>
              <w:rPr>
                <w:rFonts w:hint="eastAsia"/>
              </w:rPr>
              <w:t>20</w:t>
            </w:r>
            <w:r>
              <w:t>）</w:t>
            </w:r>
          </w:p>
        </w:tc>
      </w:tr>
      <w:tr w14:paraId="30F66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6026E2B3">
            <w:pPr>
              <w:pStyle w:val="5"/>
              <w:keepNext w:val="0"/>
              <w:jc w:val="center"/>
              <w:rPr>
                <w:rFonts w:hint="eastAsia" w:ascii="黑体" w:hAnsi="黑体" w:eastAsia="黑体" w:cs="黑体"/>
              </w:rPr>
            </w:pPr>
            <w:r>
              <w:rPr>
                <w:rFonts w:ascii="黑体" w:hAnsi="黑体" w:eastAsia="黑体" w:cs="黑体"/>
              </w:rPr>
              <w:t>数据描述</w:t>
            </w:r>
          </w:p>
        </w:tc>
        <w:tc>
          <w:tcPr>
            <w:tcW w:w="3265" w:type="pct"/>
            <w:tcMar>
              <w:top w:w="150" w:type="dxa"/>
              <w:left w:w="240" w:type="dxa"/>
              <w:bottom w:w="150" w:type="dxa"/>
              <w:right w:w="0" w:type="dxa"/>
            </w:tcMar>
            <w:vAlign w:val="center"/>
          </w:tcPr>
          <w:p w14:paraId="4ED3DDF2">
            <w:pPr>
              <w:pStyle w:val="5"/>
              <w:keepNext w:val="0"/>
            </w:pPr>
            <w:r>
              <w:t>第t年项目活动导致的边界外泄漏碳排放量</w:t>
            </w:r>
          </w:p>
        </w:tc>
      </w:tr>
      <w:tr w14:paraId="3DBC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786EE4AB">
            <w:pPr>
              <w:pStyle w:val="5"/>
              <w:keepNext w:val="0"/>
              <w:jc w:val="center"/>
              <w:rPr>
                <w:rFonts w:hint="eastAsia" w:ascii="黑体" w:hAnsi="黑体" w:eastAsia="黑体" w:cs="黑体"/>
              </w:rPr>
            </w:pPr>
            <w:r>
              <w:rPr>
                <w:rFonts w:ascii="黑体" w:hAnsi="黑体" w:eastAsia="黑体" w:cs="黑体"/>
              </w:rPr>
              <w:t>数据单位</w:t>
            </w:r>
          </w:p>
        </w:tc>
        <w:tc>
          <w:tcPr>
            <w:tcW w:w="3265" w:type="pct"/>
            <w:tcMar>
              <w:top w:w="150" w:type="dxa"/>
              <w:left w:w="240" w:type="dxa"/>
              <w:bottom w:w="150" w:type="dxa"/>
              <w:right w:w="0" w:type="dxa"/>
            </w:tcMar>
            <w:vAlign w:val="center"/>
          </w:tcPr>
          <w:p w14:paraId="51477765">
            <w:pPr>
              <w:pStyle w:val="5"/>
              <w:keepNext w:val="0"/>
            </w:pPr>
            <w:r>
              <w:t>t</w:t>
            </w:r>
            <w:r>
              <w:rPr>
                <w:rFonts w:hint="eastAsia"/>
                <w:highlight w:val="none"/>
                <w:lang w:eastAsia="zh-CN"/>
              </w:rPr>
              <w:t>CO</w:t>
            </w:r>
            <w:r>
              <w:rPr>
                <w:rFonts w:hint="eastAsia"/>
                <w:highlight w:val="none"/>
                <w:vertAlign w:val="subscript"/>
                <w:lang w:eastAsia="zh-CN"/>
              </w:rPr>
              <w:t>2e</w:t>
            </w:r>
            <w:r>
              <w:t>/a</w:t>
            </w:r>
          </w:p>
        </w:tc>
      </w:tr>
      <w:tr w14:paraId="471A2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7A041E8E">
            <w:pPr>
              <w:pStyle w:val="5"/>
              <w:keepNext w:val="0"/>
              <w:jc w:val="center"/>
              <w:rPr>
                <w:rFonts w:hint="eastAsia" w:ascii="黑体" w:hAnsi="黑体" w:eastAsia="黑体" w:cs="黑体"/>
              </w:rPr>
            </w:pPr>
            <w:r>
              <w:rPr>
                <w:rFonts w:ascii="黑体" w:hAnsi="黑体" w:eastAsia="黑体" w:cs="黑体"/>
              </w:rPr>
              <w:t>数据来源</w:t>
            </w:r>
          </w:p>
        </w:tc>
        <w:tc>
          <w:tcPr>
            <w:tcW w:w="3265" w:type="pct"/>
            <w:tcMar>
              <w:top w:w="150" w:type="dxa"/>
              <w:left w:w="240" w:type="dxa"/>
              <w:bottom w:w="150" w:type="dxa"/>
              <w:right w:w="0" w:type="dxa"/>
            </w:tcMar>
            <w:vAlign w:val="center"/>
          </w:tcPr>
          <w:p w14:paraId="0B15318A">
            <w:pPr>
              <w:pStyle w:val="5"/>
              <w:keepNext w:val="0"/>
            </w:pPr>
            <w:r>
              <w:t>项目监测与核算</w:t>
            </w:r>
          </w:p>
        </w:tc>
      </w:tr>
      <w:tr w14:paraId="0F015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51BD30E1">
            <w:pPr>
              <w:pStyle w:val="5"/>
              <w:keepNext w:val="0"/>
              <w:jc w:val="center"/>
              <w:rPr>
                <w:rFonts w:hint="eastAsia" w:ascii="黑体" w:hAnsi="黑体" w:eastAsia="黑体" w:cs="黑体"/>
              </w:rPr>
            </w:pPr>
            <w:r>
              <w:rPr>
                <w:rFonts w:ascii="黑体" w:hAnsi="黑体" w:eastAsia="黑体" w:cs="黑体"/>
              </w:rPr>
              <w:t>监测点要求</w:t>
            </w:r>
          </w:p>
        </w:tc>
        <w:tc>
          <w:tcPr>
            <w:tcW w:w="3265" w:type="pct"/>
            <w:tcMar>
              <w:top w:w="150" w:type="dxa"/>
              <w:left w:w="240" w:type="dxa"/>
              <w:bottom w:w="150" w:type="dxa"/>
              <w:right w:w="0" w:type="dxa"/>
            </w:tcMar>
            <w:vAlign w:val="center"/>
          </w:tcPr>
          <w:p w14:paraId="62090493">
            <w:pPr>
              <w:pStyle w:val="5"/>
              <w:keepNext w:val="0"/>
            </w:pPr>
            <w:r>
              <w:t>项目边界外可能受项目活动影响的区域</w:t>
            </w:r>
          </w:p>
        </w:tc>
      </w:tr>
      <w:tr w14:paraId="2EF2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417D99B4">
            <w:pPr>
              <w:pStyle w:val="5"/>
              <w:keepNext w:val="0"/>
              <w:jc w:val="center"/>
              <w:rPr>
                <w:rFonts w:hint="eastAsia" w:ascii="黑体" w:hAnsi="黑体" w:eastAsia="黑体" w:cs="黑体"/>
              </w:rPr>
            </w:pPr>
            <w:r>
              <w:rPr>
                <w:rFonts w:ascii="黑体" w:hAnsi="黑体" w:eastAsia="黑体" w:cs="黑体"/>
              </w:rPr>
              <w:t>监测仪表要求</w:t>
            </w:r>
          </w:p>
        </w:tc>
        <w:tc>
          <w:tcPr>
            <w:tcW w:w="3265" w:type="pct"/>
            <w:tcMar>
              <w:top w:w="150" w:type="dxa"/>
              <w:left w:w="240" w:type="dxa"/>
              <w:bottom w:w="150" w:type="dxa"/>
              <w:right w:w="0" w:type="dxa"/>
            </w:tcMar>
            <w:vAlign w:val="center"/>
          </w:tcPr>
          <w:p w14:paraId="0A7E6B9B">
            <w:pPr>
              <w:pStyle w:val="5"/>
              <w:keepNext w:val="0"/>
            </w:pPr>
            <w:r>
              <w:t>视泄漏类型确定</w:t>
            </w:r>
          </w:p>
        </w:tc>
      </w:tr>
      <w:tr w14:paraId="649C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336D8F47">
            <w:pPr>
              <w:pStyle w:val="5"/>
              <w:keepNext w:val="0"/>
              <w:jc w:val="center"/>
              <w:rPr>
                <w:rFonts w:hint="eastAsia" w:ascii="黑体" w:hAnsi="黑体" w:eastAsia="黑体" w:cs="黑体"/>
              </w:rPr>
            </w:pPr>
            <w:r>
              <w:rPr>
                <w:rFonts w:ascii="黑体" w:hAnsi="黑体" w:eastAsia="黑体" w:cs="黑体"/>
              </w:rPr>
              <w:t>监测程序与方法要求</w:t>
            </w:r>
          </w:p>
        </w:tc>
        <w:tc>
          <w:tcPr>
            <w:tcW w:w="3265" w:type="pct"/>
            <w:tcMar>
              <w:top w:w="150" w:type="dxa"/>
              <w:left w:w="240" w:type="dxa"/>
              <w:bottom w:w="150" w:type="dxa"/>
              <w:right w:w="0" w:type="dxa"/>
            </w:tcMar>
            <w:vAlign w:val="center"/>
          </w:tcPr>
          <w:p w14:paraId="0D1E75E1">
            <w:pPr>
              <w:pStyle w:val="5"/>
              <w:keepNext w:val="0"/>
            </w:pPr>
            <w:r>
              <w:t>识别项目活动可能导致的边界外排放源增加（如土方外运、施工机械转移等）；量化边界外排放增量</w:t>
            </w:r>
          </w:p>
        </w:tc>
      </w:tr>
      <w:tr w14:paraId="7ABA5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76018A6A">
            <w:pPr>
              <w:pStyle w:val="5"/>
              <w:keepNext w:val="0"/>
              <w:jc w:val="center"/>
              <w:rPr>
                <w:rFonts w:hint="eastAsia" w:ascii="黑体" w:hAnsi="黑体" w:eastAsia="黑体" w:cs="黑体"/>
              </w:rPr>
            </w:pPr>
            <w:r>
              <w:rPr>
                <w:rFonts w:ascii="黑体" w:hAnsi="黑体" w:eastAsia="黑体" w:cs="黑体"/>
              </w:rPr>
              <w:t>监测频次与记录要求</w:t>
            </w:r>
          </w:p>
        </w:tc>
        <w:tc>
          <w:tcPr>
            <w:tcW w:w="3265" w:type="pct"/>
            <w:tcMar>
              <w:top w:w="150" w:type="dxa"/>
              <w:left w:w="240" w:type="dxa"/>
              <w:bottom w:w="150" w:type="dxa"/>
              <w:right w:w="0" w:type="dxa"/>
            </w:tcMar>
            <w:vAlign w:val="center"/>
          </w:tcPr>
          <w:p w14:paraId="3427ECF5">
            <w:pPr>
              <w:pStyle w:val="5"/>
              <w:keepNext w:val="0"/>
            </w:pPr>
            <w:r>
              <w:t>泄漏源识别后及时监测；计入期内每年核算</w:t>
            </w:r>
          </w:p>
        </w:tc>
      </w:tr>
      <w:tr w14:paraId="22191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59593E2C">
            <w:pPr>
              <w:pStyle w:val="5"/>
              <w:keepNext w:val="0"/>
              <w:jc w:val="center"/>
              <w:rPr>
                <w:rFonts w:hint="eastAsia" w:ascii="黑体" w:hAnsi="黑体" w:eastAsia="黑体" w:cs="黑体"/>
              </w:rPr>
            </w:pPr>
            <w:r>
              <w:rPr>
                <w:rFonts w:ascii="黑体" w:hAnsi="黑体" w:eastAsia="黑体" w:cs="黑体"/>
              </w:rPr>
              <w:t>质量保证/质量控制程序要求</w:t>
            </w:r>
          </w:p>
        </w:tc>
        <w:tc>
          <w:tcPr>
            <w:tcW w:w="3265" w:type="pct"/>
            <w:tcMar>
              <w:top w:w="150" w:type="dxa"/>
              <w:left w:w="240" w:type="dxa"/>
              <w:bottom w:w="150" w:type="dxa"/>
              <w:right w:w="0" w:type="dxa"/>
            </w:tcMar>
            <w:vAlign w:val="center"/>
          </w:tcPr>
          <w:p w14:paraId="4FB306CF">
            <w:pPr>
              <w:pStyle w:val="5"/>
              <w:keepNext w:val="0"/>
            </w:pPr>
            <w:r>
              <w:t>泄漏核算须经第三方核查</w:t>
            </w:r>
          </w:p>
        </w:tc>
      </w:tr>
      <w:tr w14:paraId="0CAEC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36BFA2AD">
            <w:pPr>
              <w:pStyle w:val="5"/>
              <w:keepNext w:val="0"/>
              <w:jc w:val="center"/>
              <w:rPr>
                <w:rFonts w:hint="eastAsia" w:ascii="黑体" w:hAnsi="黑体" w:eastAsia="黑体" w:cs="黑体"/>
              </w:rPr>
            </w:pPr>
            <w:r>
              <w:rPr>
                <w:rFonts w:ascii="黑体" w:hAnsi="黑体" w:eastAsia="黑体" w:cs="黑体"/>
              </w:rPr>
              <w:t>数据用途</w:t>
            </w:r>
          </w:p>
        </w:tc>
        <w:tc>
          <w:tcPr>
            <w:tcW w:w="3265" w:type="pct"/>
            <w:tcMar>
              <w:top w:w="150" w:type="dxa"/>
              <w:left w:w="240" w:type="dxa"/>
              <w:bottom w:w="150" w:type="dxa"/>
              <w:right w:w="0" w:type="dxa"/>
            </w:tcMar>
            <w:vAlign w:val="center"/>
          </w:tcPr>
          <w:p w14:paraId="70D09346">
            <w:pPr>
              <w:pStyle w:val="5"/>
              <w:keepNext w:val="0"/>
            </w:pPr>
            <w:r>
              <w:t>用于从减排量中扣除泄漏部分</w:t>
            </w:r>
          </w:p>
        </w:tc>
      </w:tr>
      <w:tr w14:paraId="651E2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4" w:type="pct"/>
            <w:tcMar>
              <w:top w:w="150" w:type="dxa"/>
              <w:left w:w="0" w:type="dxa"/>
              <w:bottom w:w="150" w:type="dxa"/>
              <w:right w:w="240" w:type="dxa"/>
            </w:tcMar>
            <w:vAlign w:val="center"/>
          </w:tcPr>
          <w:p w14:paraId="28589CB6">
            <w:pPr>
              <w:pStyle w:val="5"/>
              <w:keepNext w:val="0"/>
              <w:jc w:val="center"/>
              <w:rPr>
                <w:rFonts w:hint="eastAsia" w:ascii="黑体" w:hAnsi="黑体" w:eastAsia="黑体" w:cs="黑体"/>
              </w:rPr>
            </w:pPr>
            <w:r>
              <w:rPr>
                <w:rFonts w:ascii="黑体" w:hAnsi="黑体" w:eastAsia="黑体" w:cs="黑体"/>
              </w:rPr>
              <w:t>备注</w:t>
            </w:r>
          </w:p>
        </w:tc>
        <w:tc>
          <w:tcPr>
            <w:tcW w:w="3265" w:type="pct"/>
            <w:tcMar>
              <w:top w:w="150" w:type="dxa"/>
              <w:left w:w="240" w:type="dxa"/>
              <w:bottom w:w="150" w:type="dxa"/>
              <w:right w:w="0" w:type="dxa"/>
            </w:tcMar>
            <w:vAlign w:val="center"/>
          </w:tcPr>
          <w:p w14:paraId="6A80AA9C">
            <w:pPr>
              <w:pStyle w:val="5"/>
              <w:keepNext w:val="0"/>
            </w:pPr>
            <w:r>
              <w:t>本方法学规定全域内陆湿地生态修复、常态化管护类碳普惠项目泄漏量取值为0；仅涉及大规模土方开挖、水系大幅改造的特殊项目须单独核算</w:t>
            </w:r>
          </w:p>
        </w:tc>
      </w:tr>
    </w:tbl>
    <w:p w14:paraId="4FED7FE4">
      <w:pPr>
        <w:outlineLvl w:val="1"/>
      </w:pPr>
      <w:bookmarkStart w:id="156" w:name="_Toc23849"/>
      <w:r>
        <w:t>8.3 减排项目实施及监测的数据管理要求</w:t>
      </w:r>
      <w:bookmarkEnd w:id="156"/>
    </w:p>
    <w:p w14:paraId="65503527">
      <w:pPr>
        <w:outlineLvl w:val="2"/>
      </w:pPr>
      <w:r>
        <w:t>8.3.1 一般要求</w:t>
      </w:r>
    </w:p>
    <w:p w14:paraId="51140583">
      <w:r>
        <w:t>项目业主应采取以下措施，确保监测参数和数据的质量：</w:t>
      </w:r>
    </w:p>
    <w:p w14:paraId="08246575">
      <w:r>
        <w:t>a）遵循项目设计阶段确定的数据监测程序与方法要求，制定详细的监测方案。监测方案应包括监测内容、监测方法、监测时间、监测频次等方面的详细规定；</w:t>
      </w:r>
    </w:p>
    <w:p w14:paraId="7754FE6F">
      <w:r>
        <w:t>b）建立可信且透明的内部管理制度和质量保障体系，包括但不限于可靠的外业测定、外业测定的互检互核、内业数据的输入、计算和核实等；</w:t>
      </w:r>
    </w:p>
    <w:p w14:paraId="12B1ECBA">
      <w:r>
        <w:t>c）明确负责部门及其职责、具体工作要求、数据管理程序、工作时间节点等；</w:t>
      </w:r>
    </w:p>
    <w:p w14:paraId="4ED34D8C">
      <w:r>
        <w:t>d）指定专职人员负责项目边界、项目实施情况、湿地植被生长状况、土壤有机碳、水体溶解有机碳、温室气体排放等数据的监测、收集、记录和交叉核对。</w:t>
      </w:r>
    </w:p>
    <w:p w14:paraId="1B52D39F">
      <w:r>
        <w:t>鼓励项目业主采用信息化、智能化措施加强项目相关数据管理。关键监测数据应及时录入南京市碳普惠综合管理平台，通过信息化手段实现数据源头可溯、不可篡改。</w:t>
      </w:r>
    </w:p>
    <w:p w14:paraId="538D337B">
      <w:pPr>
        <w:outlineLvl w:val="2"/>
      </w:pPr>
      <w:r>
        <w:t>8.3.2 项目边界监测要求</w:t>
      </w:r>
    </w:p>
    <w:p w14:paraId="6AFCE2C7">
      <w:r>
        <w:t>8.3.2.1 在项目设计阶段，项目业主须明确计划开展湿地生态修复的项目地块边界，并提供所有项目地块边界的矢量数据文件（如.shp或.kml文件）。在项目实施阶段，项目业主须测量项目实际修复的地块边界。</w:t>
      </w:r>
    </w:p>
    <w:p w14:paraId="0294D81E">
      <w:r>
        <w:t>8.3.2.2 在计入期内，项目业主须根据监测方案对项目边界进行监测，检查项目实际边界是否与项目设计文件一致。如果实际边界位于项目设计文件描述的边界之外，则边界以项目设计文件为准；如果实际边界位于项目设计文件描述的边界之内，则以实际边界为准，并提供新的项目边界矢量数据文件。</w:t>
      </w:r>
    </w:p>
    <w:p w14:paraId="2333B910">
      <w:r>
        <w:t>8.3.2.3 如果项目边界发生任何变化，例如土地利用类型发生变化，应测定被征占地块的地理坐标和面积，将这部分地块调出项目边界，并在后续减排量核算报告中予以说明，之后不再纳入项目边界。</w:t>
      </w:r>
    </w:p>
    <w:p w14:paraId="124F5D34">
      <w:pPr>
        <w:outlineLvl w:val="2"/>
      </w:pPr>
      <w:r>
        <w:t>8.3.3 项目实施情况监测要求</w:t>
      </w:r>
    </w:p>
    <w:p w14:paraId="09B75BD3">
      <w:r>
        <w:t>项目实施阶段，主要监测和记录项目边界内所发生的湿地生态修复、管护以及与温室气体排放有关项目活动的实施情况，并判断是否与项目设计文件及监测方案一致。主要内容包括：</w:t>
      </w:r>
    </w:p>
    <w:p w14:paraId="5A4A6F83">
      <w:r>
        <w:t>a）湿地修复活动：修复时间、修复地块、植被种植种类与密度、苗木成活率和保存率、整地清基方式、生境改造方式等；</w:t>
      </w:r>
    </w:p>
    <w:p w14:paraId="74A4E7D4">
      <w:r>
        <w:t>b）管护活动：巡护、补植、外来入侵物种防控、有害生物防治和水质管理等；</w:t>
      </w:r>
    </w:p>
    <w:p w14:paraId="755E97CA">
      <w:r>
        <w:t>c）项目边界内自然灾害（如洪涝、干旱、病虫害等）和人为干扰（如土地利用变化、非法占用等）的发生情况（如时间、地点、面积、边界、损害强度等）。</w:t>
      </w:r>
    </w:p>
    <w:p w14:paraId="48F21040">
      <w:pPr>
        <w:outlineLvl w:val="2"/>
      </w:pPr>
      <w:r>
        <w:t>8.3.4 项目碳层划分要求</w:t>
      </w:r>
    </w:p>
    <w:p w14:paraId="09664870">
      <w:r>
        <w:t>项目实施阶段，如果项目边界内出现下述情形之一，项目业主须在每次监测前对上一次划分的碳层进行调整：</w:t>
      </w:r>
    </w:p>
    <w:p w14:paraId="33F5945B">
      <w:r>
        <w:t>a）项目实际活动与项目设计文件不一致，并影响了项目碳层内的均一性，如修复时间、植被种类选择、修复面积以及边界等发生变化；</w:t>
      </w:r>
    </w:p>
    <w:p w14:paraId="6F492C37">
      <w:r>
        <w:t>b）因自然因素（如洪涝、干旱、病虫害等）或人为干扰（如非法占用、污染等）导致碳层内的变异性增加；</w:t>
      </w:r>
    </w:p>
    <w:p w14:paraId="65322CEB">
      <w:r>
        <w:t>c）因土地利用类型变化等造成碳层边界发生变化。</w:t>
      </w:r>
    </w:p>
    <w:p w14:paraId="50F225C9">
      <w:r>
        <w:t>若上一次监测发现，两个或多个碳层具有相近的碳储量及变化，则可将这些不同的碳层合并成一个碳层，以降低监测工作量。</w:t>
      </w:r>
    </w:p>
    <w:p w14:paraId="74A077DE">
      <w:pPr>
        <w:outlineLvl w:val="2"/>
      </w:pPr>
      <w:r>
        <w:t>8.3.5 抽样设计要求</w:t>
      </w:r>
    </w:p>
    <w:p w14:paraId="4B237669">
      <w:r>
        <w:t>本方法学要求对项目生物质碳储量进行抽样监测，监测应达到90%可靠性水平下90%的精度要求。项目业主须参照《温室气体自愿减排项目方法学 造林碳汇》（CCER-14-001-V01）附录E的步骤计算获得抽样监测所需的样地数量及在各碳层中的分布。分配到各碳层的监测样地数量采用最优分配法进行计算，每个碳层调查样地数不少于3个。</w:t>
      </w:r>
    </w:p>
    <w:p w14:paraId="2A82703D">
      <w:pPr>
        <w:outlineLvl w:val="2"/>
      </w:pPr>
      <w:r>
        <w:t>8.3.6 样地设置要求</w:t>
      </w:r>
    </w:p>
    <w:p w14:paraId="6918A2AF">
      <w:r>
        <w:t>项目生物质碳储量的变化可采用固定样地连续监测。项目业主须参照</w:t>
      </w:r>
      <w:bookmarkStart w:id="157" w:name="OLE_LINK13"/>
      <w:r>
        <w:t>《温室气体自愿减排项目方法学 造林碳汇》（CCER-14-001-V01）</w:t>
      </w:r>
      <w:bookmarkEnd w:id="157"/>
      <w:r>
        <w:t>附录E的步骤，采用随机起点、系统布点的方法设置样地。</w:t>
      </w:r>
    </w:p>
    <w:p w14:paraId="7125FB33">
      <w:r>
        <w:t>植被监测样地面积为</w:t>
      </w:r>
      <w:r>
        <w:rPr>
          <w:rFonts w:hint="eastAsia"/>
        </w:rPr>
        <w:t>1</w:t>
      </w:r>
      <w:r>
        <w:t>m</w:t>
      </w:r>
      <w:r>
        <w:rPr>
          <w:vertAlign w:val="superscript"/>
        </w:rPr>
        <w:t>2</w:t>
      </w:r>
      <w:r>
        <w:t>～25m</w:t>
      </w:r>
      <w:r>
        <w:rPr>
          <w:vertAlign w:val="superscript"/>
        </w:rPr>
        <w:t>2</w:t>
      </w:r>
      <w:r>
        <w:t>（根据植被类型确定，草本植被采用1m×1m样方，灌木及木本湿生植被采用5m×5m样方），样地形状采用方形或矩形。土壤监测点位应在植被样地内按对角线法设置3～5个采样点混合取样。水体监测点位应均匀分布于项目水域，不少于3个监测点。</w:t>
      </w:r>
    </w:p>
    <w:p w14:paraId="5922B562">
      <w:pPr>
        <w:outlineLvl w:val="2"/>
      </w:pPr>
      <w:r>
        <w:t>8.3.7 监测频率与时间要求</w:t>
      </w:r>
    </w:p>
    <w:p w14:paraId="23955322">
      <w:r>
        <w:t>项目业主应在项目设计阶段确定固定样地监测频率，具体要求如下：</w:t>
      </w:r>
    </w:p>
    <w:p w14:paraId="32A313B9">
      <w:r>
        <w:t>a）植被生物量：每年1次（9</w:t>
      </w:r>
      <w:r>
        <w:rPr>
          <w:rFonts w:hint="eastAsia"/>
          <w:lang w:eastAsia="zh-CN"/>
        </w:rPr>
        <w:t>—</w:t>
      </w:r>
      <w:r>
        <w:t>10月生物量高峰期）；</w:t>
      </w:r>
    </w:p>
    <w:p w14:paraId="353867EA">
      <w:r>
        <w:t>b）土壤有机碳：每2年1次；</w:t>
      </w:r>
    </w:p>
    <w:p w14:paraId="4FF74F54">
      <w:r>
        <w:t>c）水体溶解有机碳：每季度1次；</w:t>
      </w:r>
    </w:p>
    <w:p w14:paraId="5DAB22C1">
      <w:r>
        <w:t>d）水位与水质：每月1次；</w:t>
      </w:r>
    </w:p>
    <w:p w14:paraId="09612CC5">
      <w:r>
        <w:t>e）极端天气（暴雨、洪涝、干旱等）后15日内应急补测。</w:t>
      </w:r>
    </w:p>
    <w:p w14:paraId="6FFF2F32">
      <w:r>
        <w:t>首次监测时间不早于项目申请登记时间。</w:t>
      </w:r>
    </w:p>
    <w:p w14:paraId="2BC282C2">
      <w:pPr>
        <w:outlineLvl w:val="2"/>
      </w:pPr>
      <w:r>
        <w:t>8.3.8 项目生物质碳储量监测与计算要求</w:t>
      </w:r>
    </w:p>
    <w:p w14:paraId="601F0E0A">
      <w:r>
        <w:rPr>
          <w:rFonts w:hint="eastAsia"/>
        </w:rPr>
        <w:t>项目业主须参照《温室气体自愿减排项目方法学 造林碳汇》（CCER-14-001-V01）附录</w:t>
      </w:r>
      <w:r>
        <w:t>F</w:t>
      </w:r>
      <w:r>
        <w:rPr>
          <w:rFonts w:hint="eastAsia"/>
        </w:rPr>
        <w:t>，通过在项目样地监测得到的平均单位面积年生物质碳储量，计算项目边界内生物质碳储量的年变化量。具体包括：</w:t>
      </w:r>
    </w:p>
    <w:p w14:paraId="226A6D00">
      <w:r>
        <w:t>a）样地每木（株）调查：实测样地内所有活体湿地植被的株高、覆盖度、鲜重等指标；</w:t>
      </w:r>
    </w:p>
    <w:p w14:paraId="67E46AE5">
      <w:r>
        <w:t>b）采用附录A的方法计算单位面积植被生物量，结合生物量含碳率计算样地水平的植被碳储量，以及各碳层的平均单位面积植被碳储量；</w:t>
      </w:r>
    </w:p>
    <w:p w14:paraId="40E5C17C">
      <w:r>
        <w:t>c）按照分层抽样统计方法计算项目总体平均单位面积植被碳储量及其方差和不确定性；</w:t>
      </w:r>
    </w:p>
    <w:p w14:paraId="493C9A46">
      <w:r>
        <w:t>d）计算项目边界内植被碳储量的年变化量。</w:t>
      </w:r>
    </w:p>
    <w:p w14:paraId="34F73C4F">
      <w:pPr>
        <w:outlineLvl w:val="2"/>
      </w:pPr>
      <w:r>
        <w:t>8.3.9 数据精度控制与校正要求</w:t>
      </w:r>
    </w:p>
    <w:p w14:paraId="0BD1641D">
      <w:r>
        <w:t>基于样地的生物质碳储量的抽样调查，要求达到90%可靠性水平下90%的精度要求。如果测定精度低于该值，项目业主可通过增加样地数量进行补测，从而使测定结果达到精度要求；或选择扣减一定比例碳汇量的方式进行校正。</w:t>
      </w:r>
    </w:p>
    <w:p w14:paraId="7AFA75F6">
      <w:r>
        <w:rPr>
          <w:rFonts w:hint="eastAsia"/>
        </w:rPr>
        <w:t>扣减率按照《温室气体自愿减排项目方法学 造林碳汇》（CCER-14-001-V01）表35执行：不</w:t>
      </w:r>
      <w:r>
        <w:t>确定性小于或等于10%时扣减率为0%；大于10%但小于或等于20%时扣减率为6%；大于20%但小于或等于30%时扣减率为11%；大于30%时须增加样地数量，直至测定结果达到精度要求。</w:t>
      </w:r>
    </w:p>
    <w:p w14:paraId="758C5EDE">
      <w:r>
        <w:t>为保证监测数据的可靠性，在现有监测方法的基础上，鼓励使用无人机遥感、卫星遥感等技术作为湿地植被生物质碳储量监测的辅助校核工具。在满足精度与误差要求的基础上，可选用遥感方法进行监测。</w:t>
      </w:r>
    </w:p>
    <w:p w14:paraId="25205845">
      <w:pPr>
        <w:outlineLvl w:val="2"/>
      </w:pPr>
      <w:r>
        <w:t>8.3.10 项目温室气体排放监测和计算要求</w:t>
      </w:r>
    </w:p>
    <w:p w14:paraId="64E71F03">
      <w:r>
        <w:t>8.3.10.1 项目业主须详细记录项目边界内每一次土壤扰动活动发生的时间、面积、地理边界、扰动类型等信息，根据土壤扰动排放因子计算项目边界内由于土壤扰动引起的CH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排放量。</w:t>
      </w:r>
    </w:p>
    <w:p w14:paraId="119DAF07">
      <w:r>
        <w:t>8.3.10.2 项目业主须详细记录项目边界内水体管理措施（水位调节、水质净化等）的实施时间、影响水域面积等信息，根据水体管理排放因子计算项目边界内由于水体管理引起的CH</w:t>
      </w:r>
      <w:r>
        <w:rPr>
          <w:rFonts w:hint="eastAsia"/>
          <w:vertAlign w:val="subscript"/>
          <w:lang w:val="en-US" w:eastAsia="zh-CN"/>
        </w:rPr>
        <w:t>4</w:t>
      </w:r>
      <w:r>
        <w:t>和</w:t>
      </w:r>
      <w:r>
        <w:rPr>
          <w:rFonts w:cs="Times New Roman"/>
        </w:rPr>
        <w:t>N</w:t>
      </w:r>
      <w:r>
        <w:rPr>
          <w:rFonts w:hint="eastAsia" w:cs="Times New Roman"/>
          <w:vertAlign w:val="subscript"/>
          <w:lang w:val="en-US" w:eastAsia="zh-CN"/>
        </w:rPr>
        <w:t>2</w:t>
      </w:r>
      <w:r>
        <w:rPr>
          <w:rFonts w:cs="Times New Roman"/>
        </w:rPr>
        <w:t>O</w:t>
      </w:r>
      <w:r>
        <w:t>排放量。</w:t>
      </w:r>
    </w:p>
    <w:p w14:paraId="69505976">
      <w:r>
        <w:t>8.3.10.3 若项目存在其他显著的温室气体排放源（如施用有机肥、生物质燃烧等），应参照国家或江苏省相关规定单独核算并计入项目实际碳排放量。</w:t>
      </w:r>
    </w:p>
    <w:p w14:paraId="4A84ED5E">
      <w:pPr>
        <w:outlineLvl w:val="2"/>
      </w:pPr>
      <w:r>
        <w:t>8.3.11 数据管理与归档要求</w:t>
      </w:r>
    </w:p>
    <w:p w14:paraId="6892FF65">
      <w:r>
        <w:t>8.3.11.1 对于收集到的监测数据，项目业主应建立数据、信息等原始记录和台账管理制度，妥善保管监测数据、原始记录（植被调查、土壤采样分析、水体采样分析等）、证明材料（土地（水域）权属证明文件、项目合规性证明文件、修复工程竣工验收文件</w:t>
      </w:r>
      <w:r>
        <w:rPr>
          <w:rFonts w:hint="eastAsia"/>
        </w:rPr>
        <w:t>等</w:t>
      </w:r>
      <w:r>
        <w:t>）相关的书面文件等。原始记录和台账应明确数据来源、数据获取时间及填报台账的相关责任人等信息。</w:t>
      </w:r>
    </w:p>
    <w:p w14:paraId="6A5CB422">
      <w:r>
        <w:t>8.3.11.2 项目监测的所有数据均应进行电子存档，在该湿地碳普惠项目最后一期减排量登记后至少保存10年，确保相关数据可被追溯。数据存储应采用本地与云端双备份方式，确保数据安全。</w:t>
      </w:r>
    </w:p>
    <w:p w14:paraId="01777285">
      <w:r>
        <w:t>8.3.11.3 监测数据实行采样平行偏差不超过10%、实验室回收率90%～110%、双人录入、三级审核的质控标准。</w:t>
      </w:r>
    </w:p>
    <w:p w14:paraId="5E70F696">
      <w:pPr>
        <w:outlineLvl w:val="2"/>
      </w:pPr>
      <w:r>
        <w:t>8.3.12 非持久性风险与应对措施</w:t>
      </w:r>
    </w:p>
    <w:p w14:paraId="2EB0C105">
      <w:r>
        <w:t>湿地碳汇项目可能因自然因素（如洪涝、干旱、病虫害等）或人为干扰（如非法占用、污染、开发建设等）导致已清除的温室气体重新释放到大气中，即非持久性风险。</w:t>
      </w:r>
    </w:p>
    <w:p w14:paraId="4DE9AAAB">
      <w:r>
        <w:t>8.3.12.1 风险识别与预防措施：项目业主应在项目设计阶段识别可能影响湿地碳汇持久性的风险因素，并在项目实施过程中采取以下预防措施：</w:t>
      </w:r>
    </w:p>
    <w:p w14:paraId="18453166">
      <w:r>
        <w:t>a）建立湿地日常巡护制度，及时发现和制止非法开垦、捕捞、排污、侵占等违规行为；</w:t>
      </w:r>
    </w:p>
    <w:p w14:paraId="3184D046">
      <w:r>
        <w:t>b）建立外来入侵物种监测与防控机制，防止外来物种入侵导致湿地生态系统退化；</w:t>
      </w:r>
    </w:p>
    <w:p w14:paraId="4F36EC70">
      <w:r>
        <w:t>c）建立极端天气事件（洪涝、干旱等）应急预案，减少自然灾害对湿地碳汇的损害。</w:t>
      </w:r>
    </w:p>
    <w:p w14:paraId="09196AD2">
      <w:r>
        <w:t>8.3.12.2 风险发生后的处理：如果项目边界内发生重大自然或人为干扰导致碳汇能力显著衰减，项目业主应：</w:t>
      </w:r>
    </w:p>
    <w:p w14:paraId="2F239D82">
      <w:r>
        <w:t>a）在干扰发生后15日内完成应急监测，记录干扰的时间、地点、面积、边界、损害强度等信息；</w:t>
      </w:r>
    </w:p>
    <w:p w14:paraId="045E45F1">
      <w:r>
        <w:t>b）根据干扰影响程度调整碳层划分；</w:t>
      </w:r>
    </w:p>
    <w:p w14:paraId="2FADED7E">
      <w:r>
        <w:t>c）在后续减排量核算中如实反映碳汇损失，确保核算结果的真实性和保守性。</w:t>
      </w:r>
    </w:p>
    <w:p w14:paraId="3E7CC46E">
      <w:r>
        <w:t>8.3.12.3 非持久性风险扣减：本方法学在减排量核算时参考造林碳汇方法学的做法，考虑非持久性风险因素。考虑到湿地生态系统相较于森林生态系统面临更高的水文波动和人为干扰风险，在核算湿地碳普惠减排量时，应根据项目所在区域的湿地保护管理水平和历史干扰发生情况，在减排量核算中扣除一定比例以应对非持久性风险。具体扣减比例由项目业主在项目设计文件中依据历史洪涝、干旱、污染等灾害导致的湿地面积或碳储量损失比例计算确定，并报南京市碳普惠主管部门审核确认</w:t>
      </w:r>
      <w:r>
        <w:rPr>
          <w:rFonts w:hint="eastAsia"/>
        </w:rPr>
        <w:t>。</w:t>
      </w:r>
    </w:p>
    <w:p w14:paraId="538878A4">
      <w:pPr>
        <w:pStyle w:val="3"/>
        <w:spacing w:after="120"/>
        <w:rPr>
          <w:rFonts w:ascii="Times New Roman" w:hAnsi="Times New Roman" w:cs="Times New Roman"/>
        </w:rPr>
      </w:pPr>
      <w:bookmarkStart w:id="158" w:name="_Toc29452"/>
      <w:r>
        <w:rPr>
          <w:rFonts w:ascii="Times New Roman" w:hAnsi="Times New Roman" w:cs="Times New Roman"/>
        </w:rPr>
        <w:t>9项目审定与核查要点</w:t>
      </w:r>
      <w:bookmarkEnd w:id="158"/>
    </w:p>
    <w:p w14:paraId="35890CC3">
      <w:pPr>
        <w:outlineLvl w:val="1"/>
      </w:pPr>
      <w:bookmarkStart w:id="159" w:name="heading_46"/>
      <w:bookmarkStart w:id="160" w:name="_Toc231854814"/>
      <w:bookmarkStart w:id="161" w:name="_Toc21230"/>
      <w:r>
        <w:t>9.1</w:t>
      </w:r>
      <w:bookmarkEnd w:id="159"/>
      <w:r>
        <w:t>审定条件</w:t>
      </w:r>
      <w:bookmarkEnd w:id="160"/>
      <w:bookmarkEnd w:id="161"/>
    </w:p>
    <w:p w14:paraId="65BB5EDE">
      <w:bookmarkStart w:id="162" w:name="heading_47"/>
      <w:r>
        <w:t>申请备案的项目应满足本方法学规定的适用条件，项目减排量的真实性、唯一性和额外性应按照《南京市碳普惠管理实施方案》及相关配套文件的规定执行</w:t>
      </w:r>
      <w:r>
        <w:rPr>
          <w:rFonts w:hint="eastAsia"/>
        </w:rPr>
        <w:t>。</w:t>
      </w:r>
    </w:p>
    <w:p w14:paraId="6033562B">
      <w:pPr>
        <w:outlineLvl w:val="1"/>
      </w:pPr>
      <w:bookmarkStart w:id="163" w:name="_Toc231854815"/>
      <w:bookmarkStart w:id="164" w:name="_Toc1625"/>
      <w:r>
        <w:t>9.2</w:t>
      </w:r>
      <w:bookmarkEnd w:id="162"/>
      <w:r>
        <w:t>核查</w:t>
      </w:r>
      <w:bookmarkEnd w:id="163"/>
      <w:r>
        <w:t>要点</w:t>
      </w:r>
      <w:bookmarkEnd w:id="164"/>
    </w:p>
    <w:p w14:paraId="2C7DA290">
      <w:bookmarkStart w:id="165" w:name="heading_48"/>
      <w:r>
        <w:t>项目碳汇核算结果应通过第三方核查机构核查，核查机构应按照南京市碳普惠管理相关规定及《温室气体自愿减排项目审定与减排量核查实施规则》的适用部分出具核查报告。监测数据应完整、可追溯，不符合数据质量要求的项目不得申请备案。</w:t>
      </w:r>
    </w:p>
    <w:p w14:paraId="6AD23A36">
      <w:pPr>
        <w:outlineLvl w:val="1"/>
      </w:pPr>
      <w:bookmarkStart w:id="166" w:name="_Toc3028"/>
      <w:bookmarkStart w:id="167" w:name="_Toc231854816"/>
      <w:r>
        <w:t>9.3</w:t>
      </w:r>
      <w:bookmarkEnd w:id="165"/>
      <w:r>
        <w:t>文件留存</w:t>
      </w:r>
      <w:bookmarkEnd w:id="166"/>
      <w:bookmarkEnd w:id="167"/>
    </w:p>
    <w:p w14:paraId="1E1029E6">
      <w:r>
        <w:t>所有项目数据和信息应在该项目最后一期减排量登记后至少保存十年。</w:t>
      </w:r>
    </w:p>
    <w:p w14:paraId="6D240ED4">
      <w:pPr>
        <w:ind w:firstLine="562"/>
        <w:rPr>
          <w:rFonts w:eastAsia="宋体" w:cs="Times New Roman"/>
          <w:b/>
          <w:szCs w:val="28"/>
        </w:rPr>
      </w:pPr>
      <w:bookmarkStart w:id="168" w:name="_Toc231854817"/>
    </w:p>
    <w:p w14:paraId="666E9BCD">
      <w:pPr>
        <w:adjustRightInd w:val="0"/>
        <w:snapToGrid w:val="0"/>
        <w:ind w:firstLine="0" w:firstLineChars="0"/>
        <w:jc w:val="center"/>
        <w:rPr>
          <w:rFonts w:eastAsia="黑体" w:cs="Times New Roman"/>
          <w:sz w:val="24"/>
          <w:szCs w:val="24"/>
        </w:rPr>
        <w:sectPr>
          <w:footerReference r:id="rId11" w:type="default"/>
          <w:pgSz w:w="11905" w:h="16840"/>
          <w:pgMar w:top="1440" w:right="1800" w:bottom="1440" w:left="1800" w:header="720" w:footer="720" w:gutter="0"/>
          <w:pgNumType w:start="1"/>
          <w:cols w:space="720" w:num="1"/>
        </w:sectPr>
      </w:pPr>
    </w:p>
    <w:p w14:paraId="1B59D6A6">
      <w:pPr>
        <w:adjustRightInd w:val="0"/>
        <w:snapToGrid w:val="0"/>
        <w:ind w:firstLine="0" w:firstLineChars="0"/>
        <w:jc w:val="center"/>
        <w:rPr>
          <w:rFonts w:eastAsia="黑体" w:cs="Times New Roman"/>
          <w:sz w:val="24"/>
          <w:szCs w:val="24"/>
        </w:rPr>
      </w:pPr>
      <w:r>
        <w:rPr>
          <w:rFonts w:eastAsia="黑体" w:cs="Times New Roman"/>
          <w:sz w:val="24"/>
          <w:szCs w:val="24"/>
        </w:rPr>
        <w:t>附录</w:t>
      </w:r>
      <w:bookmarkEnd w:id="168"/>
    </w:p>
    <w:p w14:paraId="608C6D0D">
      <w:pPr>
        <w:pStyle w:val="4"/>
        <w:adjustRightInd w:val="0"/>
        <w:snapToGrid w:val="0"/>
      </w:pPr>
      <w:bookmarkStart w:id="169" w:name="_Toc231854818"/>
      <w:r>
        <w:t>附录A</w:t>
      </w:r>
      <w:r>
        <w:rPr>
          <w:rFonts w:hint="eastAsia"/>
        </w:rPr>
        <w:t xml:space="preserve"> </w:t>
      </w:r>
      <w:r>
        <w:t>湿地植被样地调查记录表（规范性）</w:t>
      </w:r>
      <w:bookmarkEnd w:id="169"/>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826"/>
        <w:gridCol w:w="988"/>
        <w:gridCol w:w="1301"/>
        <w:gridCol w:w="1827"/>
        <w:gridCol w:w="798"/>
        <w:gridCol w:w="1805"/>
      </w:tblGrid>
      <w:tr w14:paraId="74B7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9" w:hRule="atLeast"/>
          <w:jc w:val="center"/>
        </w:trPr>
        <w:tc>
          <w:tcPr>
            <w:tcW w:w="5000" w:type="pct"/>
            <w:gridSpan w:val="6"/>
            <w:tcMar>
              <w:top w:w="120" w:type="dxa"/>
              <w:left w:w="120" w:type="dxa"/>
              <w:bottom w:w="120" w:type="dxa"/>
              <w:right w:w="120" w:type="dxa"/>
            </w:tcMar>
            <w:vAlign w:val="center"/>
          </w:tcPr>
          <w:p w14:paraId="06408842">
            <w:pPr>
              <w:pStyle w:val="5"/>
              <w:jc w:val="center"/>
            </w:pPr>
            <w:r>
              <w:t>湿地植被样地调查记录表</w:t>
            </w:r>
          </w:p>
        </w:tc>
      </w:tr>
      <w:tr w14:paraId="38F97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19" w:hRule="atLeast"/>
          <w:jc w:val="center"/>
        </w:trPr>
        <w:tc>
          <w:tcPr>
            <w:tcW w:w="1069" w:type="pct"/>
            <w:tcMar>
              <w:top w:w="120" w:type="dxa"/>
              <w:left w:w="120" w:type="dxa"/>
              <w:bottom w:w="120" w:type="dxa"/>
              <w:right w:w="120" w:type="dxa"/>
            </w:tcMar>
            <w:vAlign w:val="center"/>
          </w:tcPr>
          <w:p w14:paraId="51291E50">
            <w:pPr>
              <w:pStyle w:val="5"/>
            </w:pPr>
            <w:r>
              <w:t>项目名称</w:t>
            </w:r>
          </w:p>
        </w:tc>
        <w:tc>
          <w:tcPr>
            <w:tcW w:w="1339" w:type="pct"/>
            <w:gridSpan w:val="2"/>
            <w:tcMar>
              <w:top w:w="120" w:type="dxa"/>
              <w:left w:w="120" w:type="dxa"/>
              <w:bottom w:w="120" w:type="dxa"/>
              <w:right w:w="120" w:type="dxa"/>
            </w:tcMar>
            <w:vAlign w:val="center"/>
          </w:tcPr>
          <w:p w14:paraId="317CC54B">
            <w:pPr>
              <w:pStyle w:val="5"/>
            </w:pPr>
          </w:p>
        </w:tc>
        <w:tc>
          <w:tcPr>
            <w:tcW w:w="1069" w:type="pct"/>
            <w:tcMar>
              <w:top w:w="120" w:type="dxa"/>
              <w:left w:w="120" w:type="dxa"/>
              <w:bottom w:w="120" w:type="dxa"/>
              <w:right w:w="120" w:type="dxa"/>
            </w:tcMar>
            <w:vAlign w:val="center"/>
          </w:tcPr>
          <w:p w14:paraId="1AA9AD1C">
            <w:pPr>
              <w:pStyle w:val="5"/>
            </w:pPr>
            <w:r>
              <w:t>调查日期</w:t>
            </w:r>
          </w:p>
        </w:tc>
        <w:tc>
          <w:tcPr>
            <w:tcW w:w="1523" w:type="pct"/>
            <w:gridSpan w:val="2"/>
            <w:tcMar>
              <w:top w:w="120" w:type="dxa"/>
              <w:left w:w="120" w:type="dxa"/>
              <w:bottom w:w="120" w:type="dxa"/>
              <w:right w:w="120" w:type="dxa"/>
            </w:tcMar>
            <w:vAlign w:val="center"/>
          </w:tcPr>
          <w:p w14:paraId="7A62BCFF">
            <w:pPr>
              <w:pStyle w:val="5"/>
            </w:pPr>
          </w:p>
        </w:tc>
      </w:tr>
      <w:tr w14:paraId="5716A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69" w:type="pct"/>
            <w:tcMar>
              <w:top w:w="120" w:type="dxa"/>
              <w:left w:w="120" w:type="dxa"/>
              <w:bottom w:w="120" w:type="dxa"/>
              <w:right w:w="120" w:type="dxa"/>
            </w:tcMar>
            <w:vAlign w:val="center"/>
          </w:tcPr>
          <w:p w14:paraId="55E9B19D">
            <w:pPr>
              <w:pStyle w:val="5"/>
            </w:pPr>
            <w:r>
              <w:t>样地编号</w:t>
            </w:r>
          </w:p>
        </w:tc>
        <w:tc>
          <w:tcPr>
            <w:tcW w:w="578" w:type="pct"/>
            <w:tcMar>
              <w:top w:w="120" w:type="dxa"/>
              <w:left w:w="120" w:type="dxa"/>
              <w:bottom w:w="120" w:type="dxa"/>
              <w:right w:w="120" w:type="dxa"/>
            </w:tcMar>
            <w:vAlign w:val="center"/>
          </w:tcPr>
          <w:p w14:paraId="014FC063">
            <w:pPr>
              <w:pStyle w:val="5"/>
            </w:pPr>
          </w:p>
        </w:tc>
        <w:tc>
          <w:tcPr>
            <w:tcW w:w="761" w:type="pct"/>
            <w:tcMar>
              <w:top w:w="120" w:type="dxa"/>
              <w:left w:w="120" w:type="dxa"/>
              <w:bottom w:w="120" w:type="dxa"/>
              <w:right w:w="120" w:type="dxa"/>
            </w:tcMar>
            <w:vAlign w:val="center"/>
          </w:tcPr>
          <w:p w14:paraId="6B943C1A">
            <w:pPr>
              <w:pStyle w:val="5"/>
            </w:pPr>
            <w:r>
              <w:t>样地坐标</w:t>
            </w:r>
          </w:p>
        </w:tc>
        <w:tc>
          <w:tcPr>
            <w:tcW w:w="1069" w:type="pct"/>
            <w:tcMar>
              <w:top w:w="120" w:type="dxa"/>
              <w:left w:w="120" w:type="dxa"/>
              <w:bottom w:w="120" w:type="dxa"/>
              <w:right w:w="120" w:type="dxa"/>
            </w:tcMar>
            <w:vAlign w:val="center"/>
          </w:tcPr>
          <w:p w14:paraId="30D29CBF">
            <w:pPr>
              <w:pStyle w:val="5"/>
            </w:pPr>
            <w:r>
              <w:t>经度：纬度：</w:t>
            </w:r>
          </w:p>
        </w:tc>
        <w:tc>
          <w:tcPr>
            <w:tcW w:w="467" w:type="pct"/>
            <w:tcMar>
              <w:top w:w="120" w:type="dxa"/>
              <w:left w:w="120" w:type="dxa"/>
              <w:bottom w:w="120" w:type="dxa"/>
              <w:right w:w="120" w:type="dxa"/>
            </w:tcMar>
            <w:vAlign w:val="center"/>
          </w:tcPr>
          <w:p w14:paraId="1AD40E9A">
            <w:pPr>
              <w:pStyle w:val="5"/>
            </w:pPr>
            <w:r>
              <w:t>样方面积</w:t>
            </w:r>
          </w:p>
        </w:tc>
        <w:tc>
          <w:tcPr>
            <w:tcW w:w="1056" w:type="pct"/>
            <w:tcMar>
              <w:top w:w="120" w:type="dxa"/>
              <w:left w:w="120" w:type="dxa"/>
              <w:bottom w:w="120" w:type="dxa"/>
              <w:right w:w="120" w:type="dxa"/>
            </w:tcMar>
            <w:vAlign w:val="center"/>
          </w:tcPr>
          <w:p w14:paraId="5440DACC">
            <w:pPr>
              <w:pStyle w:val="5"/>
            </w:pPr>
            <w:r>
              <w:t>1m×1m/2m×2m</w:t>
            </w:r>
          </w:p>
        </w:tc>
      </w:tr>
      <w:tr w14:paraId="5F56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69" w:type="pct"/>
            <w:tcMar>
              <w:top w:w="120" w:type="dxa"/>
              <w:left w:w="120" w:type="dxa"/>
              <w:bottom w:w="120" w:type="dxa"/>
              <w:right w:w="120" w:type="dxa"/>
            </w:tcMar>
            <w:vAlign w:val="center"/>
          </w:tcPr>
          <w:p w14:paraId="1C2EA880">
            <w:pPr>
              <w:pStyle w:val="5"/>
            </w:pPr>
            <w:r>
              <w:t>湿地类型</w:t>
            </w:r>
          </w:p>
        </w:tc>
        <w:tc>
          <w:tcPr>
            <w:tcW w:w="1339" w:type="pct"/>
            <w:gridSpan w:val="2"/>
            <w:tcMar>
              <w:top w:w="120" w:type="dxa"/>
              <w:left w:w="120" w:type="dxa"/>
              <w:bottom w:w="120" w:type="dxa"/>
              <w:right w:w="120" w:type="dxa"/>
            </w:tcMar>
            <w:vAlign w:val="center"/>
          </w:tcPr>
          <w:p w14:paraId="4502F79D">
            <w:pPr>
              <w:pStyle w:val="5"/>
            </w:pPr>
            <w:r>
              <w:t>湖泊湿地/河流湿地/沼泽湿地</w:t>
            </w:r>
            <w:r>
              <w:rPr>
                <w:rFonts w:hint="eastAsia"/>
              </w:rPr>
              <w:t>/乡村小微湿地</w:t>
            </w:r>
          </w:p>
        </w:tc>
        <w:tc>
          <w:tcPr>
            <w:tcW w:w="1069" w:type="pct"/>
            <w:tcMar>
              <w:top w:w="120" w:type="dxa"/>
              <w:left w:w="120" w:type="dxa"/>
              <w:bottom w:w="120" w:type="dxa"/>
              <w:right w:w="120" w:type="dxa"/>
            </w:tcMar>
            <w:vAlign w:val="center"/>
          </w:tcPr>
          <w:p w14:paraId="1DE215F5">
            <w:pPr>
              <w:pStyle w:val="5"/>
            </w:pPr>
            <w:r>
              <w:t>植被类型</w:t>
            </w:r>
          </w:p>
        </w:tc>
        <w:tc>
          <w:tcPr>
            <w:tcW w:w="1523" w:type="pct"/>
            <w:gridSpan w:val="2"/>
            <w:tcMar>
              <w:top w:w="120" w:type="dxa"/>
              <w:left w:w="120" w:type="dxa"/>
              <w:bottom w:w="120" w:type="dxa"/>
              <w:right w:w="120" w:type="dxa"/>
            </w:tcMar>
            <w:vAlign w:val="center"/>
          </w:tcPr>
          <w:p w14:paraId="05711C44">
            <w:pPr>
              <w:pStyle w:val="5"/>
            </w:pPr>
            <w:r>
              <w:t>挺水/浮水/沉水/灌丛/乔木</w:t>
            </w:r>
          </w:p>
        </w:tc>
      </w:tr>
      <w:tr w14:paraId="3A403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69" w:type="pct"/>
            <w:tcMar>
              <w:top w:w="120" w:type="dxa"/>
              <w:left w:w="120" w:type="dxa"/>
              <w:bottom w:w="120" w:type="dxa"/>
              <w:right w:w="120" w:type="dxa"/>
            </w:tcMar>
            <w:vAlign w:val="center"/>
          </w:tcPr>
          <w:p w14:paraId="067206F6">
            <w:pPr>
              <w:pStyle w:val="5"/>
            </w:pPr>
            <w:r>
              <w:t>优势物种</w:t>
            </w:r>
          </w:p>
        </w:tc>
        <w:tc>
          <w:tcPr>
            <w:tcW w:w="1339" w:type="pct"/>
            <w:gridSpan w:val="2"/>
            <w:tcMar>
              <w:top w:w="120" w:type="dxa"/>
              <w:left w:w="120" w:type="dxa"/>
              <w:bottom w:w="120" w:type="dxa"/>
              <w:right w:w="120" w:type="dxa"/>
            </w:tcMar>
            <w:vAlign w:val="center"/>
          </w:tcPr>
          <w:p w14:paraId="5F81BA6C">
            <w:pPr>
              <w:pStyle w:val="5"/>
            </w:pPr>
          </w:p>
        </w:tc>
        <w:tc>
          <w:tcPr>
            <w:tcW w:w="1069" w:type="pct"/>
            <w:tcMar>
              <w:top w:w="120" w:type="dxa"/>
              <w:left w:w="120" w:type="dxa"/>
              <w:bottom w:w="120" w:type="dxa"/>
              <w:right w:w="120" w:type="dxa"/>
            </w:tcMar>
            <w:vAlign w:val="center"/>
          </w:tcPr>
          <w:p w14:paraId="0ED99DC6">
            <w:pPr>
              <w:pStyle w:val="5"/>
            </w:pPr>
            <w:r>
              <w:t>植被覆盖度（%）</w:t>
            </w:r>
          </w:p>
        </w:tc>
        <w:tc>
          <w:tcPr>
            <w:tcW w:w="1523" w:type="pct"/>
            <w:gridSpan w:val="2"/>
            <w:tcMar>
              <w:top w:w="120" w:type="dxa"/>
              <w:left w:w="120" w:type="dxa"/>
              <w:bottom w:w="120" w:type="dxa"/>
              <w:right w:w="120" w:type="dxa"/>
            </w:tcMar>
            <w:vAlign w:val="center"/>
          </w:tcPr>
          <w:p w14:paraId="4D8674EB">
            <w:pPr>
              <w:pStyle w:val="5"/>
            </w:pPr>
          </w:p>
        </w:tc>
      </w:tr>
      <w:tr w14:paraId="5B5E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69" w:type="pct"/>
            <w:tcMar>
              <w:top w:w="120" w:type="dxa"/>
              <w:left w:w="120" w:type="dxa"/>
              <w:bottom w:w="120" w:type="dxa"/>
              <w:right w:w="120" w:type="dxa"/>
            </w:tcMar>
            <w:vAlign w:val="center"/>
          </w:tcPr>
          <w:p w14:paraId="4CF86245">
            <w:pPr>
              <w:pStyle w:val="5"/>
            </w:pPr>
            <w:r>
              <w:t>平均株高（cm）</w:t>
            </w:r>
          </w:p>
        </w:tc>
        <w:tc>
          <w:tcPr>
            <w:tcW w:w="1339" w:type="pct"/>
            <w:gridSpan w:val="2"/>
            <w:tcMar>
              <w:top w:w="120" w:type="dxa"/>
              <w:left w:w="120" w:type="dxa"/>
              <w:bottom w:w="120" w:type="dxa"/>
              <w:right w:w="120" w:type="dxa"/>
            </w:tcMar>
            <w:vAlign w:val="center"/>
          </w:tcPr>
          <w:p w14:paraId="6FDED77E">
            <w:pPr>
              <w:pStyle w:val="5"/>
            </w:pPr>
          </w:p>
        </w:tc>
        <w:tc>
          <w:tcPr>
            <w:tcW w:w="1069" w:type="pct"/>
            <w:tcMar>
              <w:top w:w="120" w:type="dxa"/>
              <w:left w:w="120" w:type="dxa"/>
              <w:bottom w:w="120" w:type="dxa"/>
              <w:right w:w="120" w:type="dxa"/>
            </w:tcMar>
            <w:vAlign w:val="center"/>
          </w:tcPr>
          <w:p w14:paraId="52FDE23A">
            <w:pPr>
              <w:pStyle w:val="5"/>
            </w:pPr>
            <w:r>
              <w:t>生长状况</w:t>
            </w:r>
          </w:p>
        </w:tc>
        <w:tc>
          <w:tcPr>
            <w:tcW w:w="1523" w:type="pct"/>
            <w:gridSpan w:val="2"/>
            <w:tcMar>
              <w:top w:w="120" w:type="dxa"/>
              <w:left w:w="120" w:type="dxa"/>
              <w:bottom w:w="120" w:type="dxa"/>
              <w:right w:w="120" w:type="dxa"/>
            </w:tcMar>
            <w:vAlign w:val="center"/>
          </w:tcPr>
          <w:p w14:paraId="70DCA2CF">
            <w:pPr>
              <w:pStyle w:val="5"/>
            </w:pPr>
            <w:r>
              <w:t>良好/一般/较差</w:t>
            </w:r>
          </w:p>
        </w:tc>
      </w:tr>
      <w:tr w14:paraId="6766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69" w:type="pct"/>
            <w:tcMar>
              <w:top w:w="120" w:type="dxa"/>
              <w:left w:w="120" w:type="dxa"/>
              <w:bottom w:w="120" w:type="dxa"/>
              <w:right w:w="120" w:type="dxa"/>
            </w:tcMar>
            <w:vAlign w:val="center"/>
          </w:tcPr>
          <w:p w14:paraId="5FF57806">
            <w:pPr>
              <w:pStyle w:val="5"/>
              <w:rPr>
                <w:highlight w:val="none"/>
              </w:rPr>
            </w:pPr>
            <w:r>
              <w:rPr>
                <w:highlight w:val="none"/>
              </w:rPr>
              <w:t>地上鲜重（g）</w:t>
            </w:r>
          </w:p>
        </w:tc>
        <w:tc>
          <w:tcPr>
            <w:tcW w:w="1339" w:type="pct"/>
            <w:gridSpan w:val="2"/>
            <w:tcMar>
              <w:top w:w="120" w:type="dxa"/>
              <w:left w:w="120" w:type="dxa"/>
              <w:bottom w:w="120" w:type="dxa"/>
              <w:right w:w="120" w:type="dxa"/>
            </w:tcMar>
            <w:vAlign w:val="center"/>
          </w:tcPr>
          <w:p w14:paraId="670A7636">
            <w:pPr>
              <w:pStyle w:val="5"/>
              <w:rPr>
                <w:highlight w:val="none"/>
              </w:rPr>
            </w:pPr>
          </w:p>
        </w:tc>
        <w:tc>
          <w:tcPr>
            <w:tcW w:w="1069" w:type="pct"/>
            <w:tcMar>
              <w:top w:w="120" w:type="dxa"/>
              <w:left w:w="120" w:type="dxa"/>
              <w:bottom w:w="120" w:type="dxa"/>
              <w:right w:w="120" w:type="dxa"/>
            </w:tcMar>
            <w:vAlign w:val="center"/>
          </w:tcPr>
          <w:p w14:paraId="1765F55F">
            <w:pPr>
              <w:pStyle w:val="5"/>
              <w:rPr>
                <w:highlight w:val="none"/>
              </w:rPr>
            </w:pPr>
            <w:r>
              <w:rPr>
                <w:highlight w:val="none"/>
              </w:rPr>
              <w:t>地下鲜重（g）</w:t>
            </w:r>
          </w:p>
        </w:tc>
        <w:tc>
          <w:tcPr>
            <w:tcW w:w="1523" w:type="pct"/>
            <w:gridSpan w:val="2"/>
            <w:tcMar>
              <w:top w:w="120" w:type="dxa"/>
              <w:left w:w="120" w:type="dxa"/>
              <w:bottom w:w="120" w:type="dxa"/>
              <w:right w:w="120" w:type="dxa"/>
            </w:tcMar>
            <w:vAlign w:val="center"/>
          </w:tcPr>
          <w:p w14:paraId="3D830BBD">
            <w:pPr>
              <w:pStyle w:val="5"/>
            </w:pPr>
          </w:p>
        </w:tc>
      </w:tr>
      <w:tr w14:paraId="04CB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69" w:type="pct"/>
            <w:tcMar>
              <w:top w:w="120" w:type="dxa"/>
              <w:left w:w="120" w:type="dxa"/>
              <w:bottom w:w="120" w:type="dxa"/>
              <w:right w:w="120" w:type="dxa"/>
            </w:tcMar>
            <w:vAlign w:val="center"/>
          </w:tcPr>
          <w:p w14:paraId="5383377C">
            <w:pPr>
              <w:pStyle w:val="5"/>
              <w:rPr>
                <w:highlight w:val="none"/>
              </w:rPr>
            </w:pPr>
            <w:r>
              <w:rPr>
                <w:highlight w:val="none"/>
              </w:rPr>
              <w:t>地上干重（80℃烘干恒重，g）</w:t>
            </w:r>
          </w:p>
        </w:tc>
        <w:tc>
          <w:tcPr>
            <w:tcW w:w="1339" w:type="pct"/>
            <w:gridSpan w:val="2"/>
            <w:tcMar>
              <w:top w:w="120" w:type="dxa"/>
              <w:left w:w="120" w:type="dxa"/>
              <w:bottom w:w="120" w:type="dxa"/>
              <w:right w:w="120" w:type="dxa"/>
            </w:tcMar>
            <w:vAlign w:val="center"/>
          </w:tcPr>
          <w:p w14:paraId="6BF470ED">
            <w:pPr>
              <w:pStyle w:val="5"/>
              <w:rPr>
                <w:highlight w:val="none"/>
              </w:rPr>
            </w:pPr>
          </w:p>
        </w:tc>
        <w:tc>
          <w:tcPr>
            <w:tcW w:w="1069" w:type="pct"/>
            <w:tcMar>
              <w:top w:w="120" w:type="dxa"/>
              <w:left w:w="120" w:type="dxa"/>
              <w:bottom w:w="120" w:type="dxa"/>
              <w:right w:w="120" w:type="dxa"/>
            </w:tcMar>
            <w:vAlign w:val="center"/>
          </w:tcPr>
          <w:p w14:paraId="1B9D2EFC">
            <w:pPr>
              <w:pStyle w:val="5"/>
              <w:rPr>
                <w:highlight w:val="none"/>
              </w:rPr>
            </w:pPr>
            <w:r>
              <w:rPr>
                <w:highlight w:val="none"/>
              </w:rPr>
              <w:t>地下干重（80℃烘干恒重，g）</w:t>
            </w:r>
          </w:p>
        </w:tc>
        <w:tc>
          <w:tcPr>
            <w:tcW w:w="1523" w:type="pct"/>
            <w:gridSpan w:val="2"/>
            <w:tcMar>
              <w:top w:w="120" w:type="dxa"/>
              <w:left w:w="120" w:type="dxa"/>
              <w:bottom w:w="120" w:type="dxa"/>
              <w:right w:w="120" w:type="dxa"/>
            </w:tcMar>
            <w:vAlign w:val="center"/>
          </w:tcPr>
          <w:p w14:paraId="782028D3">
            <w:pPr>
              <w:pStyle w:val="5"/>
            </w:pPr>
          </w:p>
        </w:tc>
      </w:tr>
      <w:tr w14:paraId="34F1A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69" w:type="pct"/>
            <w:tcMar>
              <w:top w:w="120" w:type="dxa"/>
              <w:left w:w="120" w:type="dxa"/>
              <w:bottom w:w="120" w:type="dxa"/>
              <w:right w:w="120" w:type="dxa"/>
            </w:tcMar>
            <w:vAlign w:val="center"/>
          </w:tcPr>
          <w:p w14:paraId="7E682ADB">
            <w:pPr>
              <w:pStyle w:val="5"/>
            </w:pPr>
            <w:r>
              <w:t>单位面积生物量（t/hm²）</w:t>
            </w:r>
          </w:p>
        </w:tc>
        <w:tc>
          <w:tcPr>
            <w:tcW w:w="1339" w:type="pct"/>
            <w:gridSpan w:val="2"/>
            <w:tcMar>
              <w:top w:w="120" w:type="dxa"/>
              <w:left w:w="120" w:type="dxa"/>
              <w:bottom w:w="120" w:type="dxa"/>
              <w:right w:w="120" w:type="dxa"/>
            </w:tcMar>
            <w:vAlign w:val="center"/>
          </w:tcPr>
          <w:p w14:paraId="7D41011A">
            <w:pPr>
              <w:pStyle w:val="5"/>
            </w:pPr>
          </w:p>
        </w:tc>
        <w:tc>
          <w:tcPr>
            <w:tcW w:w="1069" w:type="pct"/>
            <w:tcMar>
              <w:top w:w="120" w:type="dxa"/>
              <w:left w:w="120" w:type="dxa"/>
              <w:bottom w:w="120" w:type="dxa"/>
              <w:right w:w="120" w:type="dxa"/>
            </w:tcMar>
            <w:vAlign w:val="center"/>
          </w:tcPr>
          <w:p w14:paraId="41D431DD">
            <w:pPr>
              <w:pStyle w:val="5"/>
            </w:pPr>
            <w:r>
              <w:t>植被含碳率（%）</w:t>
            </w:r>
          </w:p>
        </w:tc>
        <w:tc>
          <w:tcPr>
            <w:tcW w:w="1523" w:type="pct"/>
            <w:gridSpan w:val="2"/>
            <w:tcMar>
              <w:top w:w="120" w:type="dxa"/>
              <w:left w:w="120" w:type="dxa"/>
              <w:bottom w:w="120" w:type="dxa"/>
              <w:right w:w="120" w:type="dxa"/>
            </w:tcMar>
            <w:vAlign w:val="center"/>
          </w:tcPr>
          <w:p w14:paraId="0489C906">
            <w:pPr>
              <w:pStyle w:val="5"/>
            </w:pPr>
          </w:p>
        </w:tc>
      </w:tr>
      <w:tr w14:paraId="7748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69" w:type="pct"/>
            <w:tcMar>
              <w:top w:w="120" w:type="dxa"/>
              <w:left w:w="120" w:type="dxa"/>
              <w:bottom w:w="120" w:type="dxa"/>
              <w:right w:w="120" w:type="dxa"/>
            </w:tcMar>
            <w:vAlign w:val="center"/>
          </w:tcPr>
          <w:p w14:paraId="35B67550">
            <w:pPr>
              <w:pStyle w:val="5"/>
            </w:pPr>
            <w:r>
              <w:t>单样方植被碳储量（tC）</w:t>
            </w:r>
          </w:p>
        </w:tc>
        <w:tc>
          <w:tcPr>
            <w:tcW w:w="1339" w:type="pct"/>
            <w:gridSpan w:val="2"/>
            <w:tcMar>
              <w:top w:w="120" w:type="dxa"/>
              <w:left w:w="120" w:type="dxa"/>
              <w:bottom w:w="120" w:type="dxa"/>
              <w:right w:w="120" w:type="dxa"/>
            </w:tcMar>
            <w:vAlign w:val="center"/>
          </w:tcPr>
          <w:p w14:paraId="33BF5FC5">
            <w:pPr>
              <w:pStyle w:val="5"/>
            </w:pPr>
          </w:p>
        </w:tc>
        <w:tc>
          <w:tcPr>
            <w:tcW w:w="1069" w:type="pct"/>
            <w:tcMar>
              <w:top w:w="120" w:type="dxa"/>
              <w:left w:w="120" w:type="dxa"/>
              <w:bottom w:w="120" w:type="dxa"/>
              <w:right w:w="120" w:type="dxa"/>
            </w:tcMar>
            <w:vAlign w:val="center"/>
          </w:tcPr>
          <w:p w14:paraId="4FC9DD03">
            <w:pPr>
              <w:pStyle w:val="5"/>
            </w:pPr>
            <w:r>
              <w:t>采样人</w:t>
            </w:r>
          </w:p>
        </w:tc>
        <w:tc>
          <w:tcPr>
            <w:tcW w:w="1523" w:type="pct"/>
            <w:gridSpan w:val="2"/>
            <w:tcMar>
              <w:top w:w="120" w:type="dxa"/>
              <w:left w:w="120" w:type="dxa"/>
              <w:bottom w:w="120" w:type="dxa"/>
              <w:right w:w="120" w:type="dxa"/>
            </w:tcMar>
            <w:vAlign w:val="center"/>
          </w:tcPr>
          <w:p w14:paraId="0E308AC5">
            <w:pPr>
              <w:pStyle w:val="5"/>
            </w:pPr>
          </w:p>
        </w:tc>
      </w:tr>
      <w:tr w14:paraId="71F53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6" w:hRule="atLeast"/>
          <w:jc w:val="center"/>
        </w:trPr>
        <w:tc>
          <w:tcPr>
            <w:tcW w:w="1069" w:type="pct"/>
            <w:tcMar>
              <w:top w:w="120" w:type="dxa"/>
              <w:left w:w="120" w:type="dxa"/>
              <w:bottom w:w="120" w:type="dxa"/>
              <w:right w:w="120" w:type="dxa"/>
            </w:tcMar>
            <w:vAlign w:val="center"/>
          </w:tcPr>
          <w:p w14:paraId="2C415909">
            <w:pPr>
              <w:pStyle w:val="5"/>
            </w:pPr>
            <w:r>
              <w:t>记录人</w:t>
            </w:r>
          </w:p>
        </w:tc>
        <w:tc>
          <w:tcPr>
            <w:tcW w:w="1339" w:type="pct"/>
            <w:gridSpan w:val="2"/>
            <w:tcMar>
              <w:top w:w="120" w:type="dxa"/>
              <w:left w:w="120" w:type="dxa"/>
              <w:bottom w:w="120" w:type="dxa"/>
              <w:right w:w="120" w:type="dxa"/>
            </w:tcMar>
            <w:vAlign w:val="center"/>
          </w:tcPr>
          <w:p w14:paraId="62016B09">
            <w:pPr>
              <w:pStyle w:val="5"/>
            </w:pPr>
          </w:p>
        </w:tc>
        <w:tc>
          <w:tcPr>
            <w:tcW w:w="1069" w:type="pct"/>
            <w:tcMar>
              <w:top w:w="120" w:type="dxa"/>
              <w:left w:w="120" w:type="dxa"/>
              <w:bottom w:w="120" w:type="dxa"/>
              <w:right w:w="120" w:type="dxa"/>
            </w:tcMar>
            <w:vAlign w:val="center"/>
          </w:tcPr>
          <w:p w14:paraId="6B741E05">
            <w:pPr>
              <w:pStyle w:val="5"/>
            </w:pPr>
            <w:r>
              <w:t>审核人</w:t>
            </w:r>
          </w:p>
        </w:tc>
        <w:tc>
          <w:tcPr>
            <w:tcW w:w="1523" w:type="pct"/>
            <w:gridSpan w:val="2"/>
            <w:tcMar>
              <w:top w:w="120" w:type="dxa"/>
              <w:left w:w="120" w:type="dxa"/>
              <w:bottom w:w="120" w:type="dxa"/>
              <w:right w:w="120" w:type="dxa"/>
            </w:tcMar>
            <w:vAlign w:val="center"/>
          </w:tcPr>
          <w:p w14:paraId="60B09947">
            <w:pPr>
              <w:pStyle w:val="5"/>
            </w:pPr>
          </w:p>
        </w:tc>
      </w:tr>
      <w:tr w14:paraId="7AF5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6" w:hRule="atLeast"/>
          <w:jc w:val="center"/>
        </w:trPr>
        <w:tc>
          <w:tcPr>
            <w:tcW w:w="1069" w:type="pct"/>
            <w:tcMar>
              <w:top w:w="120" w:type="dxa"/>
              <w:left w:w="120" w:type="dxa"/>
              <w:bottom w:w="120" w:type="dxa"/>
              <w:right w:w="120" w:type="dxa"/>
            </w:tcMar>
            <w:vAlign w:val="center"/>
          </w:tcPr>
          <w:p w14:paraId="67142641">
            <w:pPr>
              <w:pStyle w:val="5"/>
            </w:pPr>
            <w:r>
              <w:t>现场照片</w:t>
            </w:r>
          </w:p>
        </w:tc>
        <w:tc>
          <w:tcPr>
            <w:tcW w:w="3931" w:type="pct"/>
            <w:gridSpan w:val="5"/>
            <w:tcMar>
              <w:top w:w="120" w:type="dxa"/>
              <w:left w:w="120" w:type="dxa"/>
              <w:bottom w:w="120" w:type="dxa"/>
              <w:right w:w="120" w:type="dxa"/>
            </w:tcMar>
            <w:vAlign w:val="center"/>
          </w:tcPr>
          <w:p w14:paraId="0B0C891F">
            <w:pPr>
              <w:pStyle w:val="5"/>
            </w:pPr>
          </w:p>
        </w:tc>
      </w:tr>
      <w:tr w14:paraId="3DD8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7" w:hRule="atLeast"/>
          <w:jc w:val="center"/>
        </w:trPr>
        <w:tc>
          <w:tcPr>
            <w:tcW w:w="1069" w:type="pct"/>
            <w:tcMar>
              <w:top w:w="120" w:type="dxa"/>
              <w:left w:w="120" w:type="dxa"/>
              <w:bottom w:w="120" w:type="dxa"/>
              <w:right w:w="120" w:type="dxa"/>
            </w:tcMar>
            <w:vAlign w:val="center"/>
          </w:tcPr>
          <w:p w14:paraId="29EFBCE9">
            <w:pPr>
              <w:pStyle w:val="5"/>
            </w:pPr>
            <w:r>
              <w:t>备注</w:t>
            </w:r>
          </w:p>
        </w:tc>
        <w:tc>
          <w:tcPr>
            <w:tcW w:w="3931" w:type="pct"/>
            <w:gridSpan w:val="5"/>
            <w:tcMar>
              <w:top w:w="120" w:type="dxa"/>
              <w:left w:w="120" w:type="dxa"/>
              <w:bottom w:w="120" w:type="dxa"/>
              <w:right w:w="120" w:type="dxa"/>
            </w:tcMar>
            <w:vAlign w:val="center"/>
          </w:tcPr>
          <w:p w14:paraId="6D2EF774">
            <w:pPr>
              <w:pStyle w:val="5"/>
            </w:pPr>
            <w:r>
              <w:t>记录样方特殊情况、植被长势异常、人为扰动等信息</w:t>
            </w:r>
          </w:p>
        </w:tc>
      </w:tr>
    </w:tbl>
    <w:p w14:paraId="2799E2C1">
      <w:pPr>
        <w:widowControl/>
        <w:ind w:firstLine="482"/>
        <w:rPr>
          <w:rFonts w:eastAsia="宋体" w:cs="Times New Roman"/>
          <w:b/>
          <w:bCs/>
          <w:kern w:val="0"/>
          <w:sz w:val="24"/>
          <w:szCs w:val="24"/>
        </w:rPr>
      </w:pPr>
    </w:p>
    <w:p w14:paraId="559CCA4C">
      <w:pPr>
        <w:widowControl/>
        <w:ind w:firstLine="482"/>
        <w:jc w:val="center"/>
        <w:outlineLvl w:val="2"/>
        <w:rPr>
          <w:rFonts w:eastAsia="宋体" w:cs="Times New Roman"/>
          <w:b/>
          <w:bCs/>
          <w:kern w:val="0"/>
          <w:sz w:val="24"/>
          <w:szCs w:val="24"/>
        </w:rPr>
        <w:sectPr>
          <w:pgSz w:w="11905" w:h="16840"/>
          <w:pgMar w:top="1440" w:right="1800" w:bottom="1440" w:left="1800" w:header="720" w:footer="720" w:gutter="0"/>
          <w:cols w:space="720" w:num="1"/>
        </w:sectPr>
      </w:pPr>
    </w:p>
    <w:p w14:paraId="7B09AAAF">
      <w:pPr>
        <w:pStyle w:val="4"/>
        <w:adjustRightInd w:val="0"/>
        <w:snapToGrid w:val="0"/>
      </w:pPr>
      <w:bookmarkStart w:id="170" w:name="_Toc231854819"/>
      <w:r>
        <w:t>附录B</w:t>
      </w:r>
      <w:r>
        <w:rPr>
          <w:rFonts w:hint="eastAsia"/>
        </w:rPr>
        <w:t xml:space="preserve"> </w:t>
      </w:r>
      <w:r>
        <w:t>土壤采样与分析记录表（规范性）</w:t>
      </w:r>
      <w:bookmarkEnd w:id="170"/>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606"/>
        <w:gridCol w:w="1167"/>
        <w:gridCol w:w="1784"/>
        <w:gridCol w:w="1693"/>
        <w:gridCol w:w="763"/>
        <w:gridCol w:w="532"/>
      </w:tblGrid>
      <w:tr w14:paraId="5E29B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4" w:hRule="atLeast"/>
          <w:jc w:val="center"/>
        </w:trPr>
        <w:tc>
          <w:tcPr>
            <w:tcW w:w="5000" w:type="pct"/>
            <w:gridSpan w:val="6"/>
            <w:tcMar>
              <w:top w:w="120" w:type="dxa"/>
              <w:left w:w="120" w:type="dxa"/>
              <w:bottom w:w="120" w:type="dxa"/>
              <w:right w:w="120" w:type="dxa"/>
            </w:tcMar>
            <w:vAlign w:val="center"/>
          </w:tcPr>
          <w:p w14:paraId="3CE5FD0D">
            <w:pPr>
              <w:pStyle w:val="5"/>
              <w:jc w:val="center"/>
            </w:pPr>
            <w:r>
              <w:rPr>
                <w:highlight w:val="none"/>
              </w:rPr>
              <w:t>土壤采样与</w:t>
            </w:r>
            <w:r>
              <w:rPr>
                <w:rFonts w:hint="eastAsia"/>
                <w:highlight w:val="none"/>
                <w:lang w:val="en-US" w:eastAsia="zh-CN"/>
              </w:rPr>
              <w:t>有机碳含量</w:t>
            </w:r>
            <w:r>
              <w:rPr>
                <w:highlight w:val="none"/>
              </w:rPr>
              <w:t>分析记录表</w:t>
            </w:r>
          </w:p>
        </w:tc>
      </w:tr>
      <w:tr w14:paraId="0B55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2" w:hRule="atLeast"/>
          <w:jc w:val="center"/>
        </w:trPr>
        <w:tc>
          <w:tcPr>
            <w:tcW w:w="1524" w:type="pct"/>
            <w:tcMar>
              <w:top w:w="120" w:type="dxa"/>
              <w:left w:w="120" w:type="dxa"/>
              <w:bottom w:w="120" w:type="dxa"/>
              <w:right w:w="120" w:type="dxa"/>
            </w:tcMar>
            <w:vAlign w:val="center"/>
          </w:tcPr>
          <w:p w14:paraId="006F2F44">
            <w:pPr>
              <w:pStyle w:val="5"/>
            </w:pPr>
            <w:r>
              <w:t>项目名称</w:t>
            </w:r>
          </w:p>
        </w:tc>
        <w:tc>
          <w:tcPr>
            <w:tcW w:w="1726" w:type="pct"/>
            <w:gridSpan w:val="2"/>
            <w:tcMar>
              <w:top w:w="120" w:type="dxa"/>
              <w:left w:w="120" w:type="dxa"/>
              <w:bottom w:w="120" w:type="dxa"/>
              <w:right w:w="120" w:type="dxa"/>
            </w:tcMar>
            <w:vAlign w:val="center"/>
          </w:tcPr>
          <w:p w14:paraId="4474F1EF">
            <w:pPr>
              <w:pStyle w:val="5"/>
            </w:pPr>
          </w:p>
        </w:tc>
        <w:tc>
          <w:tcPr>
            <w:tcW w:w="990" w:type="pct"/>
            <w:tcMar>
              <w:top w:w="120" w:type="dxa"/>
              <w:left w:w="120" w:type="dxa"/>
              <w:bottom w:w="120" w:type="dxa"/>
              <w:right w:w="120" w:type="dxa"/>
            </w:tcMar>
            <w:vAlign w:val="center"/>
          </w:tcPr>
          <w:p w14:paraId="55723A70">
            <w:pPr>
              <w:pStyle w:val="5"/>
            </w:pPr>
            <w:r>
              <w:t>采样日期</w:t>
            </w:r>
          </w:p>
        </w:tc>
        <w:tc>
          <w:tcPr>
            <w:tcW w:w="757" w:type="pct"/>
            <w:gridSpan w:val="2"/>
            <w:tcMar>
              <w:top w:w="120" w:type="dxa"/>
              <w:left w:w="120" w:type="dxa"/>
              <w:bottom w:w="120" w:type="dxa"/>
              <w:right w:w="120" w:type="dxa"/>
            </w:tcMar>
            <w:vAlign w:val="center"/>
          </w:tcPr>
          <w:p w14:paraId="1A38AD1C">
            <w:pPr>
              <w:pStyle w:val="5"/>
            </w:pPr>
          </w:p>
        </w:tc>
      </w:tr>
      <w:tr w14:paraId="7DF57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524" w:type="pct"/>
            <w:tcMar>
              <w:top w:w="120" w:type="dxa"/>
              <w:left w:w="120" w:type="dxa"/>
              <w:bottom w:w="120" w:type="dxa"/>
              <w:right w:w="120" w:type="dxa"/>
            </w:tcMar>
            <w:vAlign w:val="center"/>
          </w:tcPr>
          <w:p w14:paraId="782002B1">
            <w:pPr>
              <w:pStyle w:val="5"/>
            </w:pPr>
            <w:r>
              <w:t>采样点位编号</w:t>
            </w:r>
          </w:p>
        </w:tc>
        <w:tc>
          <w:tcPr>
            <w:tcW w:w="682" w:type="pct"/>
            <w:tcMar>
              <w:top w:w="120" w:type="dxa"/>
              <w:left w:w="120" w:type="dxa"/>
              <w:bottom w:w="120" w:type="dxa"/>
              <w:right w:w="120" w:type="dxa"/>
            </w:tcMar>
            <w:vAlign w:val="center"/>
          </w:tcPr>
          <w:p w14:paraId="7F143629">
            <w:pPr>
              <w:pStyle w:val="5"/>
            </w:pPr>
          </w:p>
        </w:tc>
        <w:tc>
          <w:tcPr>
            <w:tcW w:w="1043" w:type="pct"/>
            <w:tcMar>
              <w:top w:w="120" w:type="dxa"/>
              <w:left w:w="120" w:type="dxa"/>
              <w:bottom w:w="120" w:type="dxa"/>
              <w:right w:w="120" w:type="dxa"/>
            </w:tcMar>
            <w:vAlign w:val="center"/>
          </w:tcPr>
          <w:p w14:paraId="456EB875">
            <w:pPr>
              <w:pStyle w:val="5"/>
            </w:pPr>
            <w:r>
              <w:t>点位坐标</w:t>
            </w:r>
          </w:p>
        </w:tc>
        <w:tc>
          <w:tcPr>
            <w:tcW w:w="990" w:type="pct"/>
            <w:tcMar>
              <w:top w:w="120" w:type="dxa"/>
              <w:left w:w="120" w:type="dxa"/>
              <w:bottom w:w="120" w:type="dxa"/>
              <w:right w:w="120" w:type="dxa"/>
            </w:tcMar>
            <w:vAlign w:val="center"/>
          </w:tcPr>
          <w:p w14:paraId="554779B3">
            <w:pPr>
              <w:pStyle w:val="5"/>
            </w:pPr>
            <w:r>
              <w:t>经度：</w:t>
            </w:r>
          </w:p>
          <w:p w14:paraId="43A73A31">
            <w:pPr>
              <w:pStyle w:val="5"/>
            </w:pPr>
            <w:r>
              <w:t>纬度：</w:t>
            </w:r>
          </w:p>
        </w:tc>
        <w:tc>
          <w:tcPr>
            <w:tcW w:w="446" w:type="pct"/>
            <w:tcMar>
              <w:top w:w="120" w:type="dxa"/>
              <w:left w:w="120" w:type="dxa"/>
              <w:bottom w:w="120" w:type="dxa"/>
              <w:right w:w="120" w:type="dxa"/>
            </w:tcMar>
            <w:vAlign w:val="center"/>
          </w:tcPr>
          <w:p w14:paraId="017053E7">
            <w:pPr>
              <w:pStyle w:val="5"/>
            </w:pPr>
            <w:r>
              <w:t>湿地类型</w:t>
            </w:r>
          </w:p>
        </w:tc>
        <w:tc>
          <w:tcPr>
            <w:tcW w:w="311" w:type="pct"/>
            <w:tcMar>
              <w:top w:w="120" w:type="dxa"/>
              <w:left w:w="120" w:type="dxa"/>
              <w:bottom w:w="120" w:type="dxa"/>
              <w:right w:w="120" w:type="dxa"/>
            </w:tcMar>
            <w:vAlign w:val="center"/>
          </w:tcPr>
          <w:p w14:paraId="4D4F8030">
            <w:pPr>
              <w:pStyle w:val="5"/>
            </w:pPr>
          </w:p>
        </w:tc>
      </w:tr>
      <w:tr w14:paraId="50084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524" w:type="pct"/>
            <w:tcMar>
              <w:top w:w="120" w:type="dxa"/>
              <w:left w:w="120" w:type="dxa"/>
              <w:bottom w:w="120" w:type="dxa"/>
              <w:right w:w="120" w:type="dxa"/>
            </w:tcMar>
            <w:vAlign w:val="center"/>
          </w:tcPr>
          <w:p w14:paraId="4E12B544">
            <w:pPr>
              <w:pStyle w:val="5"/>
            </w:pPr>
            <w:r>
              <w:t>土层深度（0</w:t>
            </w:r>
            <w:r>
              <w:rPr>
                <w:rFonts w:hint="eastAsia"/>
                <w:lang w:eastAsia="zh-CN"/>
              </w:rPr>
              <w:t>—</w:t>
            </w:r>
            <w:r>
              <w:t>20cm/20</w:t>
            </w:r>
            <w:r>
              <w:rPr>
                <w:rFonts w:hint="eastAsia"/>
                <w:lang w:eastAsia="zh-CN"/>
              </w:rPr>
              <w:t>—</w:t>
            </w:r>
            <w:r>
              <w:t>40cm/40</w:t>
            </w:r>
            <w:r>
              <w:rPr>
                <w:rFonts w:hint="eastAsia"/>
                <w:lang w:eastAsia="zh-CN"/>
              </w:rPr>
              <w:t>—</w:t>
            </w:r>
            <w:r>
              <w:t>60cm）</w:t>
            </w:r>
          </w:p>
        </w:tc>
        <w:tc>
          <w:tcPr>
            <w:tcW w:w="1726" w:type="pct"/>
            <w:gridSpan w:val="2"/>
            <w:tcMar>
              <w:top w:w="120" w:type="dxa"/>
              <w:left w:w="120" w:type="dxa"/>
              <w:bottom w:w="120" w:type="dxa"/>
              <w:right w:w="120" w:type="dxa"/>
            </w:tcMar>
            <w:vAlign w:val="center"/>
          </w:tcPr>
          <w:p w14:paraId="3EC0DF06">
            <w:pPr>
              <w:pStyle w:val="5"/>
            </w:pPr>
          </w:p>
        </w:tc>
        <w:tc>
          <w:tcPr>
            <w:tcW w:w="990" w:type="pct"/>
            <w:tcMar>
              <w:top w:w="120" w:type="dxa"/>
              <w:left w:w="120" w:type="dxa"/>
              <w:bottom w:w="120" w:type="dxa"/>
              <w:right w:w="120" w:type="dxa"/>
            </w:tcMar>
            <w:vAlign w:val="center"/>
          </w:tcPr>
          <w:p w14:paraId="0838C38C">
            <w:pPr>
              <w:pStyle w:val="5"/>
            </w:pPr>
            <w:r>
              <w:t>土壤质地（壤土/砂壤土/黏壤土）</w:t>
            </w:r>
          </w:p>
        </w:tc>
        <w:tc>
          <w:tcPr>
            <w:tcW w:w="757" w:type="pct"/>
            <w:gridSpan w:val="2"/>
            <w:tcMar>
              <w:top w:w="120" w:type="dxa"/>
              <w:left w:w="120" w:type="dxa"/>
              <w:bottom w:w="120" w:type="dxa"/>
              <w:right w:w="120" w:type="dxa"/>
            </w:tcMar>
            <w:vAlign w:val="center"/>
          </w:tcPr>
          <w:p w14:paraId="04B28796">
            <w:pPr>
              <w:pStyle w:val="5"/>
            </w:pPr>
          </w:p>
        </w:tc>
      </w:tr>
      <w:tr w14:paraId="67B47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524" w:type="pct"/>
            <w:tcMar>
              <w:top w:w="120" w:type="dxa"/>
              <w:left w:w="120" w:type="dxa"/>
              <w:bottom w:w="120" w:type="dxa"/>
              <w:right w:w="120" w:type="dxa"/>
            </w:tcMar>
            <w:vAlign w:val="center"/>
          </w:tcPr>
          <w:p w14:paraId="67DA241D">
            <w:pPr>
              <w:pStyle w:val="5"/>
            </w:pPr>
            <w:r>
              <w:t>石砾含量（%）</w:t>
            </w:r>
          </w:p>
        </w:tc>
        <w:tc>
          <w:tcPr>
            <w:tcW w:w="1726" w:type="pct"/>
            <w:gridSpan w:val="2"/>
            <w:tcMar>
              <w:top w:w="120" w:type="dxa"/>
              <w:left w:w="120" w:type="dxa"/>
              <w:bottom w:w="120" w:type="dxa"/>
              <w:right w:w="120" w:type="dxa"/>
            </w:tcMar>
            <w:vAlign w:val="center"/>
          </w:tcPr>
          <w:p w14:paraId="36A86C5D">
            <w:pPr>
              <w:pStyle w:val="5"/>
            </w:pPr>
          </w:p>
        </w:tc>
        <w:tc>
          <w:tcPr>
            <w:tcW w:w="990" w:type="pct"/>
            <w:tcMar>
              <w:top w:w="120" w:type="dxa"/>
              <w:left w:w="120" w:type="dxa"/>
              <w:bottom w:w="120" w:type="dxa"/>
              <w:right w:w="120" w:type="dxa"/>
            </w:tcMar>
            <w:vAlign w:val="center"/>
          </w:tcPr>
          <w:p w14:paraId="765200FA">
            <w:pPr>
              <w:pStyle w:val="5"/>
            </w:pPr>
            <w:r>
              <w:t>土壤容重（g/cm³）</w:t>
            </w:r>
          </w:p>
        </w:tc>
        <w:tc>
          <w:tcPr>
            <w:tcW w:w="757" w:type="pct"/>
            <w:gridSpan w:val="2"/>
            <w:tcMar>
              <w:top w:w="120" w:type="dxa"/>
              <w:left w:w="120" w:type="dxa"/>
              <w:bottom w:w="120" w:type="dxa"/>
              <w:right w:w="120" w:type="dxa"/>
            </w:tcMar>
            <w:vAlign w:val="center"/>
          </w:tcPr>
          <w:p w14:paraId="42FC64D1">
            <w:pPr>
              <w:pStyle w:val="5"/>
            </w:pPr>
          </w:p>
        </w:tc>
      </w:tr>
      <w:tr w14:paraId="209B2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524" w:type="pct"/>
            <w:tcMar>
              <w:top w:w="120" w:type="dxa"/>
              <w:left w:w="120" w:type="dxa"/>
              <w:bottom w:w="120" w:type="dxa"/>
              <w:right w:w="120" w:type="dxa"/>
            </w:tcMar>
            <w:vAlign w:val="center"/>
          </w:tcPr>
          <w:p w14:paraId="1090EB28">
            <w:pPr>
              <w:pStyle w:val="5"/>
            </w:pPr>
            <w:r>
              <w:t>土壤有机碳含量（SOC）（g/kg）</w:t>
            </w:r>
          </w:p>
        </w:tc>
        <w:tc>
          <w:tcPr>
            <w:tcW w:w="1726" w:type="pct"/>
            <w:gridSpan w:val="2"/>
            <w:tcMar>
              <w:top w:w="120" w:type="dxa"/>
              <w:left w:w="120" w:type="dxa"/>
              <w:bottom w:w="120" w:type="dxa"/>
              <w:right w:w="120" w:type="dxa"/>
            </w:tcMar>
            <w:vAlign w:val="center"/>
          </w:tcPr>
          <w:p w14:paraId="229A1D72">
            <w:pPr>
              <w:pStyle w:val="5"/>
            </w:pPr>
          </w:p>
        </w:tc>
        <w:tc>
          <w:tcPr>
            <w:tcW w:w="990" w:type="pct"/>
            <w:tcMar>
              <w:top w:w="120" w:type="dxa"/>
              <w:left w:w="120" w:type="dxa"/>
              <w:bottom w:w="120" w:type="dxa"/>
              <w:right w:w="120" w:type="dxa"/>
            </w:tcMar>
            <w:vAlign w:val="center"/>
          </w:tcPr>
          <w:p w14:paraId="0D6875EF">
            <w:pPr>
              <w:pStyle w:val="5"/>
            </w:pPr>
            <w:r>
              <w:t>平行样相对偏差（%）</w:t>
            </w:r>
          </w:p>
        </w:tc>
        <w:tc>
          <w:tcPr>
            <w:tcW w:w="757" w:type="pct"/>
            <w:gridSpan w:val="2"/>
            <w:tcMar>
              <w:top w:w="120" w:type="dxa"/>
              <w:left w:w="120" w:type="dxa"/>
              <w:bottom w:w="120" w:type="dxa"/>
              <w:right w:w="120" w:type="dxa"/>
            </w:tcMar>
            <w:vAlign w:val="center"/>
          </w:tcPr>
          <w:p w14:paraId="7B810B4A">
            <w:pPr>
              <w:pStyle w:val="5"/>
            </w:pPr>
          </w:p>
        </w:tc>
      </w:tr>
      <w:tr w14:paraId="0D06A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524" w:type="pct"/>
            <w:tcMar>
              <w:top w:w="120" w:type="dxa"/>
              <w:left w:w="120" w:type="dxa"/>
              <w:bottom w:w="120" w:type="dxa"/>
              <w:right w:w="120" w:type="dxa"/>
            </w:tcMar>
            <w:vAlign w:val="center"/>
          </w:tcPr>
          <w:p w14:paraId="7A7FA6BB">
            <w:pPr>
              <w:pStyle w:val="5"/>
            </w:pPr>
            <w:r>
              <w:t>单位面积土壤有机碳密度（tC/hm²）</w:t>
            </w:r>
          </w:p>
        </w:tc>
        <w:tc>
          <w:tcPr>
            <w:tcW w:w="1726" w:type="pct"/>
            <w:gridSpan w:val="2"/>
            <w:tcMar>
              <w:top w:w="120" w:type="dxa"/>
              <w:left w:w="120" w:type="dxa"/>
              <w:bottom w:w="120" w:type="dxa"/>
              <w:right w:w="120" w:type="dxa"/>
            </w:tcMar>
            <w:vAlign w:val="center"/>
          </w:tcPr>
          <w:p w14:paraId="0E2C4E12">
            <w:pPr>
              <w:pStyle w:val="5"/>
            </w:pPr>
          </w:p>
        </w:tc>
        <w:tc>
          <w:tcPr>
            <w:tcW w:w="990" w:type="pct"/>
            <w:tcMar>
              <w:top w:w="120" w:type="dxa"/>
              <w:left w:w="120" w:type="dxa"/>
              <w:bottom w:w="120" w:type="dxa"/>
              <w:right w:w="120" w:type="dxa"/>
            </w:tcMar>
            <w:vAlign w:val="center"/>
          </w:tcPr>
          <w:p w14:paraId="54BBBF03">
            <w:pPr>
              <w:pStyle w:val="5"/>
            </w:pPr>
            <w:r>
              <w:t>点位土壤碳储量（tC）</w:t>
            </w:r>
          </w:p>
        </w:tc>
        <w:tc>
          <w:tcPr>
            <w:tcW w:w="757" w:type="pct"/>
            <w:gridSpan w:val="2"/>
            <w:tcMar>
              <w:top w:w="120" w:type="dxa"/>
              <w:left w:w="120" w:type="dxa"/>
              <w:bottom w:w="120" w:type="dxa"/>
              <w:right w:w="120" w:type="dxa"/>
            </w:tcMar>
            <w:vAlign w:val="center"/>
          </w:tcPr>
          <w:p w14:paraId="419BB1F4">
            <w:pPr>
              <w:pStyle w:val="5"/>
            </w:pPr>
          </w:p>
        </w:tc>
      </w:tr>
      <w:tr w14:paraId="1CCE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524" w:type="pct"/>
            <w:tcMar>
              <w:top w:w="120" w:type="dxa"/>
              <w:left w:w="120" w:type="dxa"/>
              <w:bottom w:w="120" w:type="dxa"/>
              <w:right w:w="120" w:type="dxa"/>
            </w:tcMar>
            <w:vAlign w:val="center"/>
          </w:tcPr>
          <w:p w14:paraId="53F38FCA">
            <w:pPr>
              <w:pStyle w:val="5"/>
            </w:pPr>
            <w:r>
              <w:t>检测方法</w:t>
            </w:r>
          </w:p>
        </w:tc>
        <w:tc>
          <w:tcPr>
            <w:tcW w:w="1726" w:type="pct"/>
            <w:gridSpan w:val="2"/>
            <w:tcMar>
              <w:top w:w="120" w:type="dxa"/>
              <w:left w:w="120" w:type="dxa"/>
              <w:bottom w:w="120" w:type="dxa"/>
              <w:right w:w="120" w:type="dxa"/>
            </w:tcMar>
            <w:vAlign w:val="center"/>
          </w:tcPr>
          <w:p w14:paraId="41E010B9">
            <w:pPr>
              <w:pStyle w:val="5"/>
            </w:pPr>
            <w:r>
              <w:t>重铬酸钾氧化-分光光度法</w:t>
            </w:r>
          </w:p>
        </w:tc>
        <w:tc>
          <w:tcPr>
            <w:tcW w:w="990" w:type="pct"/>
            <w:tcMar>
              <w:top w:w="120" w:type="dxa"/>
              <w:left w:w="120" w:type="dxa"/>
              <w:bottom w:w="120" w:type="dxa"/>
              <w:right w:w="120" w:type="dxa"/>
            </w:tcMar>
            <w:vAlign w:val="center"/>
          </w:tcPr>
          <w:p w14:paraId="4BEE68F7">
            <w:pPr>
              <w:pStyle w:val="5"/>
            </w:pPr>
            <w:r>
              <w:t>检测单位</w:t>
            </w:r>
          </w:p>
        </w:tc>
        <w:tc>
          <w:tcPr>
            <w:tcW w:w="757" w:type="pct"/>
            <w:gridSpan w:val="2"/>
            <w:tcMar>
              <w:top w:w="120" w:type="dxa"/>
              <w:left w:w="120" w:type="dxa"/>
              <w:bottom w:w="120" w:type="dxa"/>
              <w:right w:w="120" w:type="dxa"/>
            </w:tcMar>
            <w:vAlign w:val="center"/>
          </w:tcPr>
          <w:p w14:paraId="143DAAD1">
            <w:pPr>
              <w:pStyle w:val="5"/>
            </w:pPr>
          </w:p>
        </w:tc>
      </w:tr>
      <w:tr w14:paraId="40E5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1" w:hRule="atLeast"/>
          <w:jc w:val="center"/>
        </w:trPr>
        <w:tc>
          <w:tcPr>
            <w:tcW w:w="1524" w:type="pct"/>
            <w:tcMar>
              <w:top w:w="120" w:type="dxa"/>
              <w:left w:w="120" w:type="dxa"/>
              <w:bottom w:w="120" w:type="dxa"/>
              <w:right w:w="120" w:type="dxa"/>
            </w:tcMar>
            <w:vAlign w:val="center"/>
          </w:tcPr>
          <w:p w14:paraId="46A74ADA">
            <w:pPr>
              <w:pStyle w:val="5"/>
            </w:pPr>
            <w:r>
              <w:t>采样人</w:t>
            </w:r>
          </w:p>
        </w:tc>
        <w:tc>
          <w:tcPr>
            <w:tcW w:w="1726" w:type="pct"/>
            <w:gridSpan w:val="2"/>
            <w:tcMar>
              <w:top w:w="120" w:type="dxa"/>
              <w:left w:w="120" w:type="dxa"/>
              <w:bottom w:w="120" w:type="dxa"/>
              <w:right w:w="120" w:type="dxa"/>
            </w:tcMar>
            <w:vAlign w:val="center"/>
          </w:tcPr>
          <w:p w14:paraId="1AEF75A6">
            <w:pPr>
              <w:pStyle w:val="5"/>
            </w:pPr>
          </w:p>
        </w:tc>
        <w:tc>
          <w:tcPr>
            <w:tcW w:w="990" w:type="pct"/>
            <w:tcMar>
              <w:top w:w="120" w:type="dxa"/>
              <w:left w:w="120" w:type="dxa"/>
              <w:bottom w:w="120" w:type="dxa"/>
              <w:right w:w="120" w:type="dxa"/>
            </w:tcMar>
            <w:vAlign w:val="center"/>
          </w:tcPr>
          <w:p w14:paraId="6F811CB8">
            <w:pPr>
              <w:pStyle w:val="5"/>
            </w:pPr>
            <w:r>
              <w:t>检测人</w:t>
            </w:r>
          </w:p>
        </w:tc>
        <w:tc>
          <w:tcPr>
            <w:tcW w:w="757" w:type="pct"/>
            <w:gridSpan w:val="2"/>
            <w:tcMar>
              <w:top w:w="120" w:type="dxa"/>
              <w:left w:w="120" w:type="dxa"/>
              <w:bottom w:w="120" w:type="dxa"/>
              <w:right w:w="120" w:type="dxa"/>
            </w:tcMar>
            <w:vAlign w:val="center"/>
          </w:tcPr>
          <w:p w14:paraId="4737C09F">
            <w:pPr>
              <w:pStyle w:val="5"/>
            </w:pPr>
          </w:p>
        </w:tc>
      </w:tr>
      <w:tr w14:paraId="556E3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5" w:hRule="atLeast"/>
          <w:jc w:val="center"/>
        </w:trPr>
        <w:tc>
          <w:tcPr>
            <w:tcW w:w="1524" w:type="pct"/>
            <w:tcMar>
              <w:top w:w="120" w:type="dxa"/>
              <w:left w:w="120" w:type="dxa"/>
              <w:bottom w:w="120" w:type="dxa"/>
              <w:right w:w="120" w:type="dxa"/>
            </w:tcMar>
            <w:vAlign w:val="center"/>
          </w:tcPr>
          <w:p w14:paraId="3A601900">
            <w:pPr>
              <w:pStyle w:val="5"/>
            </w:pPr>
            <w:r>
              <w:t>审核人</w:t>
            </w:r>
          </w:p>
        </w:tc>
        <w:tc>
          <w:tcPr>
            <w:tcW w:w="1726" w:type="pct"/>
            <w:gridSpan w:val="2"/>
            <w:tcMar>
              <w:top w:w="120" w:type="dxa"/>
              <w:left w:w="120" w:type="dxa"/>
              <w:bottom w:w="120" w:type="dxa"/>
              <w:right w:w="120" w:type="dxa"/>
            </w:tcMar>
            <w:vAlign w:val="center"/>
          </w:tcPr>
          <w:p w14:paraId="13ABEB18">
            <w:pPr>
              <w:pStyle w:val="5"/>
            </w:pPr>
          </w:p>
        </w:tc>
        <w:tc>
          <w:tcPr>
            <w:tcW w:w="990" w:type="pct"/>
            <w:tcMar>
              <w:top w:w="120" w:type="dxa"/>
              <w:left w:w="120" w:type="dxa"/>
              <w:bottom w:w="120" w:type="dxa"/>
              <w:right w:w="120" w:type="dxa"/>
            </w:tcMar>
            <w:vAlign w:val="center"/>
          </w:tcPr>
          <w:p w14:paraId="4566C63E">
            <w:pPr>
              <w:pStyle w:val="5"/>
            </w:pPr>
            <w:r>
              <w:t>采样照片编号</w:t>
            </w:r>
          </w:p>
        </w:tc>
        <w:tc>
          <w:tcPr>
            <w:tcW w:w="757" w:type="pct"/>
            <w:gridSpan w:val="2"/>
            <w:tcMar>
              <w:top w:w="120" w:type="dxa"/>
              <w:left w:w="120" w:type="dxa"/>
              <w:bottom w:w="120" w:type="dxa"/>
              <w:right w:w="120" w:type="dxa"/>
            </w:tcMar>
            <w:vAlign w:val="center"/>
          </w:tcPr>
          <w:p w14:paraId="12D02027">
            <w:pPr>
              <w:pStyle w:val="5"/>
            </w:pPr>
          </w:p>
        </w:tc>
      </w:tr>
      <w:tr w14:paraId="29518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9" w:hRule="atLeast"/>
          <w:jc w:val="center"/>
        </w:trPr>
        <w:tc>
          <w:tcPr>
            <w:tcW w:w="1524" w:type="pct"/>
            <w:tcMar>
              <w:top w:w="120" w:type="dxa"/>
              <w:left w:w="120" w:type="dxa"/>
              <w:bottom w:w="120" w:type="dxa"/>
              <w:right w:w="120" w:type="dxa"/>
            </w:tcMar>
            <w:vAlign w:val="center"/>
          </w:tcPr>
          <w:p w14:paraId="7FC0BCC6">
            <w:pPr>
              <w:pStyle w:val="5"/>
            </w:pPr>
            <w:r>
              <w:t>备注</w:t>
            </w:r>
          </w:p>
        </w:tc>
        <w:tc>
          <w:tcPr>
            <w:tcW w:w="3475" w:type="pct"/>
            <w:gridSpan w:val="5"/>
            <w:tcMar>
              <w:top w:w="120" w:type="dxa"/>
              <w:left w:w="120" w:type="dxa"/>
              <w:bottom w:w="120" w:type="dxa"/>
              <w:right w:w="120" w:type="dxa"/>
            </w:tcMar>
            <w:vAlign w:val="center"/>
          </w:tcPr>
          <w:p w14:paraId="2016E4BA">
            <w:pPr>
              <w:pStyle w:val="5"/>
            </w:pPr>
            <w:r>
              <w:t>记录土壤干湿状态、土层扰动、检测异常等情况</w:t>
            </w:r>
          </w:p>
        </w:tc>
      </w:tr>
    </w:tbl>
    <w:p w14:paraId="372F57E3">
      <w:pPr>
        <w:widowControl/>
        <w:ind w:firstLine="482"/>
        <w:rPr>
          <w:rFonts w:eastAsia="宋体" w:cs="Times New Roman"/>
          <w:b/>
          <w:bCs/>
          <w:kern w:val="0"/>
          <w:sz w:val="24"/>
          <w:szCs w:val="24"/>
        </w:rPr>
      </w:pPr>
    </w:p>
    <w:p w14:paraId="2E4B7FC0">
      <w:pPr>
        <w:widowControl/>
        <w:ind w:firstLine="482"/>
        <w:outlineLvl w:val="2"/>
        <w:rPr>
          <w:rFonts w:eastAsia="宋体" w:cs="Times New Roman"/>
          <w:b/>
          <w:bCs/>
          <w:kern w:val="0"/>
          <w:sz w:val="24"/>
          <w:szCs w:val="24"/>
        </w:rPr>
        <w:sectPr>
          <w:footerReference r:id="rId12" w:type="default"/>
          <w:pgSz w:w="11905" w:h="16840"/>
          <w:pgMar w:top="1440" w:right="1800" w:bottom="1440" w:left="1800" w:header="720" w:footer="720" w:gutter="0"/>
          <w:cols w:space="720" w:num="1"/>
        </w:sectPr>
      </w:pPr>
    </w:p>
    <w:p w14:paraId="2170ABE3">
      <w:pPr>
        <w:pStyle w:val="4"/>
        <w:adjustRightInd w:val="0"/>
        <w:snapToGrid w:val="0"/>
      </w:pPr>
      <w:bookmarkStart w:id="171" w:name="_Toc231854820"/>
      <w:r>
        <w:t>附录C</w:t>
      </w:r>
      <w:r>
        <w:rPr>
          <w:rFonts w:hint="eastAsia"/>
        </w:rPr>
        <w:t xml:space="preserve"> </w:t>
      </w:r>
      <w:r>
        <w:t>水体采样与分析记录表（规范性）</w:t>
      </w:r>
      <w:bookmarkEnd w:id="171"/>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745"/>
        <w:gridCol w:w="586"/>
        <w:gridCol w:w="1461"/>
        <w:gridCol w:w="1904"/>
        <w:gridCol w:w="713"/>
        <w:gridCol w:w="711"/>
        <w:gridCol w:w="1425"/>
      </w:tblGrid>
      <w:tr w14:paraId="73587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6" w:hRule="atLeast"/>
          <w:jc w:val="center"/>
        </w:trPr>
        <w:tc>
          <w:tcPr>
            <w:tcW w:w="5000" w:type="pct"/>
            <w:gridSpan w:val="7"/>
            <w:tcMar>
              <w:top w:w="120" w:type="dxa"/>
              <w:left w:w="120" w:type="dxa"/>
              <w:bottom w:w="120" w:type="dxa"/>
              <w:right w:w="120" w:type="dxa"/>
            </w:tcMar>
            <w:vAlign w:val="center"/>
          </w:tcPr>
          <w:p w14:paraId="7A7EF3B6">
            <w:pPr>
              <w:pStyle w:val="5"/>
              <w:jc w:val="center"/>
            </w:pPr>
            <w:r>
              <w:t>水体采样与溶解有机碳分析记录表</w:t>
            </w:r>
          </w:p>
        </w:tc>
      </w:tr>
      <w:tr w14:paraId="17BD1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2" w:hRule="atLeast"/>
          <w:jc w:val="center"/>
        </w:trPr>
        <w:tc>
          <w:tcPr>
            <w:tcW w:w="1021" w:type="pct"/>
            <w:tcMar>
              <w:top w:w="120" w:type="dxa"/>
              <w:left w:w="120" w:type="dxa"/>
              <w:bottom w:w="120" w:type="dxa"/>
              <w:right w:w="120" w:type="dxa"/>
            </w:tcMar>
            <w:vAlign w:val="center"/>
          </w:tcPr>
          <w:p w14:paraId="24891343">
            <w:pPr>
              <w:pStyle w:val="5"/>
            </w:pPr>
            <w:r>
              <w:t>项目名称</w:t>
            </w:r>
          </w:p>
        </w:tc>
        <w:tc>
          <w:tcPr>
            <w:tcW w:w="1198" w:type="pct"/>
            <w:gridSpan w:val="2"/>
            <w:tcMar>
              <w:top w:w="120" w:type="dxa"/>
              <w:left w:w="120" w:type="dxa"/>
              <w:bottom w:w="120" w:type="dxa"/>
              <w:right w:w="120" w:type="dxa"/>
            </w:tcMar>
            <w:vAlign w:val="center"/>
          </w:tcPr>
          <w:p w14:paraId="39B4C3FD">
            <w:pPr>
              <w:pStyle w:val="5"/>
            </w:pPr>
          </w:p>
        </w:tc>
        <w:tc>
          <w:tcPr>
            <w:tcW w:w="1531" w:type="pct"/>
            <w:gridSpan w:val="2"/>
            <w:tcMar>
              <w:top w:w="120" w:type="dxa"/>
              <w:left w:w="120" w:type="dxa"/>
              <w:bottom w:w="120" w:type="dxa"/>
              <w:right w:w="120" w:type="dxa"/>
            </w:tcMar>
            <w:vAlign w:val="center"/>
          </w:tcPr>
          <w:p w14:paraId="66CF81CC">
            <w:pPr>
              <w:pStyle w:val="5"/>
            </w:pPr>
            <w:r>
              <w:t>采样日期</w:t>
            </w:r>
          </w:p>
        </w:tc>
        <w:tc>
          <w:tcPr>
            <w:tcW w:w="1250" w:type="pct"/>
            <w:gridSpan w:val="2"/>
            <w:tcMar>
              <w:top w:w="120" w:type="dxa"/>
              <w:left w:w="120" w:type="dxa"/>
              <w:bottom w:w="120" w:type="dxa"/>
              <w:right w:w="120" w:type="dxa"/>
            </w:tcMar>
            <w:vAlign w:val="center"/>
          </w:tcPr>
          <w:p w14:paraId="41B3547D">
            <w:pPr>
              <w:pStyle w:val="5"/>
            </w:pPr>
          </w:p>
        </w:tc>
      </w:tr>
      <w:tr w14:paraId="76B5E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5" w:hRule="atLeast"/>
          <w:jc w:val="center"/>
        </w:trPr>
        <w:tc>
          <w:tcPr>
            <w:tcW w:w="1021" w:type="pct"/>
            <w:tcMar>
              <w:top w:w="120" w:type="dxa"/>
              <w:left w:w="120" w:type="dxa"/>
              <w:bottom w:w="120" w:type="dxa"/>
              <w:right w:w="120" w:type="dxa"/>
            </w:tcMar>
            <w:vAlign w:val="center"/>
          </w:tcPr>
          <w:p w14:paraId="4B1CEDD4">
            <w:pPr>
              <w:pStyle w:val="5"/>
            </w:pPr>
            <w:r>
              <w:t>采样点位编号</w:t>
            </w:r>
          </w:p>
        </w:tc>
        <w:tc>
          <w:tcPr>
            <w:tcW w:w="343" w:type="pct"/>
            <w:tcMar>
              <w:top w:w="120" w:type="dxa"/>
              <w:left w:w="120" w:type="dxa"/>
              <w:bottom w:w="120" w:type="dxa"/>
              <w:right w:w="120" w:type="dxa"/>
            </w:tcMar>
            <w:vAlign w:val="center"/>
          </w:tcPr>
          <w:p w14:paraId="2FDCBF93">
            <w:pPr>
              <w:pStyle w:val="5"/>
            </w:pPr>
          </w:p>
        </w:tc>
        <w:tc>
          <w:tcPr>
            <w:tcW w:w="855" w:type="pct"/>
            <w:tcMar>
              <w:top w:w="120" w:type="dxa"/>
              <w:left w:w="120" w:type="dxa"/>
              <w:bottom w:w="120" w:type="dxa"/>
              <w:right w:w="120" w:type="dxa"/>
            </w:tcMar>
            <w:vAlign w:val="center"/>
          </w:tcPr>
          <w:p w14:paraId="42AE30E9">
            <w:pPr>
              <w:pStyle w:val="5"/>
            </w:pPr>
            <w:r>
              <w:t>点位坐标</w:t>
            </w:r>
          </w:p>
        </w:tc>
        <w:tc>
          <w:tcPr>
            <w:tcW w:w="1114" w:type="pct"/>
            <w:tcMar>
              <w:top w:w="120" w:type="dxa"/>
              <w:left w:w="120" w:type="dxa"/>
              <w:bottom w:w="120" w:type="dxa"/>
              <w:right w:w="120" w:type="dxa"/>
            </w:tcMar>
            <w:vAlign w:val="center"/>
          </w:tcPr>
          <w:p w14:paraId="2F973190">
            <w:pPr>
              <w:pStyle w:val="5"/>
            </w:pPr>
            <w:r>
              <w:t>经度：纬度：</w:t>
            </w:r>
          </w:p>
        </w:tc>
        <w:tc>
          <w:tcPr>
            <w:tcW w:w="833" w:type="pct"/>
            <w:gridSpan w:val="2"/>
            <w:tcMar>
              <w:top w:w="120" w:type="dxa"/>
              <w:left w:w="120" w:type="dxa"/>
              <w:bottom w:w="120" w:type="dxa"/>
              <w:right w:w="120" w:type="dxa"/>
            </w:tcMar>
            <w:vAlign w:val="center"/>
          </w:tcPr>
          <w:p w14:paraId="56552FC3">
            <w:pPr>
              <w:pStyle w:val="5"/>
            </w:pPr>
            <w:r>
              <w:t>水体类型</w:t>
            </w:r>
          </w:p>
        </w:tc>
        <w:tc>
          <w:tcPr>
            <w:tcW w:w="834" w:type="pct"/>
            <w:tcMar>
              <w:top w:w="120" w:type="dxa"/>
              <w:left w:w="120" w:type="dxa"/>
              <w:bottom w:w="120" w:type="dxa"/>
              <w:right w:w="120" w:type="dxa"/>
            </w:tcMar>
            <w:vAlign w:val="center"/>
          </w:tcPr>
          <w:p w14:paraId="1D162C80">
            <w:pPr>
              <w:pStyle w:val="5"/>
            </w:pPr>
            <w:r>
              <w:t>湖泊/内河/人工水系</w:t>
            </w:r>
          </w:p>
        </w:tc>
      </w:tr>
      <w:tr w14:paraId="7D60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21" w:type="pct"/>
            <w:tcMar>
              <w:top w:w="120" w:type="dxa"/>
              <w:left w:w="120" w:type="dxa"/>
              <w:bottom w:w="120" w:type="dxa"/>
              <w:right w:w="120" w:type="dxa"/>
            </w:tcMar>
            <w:vAlign w:val="center"/>
          </w:tcPr>
          <w:p w14:paraId="3BE33C8B">
            <w:pPr>
              <w:pStyle w:val="5"/>
            </w:pPr>
            <w:r>
              <w:t>采样水深（0.5m表层）</w:t>
            </w:r>
          </w:p>
        </w:tc>
        <w:tc>
          <w:tcPr>
            <w:tcW w:w="1198" w:type="pct"/>
            <w:gridSpan w:val="2"/>
            <w:tcMar>
              <w:top w:w="120" w:type="dxa"/>
              <w:left w:w="120" w:type="dxa"/>
              <w:bottom w:w="120" w:type="dxa"/>
              <w:right w:w="120" w:type="dxa"/>
            </w:tcMar>
            <w:vAlign w:val="center"/>
          </w:tcPr>
          <w:p w14:paraId="17966A74">
            <w:pPr>
              <w:pStyle w:val="5"/>
            </w:pPr>
          </w:p>
        </w:tc>
        <w:tc>
          <w:tcPr>
            <w:tcW w:w="1531" w:type="pct"/>
            <w:gridSpan w:val="2"/>
            <w:tcMar>
              <w:top w:w="120" w:type="dxa"/>
              <w:left w:w="120" w:type="dxa"/>
              <w:bottom w:w="120" w:type="dxa"/>
              <w:right w:w="120" w:type="dxa"/>
            </w:tcMar>
            <w:vAlign w:val="center"/>
          </w:tcPr>
          <w:p w14:paraId="007EA256">
            <w:pPr>
              <w:pStyle w:val="5"/>
            </w:pPr>
            <w:r>
              <w:t>当日水温（℃）</w:t>
            </w:r>
          </w:p>
        </w:tc>
        <w:tc>
          <w:tcPr>
            <w:tcW w:w="1250" w:type="pct"/>
            <w:gridSpan w:val="2"/>
            <w:tcMar>
              <w:top w:w="120" w:type="dxa"/>
              <w:left w:w="120" w:type="dxa"/>
              <w:bottom w:w="120" w:type="dxa"/>
              <w:right w:w="120" w:type="dxa"/>
            </w:tcMar>
            <w:vAlign w:val="center"/>
          </w:tcPr>
          <w:p w14:paraId="15266794">
            <w:pPr>
              <w:pStyle w:val="5"/>
            </w:pPr>
          </w:p>
        </w:tc>
      </w:tr>
      <w:tr w14:paraId="2C87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3" w:hRule="atLeast"/>
          <w:jc w:val="center"/>
        </w:trPr>
        <w:tc>
          <w:tcPr>
            <w:tcW w:w="1021" w:type="pct"/>
            <w:tcMar>
              <w:top w:w="120" w:type="dxa"/>
              <w:left w:w="120" w:type="dxa"/>
              <w:bottom w:w="120" w:type="dxa"/>
              <w:right w:w="120" w:type="dxa"/>
            </w:tcMar>
            <w:vAlign w:val="center"/>
          </w:tcPr>
          <w:p w14:paraId="75F47A2E">
            <w:pPr>
              <w:pStyle w:val="5"/>
            </w:pPr>
            <w:r>
              <w:t>水域总面积（hm²）</w:t>
            </w:r>
          </w:p>
        </w:tc>
        <w:tc>
          <w:tcPr>
            <w:tcW w:w="1198" w:type="pct"/>
            <w:gridSpan w:val="2"/>
            <w:tcMar>
              <w:top w:w="120" w:type="dxa"/>
              <w:left w:w="120" w:type="dxa"/>
              <w:bottom w:w="120" w:type="dxa"/>
              <w:right w:w="120" w:type="dxa"/>
            </w:tcMar>
            <w:vAlign w:val="center"/>
          </w:tcPr>
          <w:p w14:paraId="3F0032B8">
            <w:pPr>
              <w:pStyle w:val="5"/>
            </w:pPr>
          </w:p>
        </w:tc>
        <w:tc>
          <w:tcPr>
            <w:tcW w:w="1531" w:type="pct"/>
            <w:gridSpan w:val="2"/>
            <w:tcMar>
              <w:top w:w="120" w:type="dxa"/>
              <w:left w:w="120" w:type="dxa"/>
              <w:bottom w:w="120" w:type="dxa"/>
              <w:right w:w="120" w:type="dxa"/>
            </w:tcMar>
            <w:vAlign w:val="center"/>
          </w:tcPr>
          <w:p w14:paraId="05A68800">
            <w:pPr>
              <w:pStyle w:val="5"/>
            </w:pPr>
            <w:r>
              <w:t>常年平均水位（m）</w:t>
            </w:r>
          </w:p>
        </w:tc>
        <w:tc>
          <w:tcPr>
            <w:tcW w:w="1250" w:type="pct"/>
            <w:gridSpan w:val="2"/>
            <w:tcMar>
              <w:top w:w="120" w:type="dxa"/>
              <w:left w:w="120" w:type="dxa"/>
              <w:bottom w:w="120" w:type="dxa"/>
              <w:right w:w="120" w:type="dxa"/>
            </w:tcMar>
            <w:vAlign w:val="center"/>
          </w:tcPr>
          <w:p w14:paraId="60BC2298">
            <w:pPr>
              <w:pStyle w:val="5"/>
            </w:pPr>
          </w:p>
        </w:tc>
      </w:tr>
      <w:tr w14:paraId="0DE0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4" w:hRule="atLeast"/>
          <w:jc w:val="center"/>
        </w:trPr>
        <w:tc>
          <w:tcPr>
            <w:tcW w:w="1021" w:type="pct"/>
            <w:tcMar>
              <w:top w:w="120" w:type="dxa"/>
              <w:left w:w="120" w:type="dxa"/>
              <w:bottom w:w="120" w:type="dxa"/>
              <w:right w:w="120" w:type="dxa"/>
            </w:tcMar>
            <w:vAlign w:val="center"/>
          </w:tcPr>
          <w:p w14:paraId="77F67D46">
            <w:pPr>
              <w:pStyle w:val="5"/>
            </w:pPr>
            <w:r>
              <w:t>水域总体积（m³）</w:t>
            </w:r>
          </w:p>
        </w:tc>
        <w:tc>
          <w:tcPr>
            <w:tcW w:w="1198" w:type="pct"/>
            <w:gridSpan w:val="2"/>
            <w:tcMar>
              <w:top w:w="120" w:type="dxa"/>
              <w:left w:w="120" w:type="dxa"/>
              <w:bottom w:w="120" w:type="dxa"/>
              <w:right w:w="120" w:type="dxa"/>
            </w:tcMar>
            <w:vAlign w:val="center"/>
          </w:tcPr>
          <w:p w14:paraId="4630D83F">
            <w:pPr>
              <w:pStyle w:val="5"/>
            </w:pPr>
          </w:p>
        </w:tc>
        <w:tc>
          <w:tcPr>
            <w:tcW w:w="1531" w:type="pct"/>
            <w:gridSpan w:val="2"/>
            <w:tcMar>
              <w:top w:w="120" w:type="dxa"/>
              <w:left w:w="120" w:type="dxa"/>
              <w:bottom w:w="120" w:type="dxa"/>
              <w:right w:w="120" w:type="dxa"/>
            </w:tcMar>
            <w:vAlign w:val="center"/>
          </w:tcPr>
          <w:p w14:paraId="5AE4BF6D">
            <w:pPr>
              <w:pStyle w:val="5"/>
            </w:pPr>
            <w:r>
              <w:t>水体DOC平均浓度（mg/L）</w:t>
            </w:r>
          </w:p>
        </w:tc>
        <w:tc>
          <w:tcPr>
            <w:tcW w:w="1250" w:type="pct"/>
            <w:gridSpan w:val="2"/>
            <w:tcMar>
              <w:top w:w="120" w:type="dxa"/>
              <w:left w:w="120" w:type="dxa"/>
              <w:bottom w:w="120" w:type="dxa"/>
              <w:right w:w="120" w:type="dxa"/>
            </w:tcMar>
            <w:vAlign w:val="center"/>
          </w:tcPr>
          <w:p w14:paraId="1490B0EF">
            <w:pPr>
              <w:pStyle w:val="5"/>
            </w:pPr>
          </w:p>
        </w:tc>
      </w:tr>
      <w:tr w14:paraId="1560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21" w:type="pct"/>
            <w:tcMar>
              <w:top w:w="120" w:type="dxa"/>
              <w:left w:w="120" w:type="dxa"/>
              <w:bottom w:w="120" w:type="dxa"/>
              <w:right w:w="120" w:type="dxa"/>
            </w:tcMar>
            <w:vAlign w:val="center"/>
          </w:tcPr>
          <w:p w14:paraId="7AF6904F">
            <w:pPr>
              <w:pStyle w:val="5"/>
            </w:pPr>
            <w:r>
              <w:t>水体总有机碳储量（tC）</w:t>
            </w:r>
          </w:p>
        </w:tc>
        <w:tc>
          <w:tcPr>
            <w:tcW w:w="1198" w:type="pct"/>
            <w:gridSpan w:val="2"/>
            <w:tcMar>
              <w:top w:w="120" w:type="dxa"/>
              <w:left w:w="120" w:type="dxa"/>
              <w:bottom w:w="120" w:type="dxa"/>
              <w:right w:w="120" w:type="dxa"/>
            </w:tcMar>
            <w:vAlign w:val="center"/>
          </w:tcPr>
          <w:p w14:paraId="600B1A50">
            <w:pPr>
              <w:pStyle w:val="5"/>
            </w:pPr>
          </w:p>
        </w:tc>
        <w:tc>
          <w:tcPr>
            <w:tcW w:w="1531" w:type="pct"/>
            <w:gridSpan w:val="2"/>
            <w:tcMar>
              <w:top w:w="120" w:type="dxa"/>
              <w:left w:w="120" w:type="dxa"/>
              <w:bottom w:w="120" w:type="dxa"/>
              <w:right w:w="120" w:type="dxa"/>
            </w:tcMar>
            <w:vAlign w:val="center"/>
          </w:tcPr>
          <w:p w14:paraId="24FD5365">
            <w:pPr>
              <w:pStyle w:val="5"/>
            </w:pPr>
            <w:r>
              <w:t>检测方法</w:t>
            </w:r>
          </w:p>
        </w:tc>
        <w:tc>
          <w:tcPr>
            <w:tcW w:w="1250" w:type="pct"/>
            <w:gridSpan w:val="2"/>
            <w:tcMar>
              <w:top w:w="120" w:type="dxa"/>
              <w:left w:w="120" w:type="dxa"/>
              <w:bottom w:w="120" w:type="dxa"/>
              <w:right w:w="120" w:type="dxa"/>
            </w:tcMar>
            <w:vAlign w:val="center"/>
          </w:tcPr>
          <w:p w14:paraId="2575057C">
            <w:pPr>
              <w:pStyle w:val="5"/>
            </w:pPr>
            <w:r>
              <w:t>燃烧氧化</w:t>
            </w:r>
            <w:r>
              <w:rPr>
                <w:rFonts w:hint="eastAsia"/>
                <w:lang w:eastAsia="zh-CN"/>
              </w:rPr>
              <w:t>－</w:t>
            </w:r>
            <w:r>
              <w:t>非分散红外吸收法</w:t>
            </w:r>
          </w:p>
        </w:tc>
      </w:tr>
      <w:tr w14:paraId="0B490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21" w:type="pct"/>
            <w:tcMar>
              <w:top w:w="120" w:type="dxa"/>
              <w:left w:w="120" w:type="dxa"/>
              <w:bottom w:w="120" w:type="dxa"/>
              <w:right w:w="120" w:type="dxa"/>
            </w:tcMar>
            <w:vAlign w:val="center"/>
          </w:tcPr>
          <w:p w14:paraId="2834FC80">
            <w:pPr>
              <w:pStyle w:val="5"/>
            </w:pPr>
            <w:r>
              <w:t>平行样偏差（%）</w:t>
            </w:r>
          </w:p>
        </w:tc>
        <w:tc>
          <w:tcPr>
            <w:tcW w:w="1198" w:type="pct"/>
            <w:gridSpan w:val="2"/>
            <w:tcMar>
              <w:top w:w="120" w:type="dxa"/>
              <w:left w:w="120" w:type="dxa"/>
              <w:bottom w:w="120" w:type="dxa"/>
              <w:right w:w="120" w:type="dxa"/>
            </w:tcMar>
            <w:vAlign w:val="center"/>
          </w:tcPr>
          <w:p w14:paraId="13C78BF3">
            <w:pPr>
              <w:pStyle w:val="5"/>
            </w:pPr>
          </w:p>
        </w:tc>
        <w:tc>
          <w:tcPr>
            <w:tcW w:w="1531" w:type="pct"/>
            <w:gridSpan w:val="2"/>
            <w:tcMar>
              <w:top w:w="120" w:type="dxa"/>
              <w:left w:w="120" w:type="dxa"/>
              <w:bottom w:w="120" w:type="dxa"/>
              <w:right w:w="120" w:type="dxa"/>
            </w:tcMar>
            <w:vAlign w:val="center"/>
          </w:tcPr>
          <w:p w14:paraId="6950ADC2">
            <w:pPr>
              <w:pStyle w:val="5"/>
            </w:pPr>
            <w:r>
              <w:t>检测单位</w:t>
            </w:r>
          </w:p>
        </w:tc>
        <w:tc>
          <w:tcPr>
            <w:tcW w:w="1250" w:type="pct"/>
            <w:gridSpan w:val="2"/>
            <w:tcMar>
              <w:top w:w="120" w:type="dxa"/>
              <w:left w:w="120" w:type="dxa"/>
              <w:bottom w:w="120" w:type="dxa"/>
              <w:right w:w="120" w:type="dxa"/>
            </w:tcMar>
            <w:vAlign w:val="center"/>
          </w:tcPr>
          <w:p w14:paraId="5726EC6D">
            <w:pPr>
              <w:pStyle w:val="5"/>
            </w:pPr>
          </w:p>
        </w:tc>
      </w:tr>
      <w:tr w14:paraId="3655C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4" w:hRule="atLeast"/>
          <w:jc w:val="center"/>
        </w:trPr>
        <w:tc>
          <w:tcPr>
            <w:tcW w:w="1021" w:type="pct"/>
            <w:tcMar>
              <w:top w:w="120" w:type="dxa"/>
              <w:left w:w="120" w:type="dxa"/>
              <w:bottom w:w="120" w:type="dxa"/>
              <w:right w:w="120" w:type="dxa"/>
            </w:tcMar>
            <w:vAlign w:val="center"/>
          </w:tcPr>
          <w:p w14:paraId="0AF53167">
            <w:pPr>
              <w:pStyle w:val="5"/>
            </w:pPr>
            <w:r>
              <w:t>采样人</w:t>
            </w:r>
          </w:p>
        </w:tc>
        <w:tc>
          <w:tcPr>
            <w:tcW w:w="1198" w:type="pct"/>
            <w:gridSpan w:val="2"/>
            <w:tcMar>
              <w:top w:w="120" w:type="dxa"/>
              <w:left w:w="120" w:type="dxa"/>
              <w:bottom w:w="120" w:type="dxa"/>
              <w:right w:w="120" w:type="dxa"/>
            </w:tcMar>
            <w:vAlign w:val="center"/>
          </w:tcPr>
          <w:p w14:paraId="7B74E806">
            <w:pPr>
              <w:pStyle w:val="5"/>
            </w:pPr>
          </w:p>
        </w:tc>
        <w:tc>
          <w:tcPr>
            <w:tcW w:w="1531" w:type="pct"/>
            <w:gridSpan w:val="2"/>
            <w:tcMar>
              <w:top w:w="120" w:type="dxa"/>
              <w:left w:w="120" w:type="dxa"/>
              <w:bottom w:w="120" w:type="dxa"/>
              <w:right w:w="120" w:type="dxa"/>
            </w:tcMar>
            <w:vAlign w:val="center"/>
          </w:tcPr>
          <w:p w14:paraId="4EF62371">
            <w:pPr>
              <w:pStyle w:val="5"/>
            </w:pPr>
            <w:r>
              <w:t>检测人</w:t>
            </w:r>
          </w:p>
        </w:tc>
        <w:tc>
          <w:tcPr>
            <w:tcW w:w="1250" w:type="pct"/>
            <w:gridSpan w:val="2"/>
            <w:tcMar>
              <w:top w:w="120" w:type="dxa"/>
              <w:left w:w="120" w:type="dxa"/>
              <w:bottom w:w="120" w:type="dxa"/>
              <w:right w:w="120" w:type="dxa"/>
            </w:tcMar>
            <w:vAlign w:val="center"/>
          </w:tcPr>
          <w:p w14:paraId="53BA8A3B">
            <w:pPr>
              <w:pStyle w:val="5"/>
            </w:pPr>
          </w:p>
        </w:tc>
      </w:tr>
      <w:tr w14:paraId="5B965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08" w:hRule="atLeast"/>
          <w:jc w:val="center"/>
        </w:trPr>
        <w:tc>
          <w:tcPr>
            <w:tcW w:w="1021" w:type="pct"/>
            <w:tcMar>
              <w:top w:w="120" w:type="dxa"/>
              <w:left w:w="120" w:type="dxa"/>
              <w:bottom w:w="120" w:type="dxa"/>
              <w:right w:w="120" w:type="dxa"/>
            </w:tcMar>
            <w:vAlign w:val="center"/>
          </w:tcPr>
          <w:p w14:paraId="14BF5FCE">
            <w:pPr>
              <w:pStyle w:val="5"/>
            </w:pPr>
            <w:r>
              <w:t>审核人</w:t>
            </w:r>
          </w:p>
        </w:tc>
        <w:tc>
          <w:tcPr>
            <w:tcW w:w="1198" w:type="pct"/>
            <w:gridSpan w:val="2"/>
            <w:tcMar>
              <w:top w:w="120" w:type="dxa"/>
              <w:left w:w="120" w:type="dxa"/>
              <w:bottom w:w="120" w:type="dxa"/>
              <w:right w:w="120" w:type="dxa"/>
            </w:tcMar>
            <w:vAlign w:val="center"/>
          </w:tcPr>
          <w:p w14:paraId="0CCB170A">
            <w:pPr>
              <w:pStyle w:val="5"/>
            </w:pPr>
          </w:p>
        </w:tc>
        <w:tc>
          <w:tcPr>
            <w:tcW w:w="1531" w:type="pct"/>
            <w:gridSpan w:val="2"/>
            <w:tcMar>
              <w:top w:w="120" w:type="dxa"/>
              <w:left w:w="120" w:type="dxa"/>
              <w:bottom w:w="120" w:type="dxa"/>
              <w:right w:w="120" w:type="dxa"/>
            </w:tcMar>
            <w:vAlign w:val="center"/>
          </w:tcPr>
          <w:p w14:paraId="663F8CC2">
            <w:pPr>
              <w:pStyle w:val="5"/>
            </w:pPr>
            <w:r>
              <w:t>采样照片编号</w:t>
            </w:r>
          </w:p>
        </w:tc>
        <w:tc>
          <w:tcPr>
            <w:tcW w:w="1250" w:type="pct"/>
            <w:gridSpan w:val="2"/>
            <w:tcMar>
              <w:top w:w="120" w:type="dxa"/>
              <w:left w:w="120" w:type="dxa"/>
              <w:bottom w:w="120" w:type="dxa"/>
              <w:right w:w="120" w:type="dxa"/>
            </w:tcMar>
            <w:vAlign w:val="center"/>
          </w:tcPr>
          <w:p w14:paraId="2F07DC2C">
            <w:pPr>
              <w:pStyle w:val="5"/>
            </w:pPr>
          </w:p>
        </w:tc>
      </w:tr>
      <w:tr w14:paraId="4E66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2219" w:type="pct"/>
            <w:gridSpan w:val="3"/>
            <w:tcMar>
              <w:top w:w="120" w:type="dxa"/>
              <w:left w:w="120" w:type="dxa"/>
              <w:bottom w:w="120" w:type="dxa"/>
              <w:right w:w="120" w:type="dxa"/>
            </w:tcMar>
            <w:vAlign w:val="center"/>
          </w:tcPr>
          <w:p w14:paraId="32273E80">
            <w:pPr>
              <w:pStyle w:val="5"/>
            </w:pPr>
            <w:r>
              <w:t>备注</w:t>
            </w:r>
          </w:p>
        </w:tc>
        <w:tc>
          <w:tcPr>
            <w:tcW w:w="2781" w:type="pct"/>
            <w:gridSpan w:val="4"/>
            <w:tcMar>
              <w:top w:w="120" w:type="dxa"/>
              <w:left w:w="120" w:type="dxa"/>
              <w:bottom w:w="120" w:type="dxa"/>
              <w:right w:w="120" w:type="dxa"/>
            </w:tcMar>
            <w:vAlign w:val="center"/>
          </w:tcPr>
          <w:p w14:paraId="269572EB">
            <w:pPr>
              <w:pStyle w:val="5"/>
            </w:pPr>
            <w:r>
              <w:t>记录水位波动、水质浑浊、降雨扰动等特殊情况</w:t>
            </w:r>
          </w:p>
        </w:tc>
      </w:tr>
    </w:tbl>
    <w:p w14:paraId="48952633">
      <w:pPr>
        <w:widowControl/>
        <w:ind w:firstLine="482"/>
        <w:rPr>
          <w:rFonts w:eastAsia="宋体" w:cs="Times New Roman"/>
          <w:b/>
          <w:bCs/>
          <w:kern w:val="0"/>
          <w:sz w:val="24"/>
          <w:szCs w:val="24"/>
        </w:rPr>
      </w:pPr>
    </w:p>
    <w:p w14:paraId="1CE75117">
      <w:pPr>
        <w:widowControl/>
        <w:ind w:firstLine="482"/>
        <w:outlineLvl w:val="2"/>
        <w:rPr>
          <w:rFonts w:eastAsia="宋体" w:cs="Times New Roman"/>
          <w:b/>
          <w:bCs/>
          <w:kern w:val="0"/>
          <w:sz w:val="24"/>
          <w:szCs w:val="24"/>
        </w:rPr>
        <w:sectPr>
          <w:footerReference r:id="rId13" w:type="default"/>
          <w:pgSz w:w="11905" w:h="16840"/>
          <w:pgMar w:top="1440" w:right="1800" w:bottom="1440" w:left="1800" w:header="720" w:footer="720" w:gutter="0"/>
          <w:cols w:space="720" w:num="1"/>
        </w:sectPr>
      </w:pPr>
    </w:p>
    <w:p w14:paraId="711E9BAC">
      <w:pPr>
        <w:pStyle w:val="4"/>
        <w:adjustRightInd w:val="0"/>
        <w:snapToGrid w:val="0"/>
      </w:pPr>
      <w:bookmarkStart w:id="172" w:name="_Toc231854821"/>
      <w:r>
        <w:t>附录D</w:t>
      </w:r>
      <w:r>
        <w:rPr>
          <w:rFonts w:hint="eastAsia"/>
        </w:rPr>
        <w:t xml:space="preserve"> </w:t>
      </w:r>
      <w:r>
        <w:t>气象与水文监测记录表（规范性）</w:t>
      </w:r>
      <w:bookmarkEnd w:id="172"/>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841"/>
        <w:gridCol w:w="1278"/>
        <w:gridCol w:w="2102"/>
        <w:gridCol w:w="3325"/>
      </w:tblGrid>
      <w:tr w14:paraId="439C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5000" w:type="pct"/>
            <w:gridSpan w:val="4"/>
            <w:tcMar>
              <w:top w:w="120" w:type="dxa"/>
              <w:left w:w="120" w:type="dxa"/>
              <w:bottom w:w="120" w:type="dxa"/>
              <w:right w:w="120" w:type="dxa"/>
            </w:tcMar>
            <w:vAlign w:val="center"/>
          </w:tcPr>
          <w:p w14:paraId="3E46F7CA">
            <w:pPr>
              <w:pStyle w:val="5"/>
              <w:jc w:val="center"/>
            </w:pPr>
            <w:r>
              <w:t>气象与水文监测记录表</w:t>
            </w:r>
          </w:p>
        </w:tc>
      </w:tr>
      <w:tr w14:paraId="1FC2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77" w:type="pct"/>
            <w:tcMar>
              <w:top w:w="120" w:type="dxa"/>
              <w:left w:w="120" w:type="dxa"/>
              <w:bottom w:w="120" w:type="dxa"/>
              <w:right w:w="120" w:type="dxa"/>
            </w:tcMar>
            <w:vAlign w:val="center"/>
          </w:tcPr>
          <w:p w14:paraId="753879AF">
            <w:pPr>
              <w:pStyle w:val="5"/>
            </w:pPr>
            <w:r>
              <w:t>项目名称</w:t>
            </w:r>
          </w:p>
        </w:tc>
        <w:tc>
          <w:tcPr>
            <w:tcW w:w="748" w:type="pct"/>
            <w:tcMar>
              <w:top w:w="120" w:type="dxa"/>
              <w:left w:w="120" w:type="dxa"/>
              <w:bottom w:w="120" w:type="dxa"/>
              <w:right w:w="120" w:type="dxa"/>
            </w:tcMar>
            <w:vAlign w:val="center"/>
          </w:tcPr>
          <w:p w14:paraId="12A12723">
            <w:pPr>
              <w:pStyle w:val="5"/>
            </w:pPr>
          </w:p>
        </w:tc>
        <w:tc>
          <w:tcPr>
            <w:tcW w:w="1230" w:type="pct"/>
            <w:tcMar>
              <w:top w:w="120" w:type="dxa"/>
              <w:left w:w="120" w:type="dxa"/>
              <w:bottom w:w="120" w:type="dxa"/>
              <w:right w:w="120" w:type="dxa"/>
            </w:tcMar>
            <w:vAlign w:val="center"/>
          </w:tcPr>
          <w:p w14:paraId="4B67273B">
            <w:pPr>
              <w:pStyle w:val="5"/>
            </w:pPr>
            <w:r>
              <w:t>监测月份/季度</w:t>
            </w:r>
          </w:p>
        </w:tc>
        <w:tc>
          <w:tcPr>
            <w:tcW w:w="1943" w:type="pct"/>
            <w:tcMar>
              <w:top w:w="120" w:type="dxa"/>
              <w:left w:w="120" w:type="dxa"/>
              <w:bottom w:w="120" w:type="dxa"/>
              <w:right w:w="120" w:type="dxa"/>
            </w:tcMar>
            <w:vAlign w:val="center"/>
          </w:tcPr>
          <w:p w14:paraId="4F58E124">
            <w:pPr>
              <w:pStyle w:val="5"/>
            </w:pPr>
          </w:p>
        </w:tc>
      </w:tr>
      <w:tr w14:paraId="0565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77" w:type="pct"/>
            <w:tcMar>
              <w:top w:w="120" w:type="dxa"/>
              <w:left w:w="120" w:type="dxa"/>
              <w:bottom w:w="120" w:type="dxa"/>
              <w:right w:w="120" w:type="dxa"/>
            </w:tcMar>
            <w:vAlign w:val="center"/>
          </w:tcPr>
          <w:p w14:paraId="735410BA">
            <w:pPr>
              <w:pStyle w:val="5"/>
            </w:pPr>
            <w:r>
              <w:t>平均气温（℃）</w:t>
            </w:r>
          </w:p>
        </w:tc>
        <w:tc>
          <w:tcPr>
            <w:tcW w:w="748" w:type="pct"/>
            <w:tcMar>
              <w:top w:w="120" w:type="dxa"/>
              <w:left w:w="120" w:type="dxa"/>
              <w:bottom w:w="120" w:type="dxa"/>
              <w:right w:w="120" w:type="dxa"/>
            </w:tcMar>
            <w:vAlign w:val="center"/>
          </w:tcPr>
          <w:p w14:paraId="7B129625">
            <w:pPr>
              <w:pStyle w:val="5"/>
            </w:pPr>
          </w:p>
        </w:tc>
        <w:tc>
          <w:tcPr>
            <w:tcW w:w="1230" w:type="pct"/>
            <w:tcMar>
              <w:top w:w="120" w:type="dxa"/>
              <w:left w:w="120" w:type="dxa"/>
              <w:bottom w:w="120" w:type="dxa"/>
              <w:right w:w="120" w:type="dxa"/>
            </w:tcMar>
            <w:vAlign w:val="center"/>
          </w:tcPr>
          <w:p w14:paraId="1316FCE9">
            <w:pPr>
              <w:pStyle w:val="5"/>
            </w:pPr>
            <w:r>
              <w:t>累计降雨量（mm）</w:t>
            </w:r>
          </w:p>
        </w:tc>
        <w:tc>
          <w:tcPr>
            <w:tcW w:w="1943" w:type="pct"/>
            <w:tcMar>
              <w:top w:w="120" w:type="dxa"/>
              <w:left w:w="120" w:type="dxa"/>
              <w:bottom w:w="120" w:type="dxa"/>
              <w:right w:w="120" w:type="dxa"/>
            </w:tcMar>
            <w:vAlign w:val="center"/>
          </w:tcPr>
          <w:p w14:paraId="73F126AC">
            <w:pPr>
              <w:pStyle w:val="5"/>
            </w:pPr>
          </w:p>
        </w:tc>
      </w:tr>
      <w:tr w14:paraId="68F9C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77" w:type="pct"/>
            <w:tcMar>
              <w:top w:w="120" w:type="dxa"/>
              <w:left w:w="120" w:type="dxa"/>
              <w:bottom w:w="120" w:type="dxa"/>
              <w:right w:w="120" w:type="dxa"/>
            </w:tcMar>
            <w:vAlign w:val="center"/>
          </w:tcPr>
          <w:p w14:paraId="21C17B3F">
            <w:pPr>
              <w:pStyle w:val="5"/>
            </w:pPr>
            <w:r>
              <w:t>平均风速（m/s）</w:t>
            </w:r>
          </w:p>
        </w:tc>
        <w:tc>
          <w:tcPr>
            <w:tcW w:w="748" w:type="pct"/>
            <w:tcMar>
              <w:top w:w="120" w:type="dxa"/>
              <w:left w:w="120" w:type="dxa"/>
              <w:bottom w:w="120" w:type="dxa"/>
              <w:right w:w="120" w:type="dxa"/>
            </w:tcMar>
            <w:vAlign w:val="center"/>
          </w:tcPr>
          <w:p w14:paraId="16A1DCE2">
            <w:pPr>
              <w:pStyle w:val="5"/>
            </w:pPr>
          </w:p>
        </w:tc>
        <w:tc>
          <w:tcPr>
            <w:tcW w:w="1230" w:type="pct"/>
            <w:tcMar>
              <w:top w:w="120" w:type="dxa"/>
              <w:left w:w="120" w:type="dxa"/>
              <w:bottom w:w="120" w:type="dxa"/>
              <w:right w:w="120" w:type="dxa"/>
            </w:tcMar>
            <w:vAlign w:val="center"/>
          </w:tcPr>
          <w:p w14:paraId="5AA37808">
            <w:pPr>
              <w:pStyle w:val="5"/>
            </w:pPr>
            <w:r>
              <w:t>无霜期天数（d）</w:t>
            </w:r>
          </w:p>
        </w:tc>
        <w:tc>
          <w:tcPr>
            <w:tcW w:w="1943" w:type="pct"/>
            <w:tcMar>
              <w:top w:w="120" w:type="dxa"/>
              <w:left w:w="120" w:type="dxa"/>
              <w:bottom w:w="120" w:type="dxa"/>
              <w:right w:w="120" w:type="dxa"/>
            </w:tcMar>
            <w:vAlign w:val="center"/>
          </w:tcPr>
          <w:p w14:paraId="4C40B202">
            <w:pPr>
              <w:pStyle w:val="5"/>
            </w:pPr>
          </w:p>
        </w:tc>
      </w:tr>
      <w:tr w14:paraId="08922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77" w:type="pct"/>
            <w:tcMar>
              <w:top w:w="120" w:type="dxa"/>
              <w:left w:w="120" w:type="dxa"/>
              <w:bottom w:w="120" w:type="dxa"/>
              <w:right w:w="120" w:type="dxa"/>
            </w:tcMar>
            <w:vAlign w:val="center"/>
          </w:tcPr>
          <w:p w14:paraId="5267207C">
            <w:pPr>
              <w:pStyle w:val="5"/>
            </w:pPr>
            <w:r>
              <w:t>月度平均水位（m）</w:t>
            </w:r>
          </w:p>
        </w:tc>
        <w:tc>
          <w:tcPr>
            <w:tcW w:w="748" w:type="pct"/>
            <w:tcMar>
              <w:top w:w="120" w:type="dxa"/>
              <w:left w:w="120" w:type="dxa"/>
              <w:bottom w:w="120" w:type="dxa"/>
              <w:right w:w="120" w:type="dxa"/>
            </w:tcMar>
            <w:vAlign w:val="center"/>
          </w:tcPr>
          <w:p w14:paraId="59561F38">
            <w:pPr>
              <w:pStyle w:val="5"/>
            </w:pPr>
          </w:p>
        </w:tc>
        <w:tc>
          <w:tcPr>
            <w:tcW w:w="1230" w:type="pct"/>
            <w:tcMar>
              <w:top w:w="120" w:type="dxa"/>
              <w:left w:w="120" w:type="dxa"/>
              <w:bottom w:w="120" w:type="dxa"/>
              <w:right w:w="120" w:type="dxa"/>
            </w:tcMar>
            <w:vAlign w:val="center"/>
          </w:tcPr>
          <w:p w14:paraId="57F88FF1">
            <w:pPr>
              <w:pStyle w:val="5"/>
            </w:pPr>
            <w:r>
              <w:t>水位波动幅度（m）</w:t>
            </w:r>
          </w:p>
        </w:tc>
        <w:tc>
          <w:tcPr>
            <w:tcW w:w="1943" w:type="pct"/>
            <w:tcMar>
              <w:top w:w="120" w:type="dxa"/>
              <w:left w:w="120" w:type="dxa"/>
              <w:bottom w:w="120" w:type="dxa"/>
              <w:right w:w="120" w:type="dxa"/>
            </w:tcMar>
            <w:vAlign w:val="center"/>
          </w:tcPr>
          <w:p w14:paraId="75B70044">
            <w:pPr>
              <w:pStyle w:val="5"/>
            </w:pPr>
          </w:p>
        </w:tc>
      </w:tr>
      <w:tr w14:paraId="30020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77" w:type="pct"/>
            <w:tcMar>
              <w:top w:w="120" w:type="dxa"/>
              <w:left w:w="120" w:type="dxa"/>
              <w:bottom w:w="120" w:type="dxa"/>
              <w:right w:w="120" w:type="dxa"/>
            </w:tcMar>
            <w:vAlign w:val="center"/>
          </w:tcPr>
          <w:p w14:paraId="6A6B319C">
            <w:pPr>
              <w:pStyle w:val="5"/>
            </w:pPr>
            <w:r>
              <w:t>水体透明度（cm）</w:t>
            </w:r>
          </w:p>
        </w:tc>
        <w:tc>
          <w:tcPr>
            <w:tcW w:w="748" w:type="pct"/>
            <w:tcMar>
              <w:top w:w="120" w:type="dxa"/>
              <w:left w:w="120" w:type="dxa"/>
              <w:bottom w:w="120" w:type="dxa"/>
              <w:right w:w="120" w:type="dxa"/>
            </w:tcMar>
            <w:vAlign w:val="center"/>
          </w:tcPr>
          <w:p w14:paraId="2D5B2A81">
            <w:pPr>
              <w:pStyle w:val="5"/>
            </w:pPr>
          </w:p>
        </w:tc>
        <w:tc>
          <w:tcPr>
            <w:tcW w:w="1230" w:type="pct"/>
            <w:tcMar>
              <w:top w:w="120" w:type="dxa"/>
              <w:left w:w="120" w:type="dxa"/>
              <w:bottom w:w="120" w:type="dxa"/>
              <w:right w:w="120" w:type="dxa"/>
            </w:tcMar>
            <w:vAlign w:val="center"/>
          </w:tcPr>
          <w:p w14:paraId="1D7A61DE">
            <w:pPr>
              <w:pStyle w:val="5"/>
            </w:pPr>
            <w:r>
              <w:t>主要水质状况（良好/轻度浑浊/浑浊）</w:t>
            </w:r>
          </w:p>
        </w:tc>
        <w:tc>
          <w:tcPr>
            <w:tcW w:w="1943" w:type="pct"/>
            <w:tcMar>
              <w:top w:w="120" w:type="dxa"/>
              <w:left w:w="120" w:type="dxa"/>
              <w:bottom w:w="120" w:type="dxa"/>
              <w:right w:w="120" w:type="dxa"/>
            </w:tcMar>
            <w:vAlign w:val="center"/>
          </w:tcPr>
          <w:p w14:paraId="7B0954AA">
            <w:pPr>
              <w:pStyle w:val="5"/>
            </w:pPr>
          </w:p>
        </w:tc>
      </w:tr>
      <w:tr w14:paraId="5001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77" w:type="pct"/>
            <w:tcMar>
              <w:top w:w="120" w:type="dxa"/>
              <w:left w:w="120" w:type="dxa"/>
              <w:bottom w:w="120" w:type="dxa"/>
              <w:right w:w="120" w:type="dxa"/>
            </w:tcMar>
            <w:vAlign w:val="center"/>
          </w:tcPr>
          <w:p w14:paraId="58F4070B">
            <w:pPr>
              <w:pStyle w:val="5"/>
            </w:pPr>
            <w:r>
              <w:t>极端天气情况</w:t>
            </w:r>
          </w:p>
        </w:tc>
        <w:tc>
          <w:tcPr>
            <w:tcW w:w="3922" w:type="pct"/>
            <w:gridSpan w:val="3"/>
            <w:tcMar>
              <w:top w:w="120" w:type="dxa"/>
              <w:left w:w="120" w:type="dxa"/>
              <w:bottom w:w="120" w:type="dxa"/>
              <w:right w:w="120" w:type="dxa"/>
            </w:tcMar>
            <w:vAlign w:val="center"/>
          </w:tcPr>
          <w:p w14:paraId="24BF0A76">
            <w:pPr>
              <w:pStyle w:val="5"/>
            </w:pPr>
            <w:r>
              <w:t>无/暴雨/大风/高温/低温（简要说明）</w:t>
            </w:r>
          </w:p>
        </w:tc>
      </w:tr>
      <w:tr w14:paraId="3244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77" w:type="pct"/>
            <w:tcMar>
              <w:top w:w="120" w:type="dxa"/>
              <w:left w:w="120" w:type="dxa"/>
              <w:bottom w:w="120" w:type="dxa"/>
              <w:right w:w="120" w:type="dxa"/>
            </w:tcMar>
            <w:vAlign w:val="center"/>
          </w:tcPr>
          <w:p w14:paraId="571DFB71">
            <w:pPr>
              <w:pStyle w:val="5"/>
            </w:pPr>
            <w:r>
              <w:t>生态扰动情况</w:t>
            </w:r>
          </w:p>
        </w:tc>
        <w:tc>
          <w:tcPr>
            <w:tcW w:w="3922" w:type="pct"/>
            <w:gridSpan w:val="3"/>
            <w:tcMar>
              <w:top w:w="120" w:type="dxa"/>
              <w:left w:w="120" w:type="dxa"/>
              <w:bottom w:w="120" w:type="dxa"/>
              <w:right w:w="120" w:type="dxa"/>
            </w:tcMar>
            <w:vAlign w:val="center"/>
          </w:tcPr>
          <w:p w14:paraId="344410C4">
            <w:pPr>
              <w:pStyle w:val="5"/>
            </w:pPr>
            <w:r>
              <w:t>无/人为干扰/生物扰动/水质异常（简要说明）</w:t>
            </w:r>
          </w:p>
        </w:tc>
      </w:tr>
      <w:tr w14:paraId="183C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6" w:hRule="atLeast"/>
          <w:jc w:val="center"/>
        </w:trPr>
        <w:tc>
          <w:tcPr>
            <w:tcW w:w="1077" w:type="pct"/>
            <w:tcMar>
              <w:top w:w="120" w:type="dxa"/>
              <w:left w:w="120" w:type="dxa"/>
              <w:bottom w:w="120" w:type="dxa"/>
              <w:right w:w="120" w:type="dxa"/>
            </w:tcMar>
            <w:vAlign w:val="center"/>
          </w:tcPr>
          <w:p w14:paraId="77A2D696">
            <w:pPr>
              <w:pStyle w:val="5"/>
            </w:pPr>
            <w:r>
              <w:t>监测人</w:t>
            </w:r>
          </w:p>
        </w:tc>
        <w:tc>
          <w:tcPr>
            <w:tcW w:w="748" w:type="pct"/>
            <w:tcMar>
              <w:top w:w="120" w:type="dxa"/>
              <w:left w:w="120" w:type="dxa"/>
              <w:bottom w:w="120" w:type="dxa"/>
              <w:right w:w="120" w:type="dxa"/>
            </w:tcMar>
            <w:vAlign w:val="center"/>
          </w:tcPr>
          <w:p w14:paraId="3D0F365F">
            <w:pPr>
              <w:pStyle w:val="5"/>
            </w:pPr>
          </w:p>
        </w:tc>
        <w:tc>
          <w:tcPr>
            <w:tcW w:w="1230" w:type="pct"/>
            <w:tcMar>
              <w:top w:w="120" w:type="dxa"/>
              <w:left w:w="120" w:type="dxa"/>
              <w:bottom w:w="120" w:type="dxa"/>
              <w:right w:w="120" w:type="dxa"/>
            </w:tcMar>
            <w:vAlign w:val="center"/>
          </w:tcPr>
          <w:p w14:paraId="0BA5BA59">
            <w:pPr>
              <w:pStyle w:val="5"/>
            </w:pPr>
            <w:r>
              <w:t>审核人</w:t>
            </w:r>
          </w:p>
        </w:tc>
        <w:tc>
          <w:tcPr>
            <w:tcW w:w="1943" w:type="pct"/>
            <w:tcMar>
              <w:top w:w="120" w:type="dxa"/>
              <w:left w:w="120" w:type="dxa"/>
              <w:bottom w:w="120" w:type="dxa"/>
              <w:right w:w="120" w:type="dxa"/>
            </w:tcMar>
            <w:vAlign w:val="center"/>
          </w:tcPr>
          <w:p w14:paraId="6FEAA805">
            <w:pPr>
              <w:pStyle w:val="5"/>
            </w:pPr>
          </w:p>
        </w:tc>
      </w:tr>
      <w:tr w14:paraId="539D5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077" w:type="pct"/>
            <w:tcMar>
              <w:top w:w="120" w:type="dxa"/>
              <w:left w:w="120" w:type="dxa"/>
              <w:bottom w:w="120" w:type="dxa"/>
              <w:right w:w="120" w:type="dxa"/>
            </w:tcMar>
            <w:vAlign w:val="center"/>
          </w:tcPr>
          <w:p w14:paraId="6B5721A7">
            <w:pPr>
              <w:pStyle w:val="5"/>
            </w:pPr>
            <w:r>
              <w:t>备注</w:t>
            </w:r>
          </w:p>
        </w:tc>
        <w:tc>
          <w:tcPr>
            <w:tcW w:w="3922" w:type="pct"/>
            <w:gridSpan w:val="3"/>
            <w:tcMar>
              <w:top w:w="120" w:type="dxa"/>
              <w:left w:w="120" w:type="dxa"/>
              <w:bottom w:w="120" w:type="dxa"/>
              <w:right w:w="120" w:type="dxa"/>
            </w:tcMar>
            <w:vAlign w:val="center"/>
          </w:tcPr>
          <w:p w14:paraId="08B2EF92">
            <w:pPr>
              <w:pStyle w:val="5"/>
            </w:pPr>
            <w:r>
              <w:t>记录月度气象、水文异常及对湿地植被、碳库的潜在影响</w:t>
            </w:r>
          </w:p>
        </w:tc>
      </w:tr>
    </w:tbl>
    <w:p w14:paraId="56152198">
      <w:pPr>
        <w:adjustRightInd w:val="0"/>
        <w:snapToGrid w:val="0"/>
        <w:rPr>
          <w:rFonts w:cs="Times New Roman"/>
          <w:szCs w:val="28"/>
        </w:rPr>
      </w:pPr>
    </w:p>
    <w:p w14:paraId="03B6A003">
      <w:pPr>
        <w:rPr>
          <w:rFonts w:cs="Times New Roman"/>
        </w:rPr>
      </w:pPr>
    </w:p>
    <w:p w14:paraId="102533C3">
      <w:pPr>
        <w:rPr>
          <w:rFonts w:cs="Times New Roman"/>
        </w:rPr>
      </w:pPr>
      <w:r>
        <w:rPr>
          <w:rFonts w:cs="Times New Roman"/>
        </w:rPr>
        <w:br w:type="page"/>
      </w:r>
    </w:p>
    <w:p w14:paraId="7E3F7ACE">
      <w:pPr>
        <w:pStyle w:val="4"/>
      </w:pPr>
      <w:r>
        <w:t>附</w:t>
      </w:r>
      <w:r>
        <w:rPr>
          <w:rFonts w:hint="eastAsia"/>
        </w:rPr>
        <w:t>录E</w:t>
      </w:r>
      <w:r>
        <w:t xml:space="preserve"> 南京</w:t>
      </w:r>
      <w:r>
        <w:rPr>
          <w:rFonts w:hint="eastAsia"/>
        </w:rPr>
        <w:t>地区常见</w:t>
      </w:r>
      <w:r>
        <w:t>湿地植物含碳率统计表（规范性）</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7"/>
        <w:gridCol w:w="792"/>
        <w:gridCol w:w="1548"/>
        <w:gridCol w:w="2777"/>
        <w:gridCol w:w="1613"/>
      </w:tblGrid>
      <w:tr w14:paraId="00B5B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1597" w:type="dxa"/>
            <w:vAlign w:val="center"/>
          </w:tcPr>
          <w:p w14:paraId="64572F2A">
            <w:pPr>
              <w:pStyle w:val="5"/>
              <w:jc w:val="center"/>
            </w:pPr>
            <w:r>
              <w:t>植被类型</w:t>
            </w:r>
          </w:p>
        </w:tc>
        <w:tc>
          <w:tcPr>
            <w:tcW w:w="792" w:type="dxa"/>
            <w:vAlign w:val="center"/>
          </w:tcPr>
          <w:p w14:paraId="7FB941AF">
            <w:pPr>
              <w:pStyle w:val="5"/>
              <w:jc w:val="center"/>
            </w:pPr>
            <w:r>
              <w:t>序号</w:t>
            </w:r>
          </w:p>
        </w:tc>
        <w:tc>
          <w:tcPr>
            <w:tcW w:w="1548" w:type="dxa"/>
            <w:vAlign w:val="center"/>
          </w:tcPr>
          <w:p w14:paraId="0119D834">
            <w:pPr>
              <w:pStyle w:val="5"/>
              <w:jc w:val="center"/>
            </w:pPr>
            <w:r>
              <w:t>物种名称</w:t>
            </w:r>
          </w:p>
        </w:tc>
        <w:tc>
          <w:tcPr>
            <w:tcW w:w="2777" w:type="dxa"/>
            <w:vAlign w:val="center"/>
          </w:tcPr>
          <w:p w14:paraId="5787FFA8">
            <w:pPr>
              <w:pStyle w:val="5"/>
              <w:jc w:val="center"/>
            </w:pPr>
            <w:r>
              <w:t>拉丁学名</w:t>
            </w:r>
          </w:p>
        </w:tc>
        <w:tc>
          <w:tcPr>
            <w:tcW w:w="1613" w:type="dxa"/>
            <w:vAlign w:val="center"/>
          </w:tcPr>
          <w:p w14:paraId="1767B5CA">
            <w:pPr>
              <w:pStyle w:val="5"/>
              <w:jc w:val="center"/>
            </w:pPr>
            <w:r>
              <w:t>含碳率</w:t>
            </w:r>
          </w:p>
        </w:tc>
      </w:tr>
      <w:tr w14:paraId="101C1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restart"/>
            <w:vAlign w:val="center"/>
          </w:tcPr>
          <w:p w14:paraId="567720CB">
            <w:pPr>
              <w:pStyle w:val="5"/>
              <w:jc w:val="center"/>
            </w:pPr>
            <w:r>
              <w:t>木本湿生植物</w:t>
            </w:r>
          </w:p>
        </w:tc>
        <w:tc>
          <w:tcPr>
            <w:tcW w:w="792" w:type="dxa"/>
            <w:vAlign w:val="center"/>
          </w:tcPr>
          <w:p w14:paraId="3331DE78">
            <w:pPr>
              <w:pStyle w:val="5"/>
              <w:jc w:val="center"/>
            </w:pPr>
            <w:r>
              <w:t>1</w:t>
            </w:r>
          </w:p>
        </w:tc>
        <w:tc>
          <w:tcPr>
            <w:tcW w:w="1548" w:type="dxa"/>
            <w:vAlign w:val="center"/>
          </w:tcPr>
          <w:p w14:paraId="1B3074EB">
            <w:pPr>
              <w:pStyle w:val="5"/>
              <w:jc w:val="center"/>
            </w:pPr>
            <w:r>
              <w:t>水杉</w:t>
            </w:r>
          </w:p>
        </w:tc>
        <w:tc>
          <w:tcPr>
            <w:tcW w:w="2777" w:type="dxa"/>
            <w:vAlign w:val="center"/>
          </w:tcPr>
          <w:p w14:paraId="2D020E40">
            <w:pPr>
              <w:pStyle w:val="5"/>
              <w:jc w:val="center"/>
              <w:rPr>
                <w:i/>
                <w:iCs/>
              </w:rPr>
            </w:pPr>
            <w:r>
              <w:rPr>
                <w:i/>
                <w:iCs/>
              </w:rPr>
              <w:t>Metasequoia glyptostroboides</w:t>
            </w:r>
          </w:p>
        </w:tc>
        <w:tc>
          <w:tcPr>
            <w:tcW w:w="1613" w:type="dxa"/>
            <w:vAlign w:val="center"/>
          </w:tcPr>
          <w:p w14:paraId="42E96D8A">
            <w:pPr>
              <w:pStyle w:val="5"/>
              <w:jc w:val="center"/>
            </w:pPr>
            <w:r>
              <w:t>0.501</w:t>
            </w:r>
          </w:p>
        </w:tc>
      </w:tr>
      <w:tr w14:paraId="2669E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21498C38">
            <w:pPr>
              <w:pStyle w:val="5"/>
              <w:jc w:val="center"/>
            </w:pPr>
          </w:p>
        </w:tc>
        <w:tc>
          <w:tcPr>
            <w:tcW w:w="792" w:type="dxa"/>
            <w:vAlign w:val="center"/>
          </w:tcPr>
          <w:p w14:paraId="1D9501E9">
            <w:pPr>
              <w:pStyle w:val="5"/>
              <w:jc w:val="center"/>
            </w:pPr>
            <w:r>
              <w:t>2</w:t>
            </w:r>
          </w:p>
        </w:tc>
        <w:tc>
          <w:tcPr>
            <w:tcW w:w="1548" w:type="dxa"/>
            <w:vAlign w:val="center"/>
          </w:tcPr>
          <w:p w14:paraId="7876F8A5">
            <w:pPr>
              <w:pStyle w:val="5"/>
              <w:jc w:val="center"/>
            </w:pPr>
            <w:r>
              <w:t>落羽杉</w:t>
            </w:r>
          </w:p>
        </w:tc>
        <w:tc>
          <w:tcPr>
            <w:tcW w:w="2777" w:type="dxa"/>
            <w:vAlign w:val="center"/>
          </w:tcPr>
          <w:p w14:paraId="072DCA35">
            <w:pPr>
              <w:pStyle w:val="5"/>
              <w:jc w:val="center"/>
              <w:rPr>
                <w:i/>
                <w:iCs/>
              </w:rPr>
            </w:pPr>
            <w:r>
              <w:rPr>
                <w:i/>
                <w:iCs/>
              </w:rPr>
              <w:t>Taxodium distichum</w:t>
            </w:r>
          </w:p>
        </w:tc>
        <w:tc>
          <w:tcPr>
            <w:tcW w:w="1613" w:type="dxa"/>
            <w:vAlign w:val="center"/>
          </w:tcPr>
          <w:p w14:paraId="02B2F4E7">
            <w:pPr>
              <w:pStyle w:val="5"/>
              <w:jc w:val="center"/>
            </w:pPr>
            <w:r>
              <w:t>0.499</w:t>
            </w:r>
          </w:p>
        </w:tc>
      </w:tr>
      <w:tr w14:paraId="4EADB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476B72B9">
            <w:pPr>
              <w:pStyle w:val="5"/>
              <w:jc w:val="center"/>
            </w:pPr>
          </w:p>
        </w:tc>
        <w:tc>
          <w:tcPr>
            <w:tcW w:w="792" w:type="dxa"/>
            <w:vAlign w:val="center"/>
          </w:tcPr>
          <w:p w14:paraId="001CFC00">
            <w:pPr>
              <w:pStyle w:val="5"/>
              <w:jc w:val="center"/>
            </w:pPr>
            <w:r>
              <w:t>3</w:t>
            </w:r>
          </w:p>
        </w:tc>
        <w:tc>
          <w:tcPr>
            <w:tcW w:w="1548" w:type="dxa"/>
            <w:vAlign w:val="center"/>
          </w:tcPr>
          <w:p w14:paraId="72FC48D7">
            <w:pPr>
              <w:pStyle w:val="5"/>
              <w:jc w:val="center"/>
            </w:pPr>
            <w:r>
              <w:t>池杉</w:t>
            </w:r>
          </w:p>
        </w:tc>
        <w:tc>
          <w:tcPr>
            <w:tcW w:w="2777" w:type="dxa"/>
            <w:vAlign w:val="center"/>
          </w:tcPr>
          <w:p w14:paraId="53834CD4">
            <w:pPr>
              <w:pStyle w:val="5"/>
              <w:jc w:val="center"/>
              <w:rPr>
                <w:i/>
                <w:iCs/>
              </w:rPr>
            </w:pPr>
            <w:r>
              <w:rPr>
                <w:i/>
                <w:iCs/>
              </w:rPr>
              <w:t>Taxodium ascendens</w:t>
            </w:r>
          </w:p>
        </w:tc>
        <w:tc>
          <w:tcPr>
            <w:tcW w:w="1613" w:type="dxa"/>
            <w:vAlign w:val="center"/>
          </w:tcPr>
          <w:p w14:paraId="6F273874">
            <w:pPr>
              <w:pStyle w:val="5"/>
              <w:jc w:val="center"/>
            </w:pPr>
            <w:r>
              <w:t>0.503</w:t>
            </w:r>
          </w:p>
        </w:tc>
      </w:tr>
      <w:tr w14:paraId="49412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79AD3578">
            <w:pPr>
              <w:pStyle w:val="5"/>
              <w:jc w:val="center"/>
            </w:pPr>
          </w:p>
        </w:tc>
        <w:tc>
          <w:tcPr>
            <w:tcW w:w="792" w:type="dxa"/>
            <w:vAlign w:val="center"/>
          </w:tcPr>
          <w:p w14:paraId="04E93322">
            <w:pPr>
              <w:pStyle w:val="5"/>
              <w:jc w:val="center"/>
            </w:pPr>
            <w:r>
              <w:t>4</w:t>
            </w:r>
          </w:p>
        </w:tc>
        <w:tc>
          <w:tcPr>
            <w:tcW w:w="1548" w:type="dxa"/>
            <w:vAlign w:val="center"/>
          </w:tcPr>
          <w:p w14:paraId="015B609E">
            <w:pPr>
              <w:pStyle w:val="5"/>
              <w:jc w:val="center"/>
            </w:pPr>
            <w:r>
              <w:t>中山杉</w:t>
            </w:r>
          </w:p>
        </w:tc>
        <w:tc>
          <w:tcPr>
            <w:tcW w:w="2777" w:type="dxa"/>
            <w:vAlign w:val="center"/>
          </w:tcPr>
          <w:p w14:paraId="299648E5">
            <w:pPr>
              <w:pStyle w:val="5"/>
              <w:jc w:val="center"/>
              <w:rPr>
                <w:i/>
                <w:iCs/>
              </w:rPr>
            </w:pPr>
            <w:r>
              <w:rPr>
                <w:i/>
                <w:iCs/>
              </w:rPr>
              <w:t>Taxodium'Zhongshanshan'</w:t>
            </w:r>
          </w:p>
        </w:tc>
        <w:tc>
          <w:tcPr>
            <w:tcW w:w="1613" w:type="dxa"/>
            <w:vAlign w:val="center"/>
          </w:tcPr>
          <w:p w14:paraId="05773537">
            <w:pPr>
              <w:pStyle w:val="5"/>
              <w:jc w:val="center"/>
            </w:pPr>
            <w:r>
              <w:t>0.499</w:t>
            </w:r>
          </w:p>
        </w:tc>
      </w:tr>
      <w:tr w14:paraId="7782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640A41D1">
            <w:pPr>
              <w:pStyle w:val="5"/>
              <w:jc w:val="center"/>
            </w:pPr>
          </w:p>
        </w:tc>
        <w:tc>
          <w:tcPr>
            <w:tcW w:w="792" w:type="dxa"/>
            <w:vAlign w:val="center"/>
          </w:tcPr>
          <w:p w14:paraId="788BE84E">
            <w:pPr>
              <w:pStyle w:val="5"/>
              <w:jc w:val="center"/>
            </w:pPr>
            <w:r>
              <w:t>5</w:t>
            </w:r>
          </w:p>
        </w:tc>
        <w:tc>
          <w:tcPr>
            <w:tcW w:w="1548" w:type="dxa"/>
            <w:vAlign w:val="center"/>
          </w:tcPr>
          <w:p w14:paraId="2A5C026E">
            <w:pPr>
              <w:pStyle w:val="5"/>
              <w:jc w:val="center"/>
            </w:pPr>
            <w:r>
              <w:t>旱柳</w:t>
            </w:r>
          </w:p>
        </w:tc>
        <w:tc>
          <w:tcPr>
            <w:tcW w:w="2777" w:type="dxa"/>
            <w:vAlign w:val="center"/>
          </w:tcPr>
          <w:p w14:paraId="26D606CF">
            <w:pPr>
              <w:pStyle w:val="5"/>
              <w:jc w:val="center"/>
              <w:rPr>
                <w:i/>
                <w:iCs/>
              </w:rPr>
            </w:pPr>
            <w:r>
              <w:rPr>
                <w:i/>
                <w:iCs/>
              </w:rPr>
              <w:t>Salix matsudana</w:t>
            </w:r>
          </w:p>
        </w:tc>
        <w:tc>
          <w:tcPr>
            <w:tcW w:w="1613" w:type="dxa"/>
            <w:vAlign w:val="center"/>
          </w:tcPr>
          <w:p w14:paraId="7BD00CA9">
            <w:pPr>
              <w:pStyle w:val="5"/>
              <w:jc w:val="center"/>
            </w:pPr>
            <w:r>
              <w:t>0.485</w:t>
            </w:r>
          </w:p>
        </w:tc>
      </w:tr>
      <w:tr w14:paraId="1E52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6AE51A58">
            <w:pPr>
              <w:pStyle w:val="5"/>
              <w:jc w:val="center"/>
            </w:pPr>
          </w:p>
        </w:tc>
        <w:tc>
          <w:tcPr>
            <w:tcW w:w="792" w:type="dxa"/>
            <w:vAlign w:val="center"/>
          </w:tcPr>
          <w:p w14:paraId="72309BB9">
            <w:pPr>
              <w:pStyle w:val="5"/>
              <w:jc w:val="center"/>
            </w:pPr>
            <w:r>
              <w:t>6</w:t>
            </w:r>
          </w:p>
        </w:tc>
        <w:tc>
          <w:tcPr>
            <w:tcW w:w="1548" w:type="dxa"/>
            <w:vAlign w:val="center"/>
          </w:tcPr>
          <w:p w14:paraId="4DD30EDA">
            <w:pPr>
              <w:pStyle w:val="5"/>
              <w:jc w:val="center"/>
            </w:pPr>
            <w:r>
              <w:t>垂柳</w:t>
            </w:r>
          </w:p>
        </w:tc>
        <w:tc>
          <w:tcPr>
            <w:tcW w:w="2777" w:type="dxa"/>
            <w:vAlign w:val="center"/>
          </w:tcPr>
          <w:p w14:paraId="34EDAAC5">
            <w:pPr>
              <w:pStyle w:val="5"/>
              <w:jc w:val="center"/>
              <w:rPr>
                <w:i/>
                <w:iCs/>
              </w:rPr>
            </w:pPr>
            <w:r>
              <w:rPr>
                <w:i/>
                <w:iCs/>
              </w:rPr>
              <w:t>Salix babylonica</w:t>
            </w:r>
          </w:p>
        </w:tc>
        <w:tc>
          <w:tcPr>
            <w:tcW w:w="1613" w:type="dxa"/>
            <w:vAlign w:val="center"/>
          </w:tcPr>
          <w:p w14:paraId="1CBD1EC9">
            <w:pPr>
              <w:pStyle w:val="5"/>
              <w:jc w:val="center"/>
            </w:pPr>
            <w:r>
              <w:t>0.485</w:t>
            </w:r>
          </w:p>
        </w:tc>
      </w:tr>
      <w:tr w14:paraId="2B9E5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68F5155B">
            <w:pPr>
              <w:pStyle w:val="5"/>
              <w:jc w:val="center"/>
            </w:pPr>
          </w:p>
        </w:tc>
        <w:tc>
          <w:tcPr>
            <w:tcW w:w="792" w:type="dxa"/>
            <w:vAlign w:val="center"/>
          </w:tcPr>
          <w:p w14:paraId="1D412B89">
            <w:pPr>
              <w:pStyle w:val="5"/>
              <w:jc w:val="center"/>
            </w:pPr>
            <w:r>
              <w:t>7</w:t>
            </w:r>
          </w:p>
        </w:tc>
        <w:tc>
          <w:tcPr>
            <w:tcW w:w="1548" w:type="dxa"/>
            <w:vAlign w:val="center"/>
          </w:tcPr>
          <w:p w14:paraId="682FFAB0">
            <w:pPr>
              <w:pStyle w:val="5"/>
              <w:jc w:val="center"/>
            </w:pPr>
            <w:r>
              <w:t>紫柳</w:t>
            </w:r>
          </w:p>
        </w:tc>
        <w:tc>
          <w:tcPr>
            <w:tcW w:w="2777" w:type="dxa"/>
            <w:vAlign w:val="center"/>
          </w:tcPr>
          <w:p w14:paraId="13B11C90">
            <w:pPr>
              <w:pStyle w:val="5"/>
              <w:jc w:val="center"/>
              <w:rPr>
                <w:i/>
                <w:iCs/>
              </w:rPr>
            </w:pPr>
            <w:r>
              <w:rPr>
                <w:i/>
                <w:iCs/>
              </w:rPr>
              <w:t>Salix wilsonii</w:t>
            </w:r>
          </w:p>
        </w:tc>
        <w:tc>
          <w:tcPr>
            <w:tcW w:w="1613" w:type="dxa"/>
            <w:vAlign w:val="center"/>
          </w:tcPr>
          <w:p w14:paraId="0CA18600">
            <w:pPr>
              <w:pStyle w:val="5"/>
              <w:jc w:val="center"/>
            </w:pPr>
            <w:r>
              <w:t>0.485</w:t>
            </w:r>
          </w:p>
        </w:tc>
      </w:tr>
      <w:tr w14:paraId="381D3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75A11BE7">
            <w:pPr>
              <w:pStyle w:val="5"/>
              <w:jc w:val="center"/>
            </w:pPr>
          </w:p>
        </w:tc>
        <w:tc>
          <w:tcPr>
            <w:tcW w:w="792" w:type="dxa"/>
            <w:vAlign w:val="center"/>
          </w:tcPr>
          <w:p w14:paraId="40B86FD1">
            <w:pPr>
              <w:pStyle w:val="5"/>
              <w:jc w:val="center"/>
            </w:pPr>
            <w:r>
              <w:t>8</w:t>
            </w:r>
          </w:p>
        </w:tc>
        <w:tc>
          <w:tcPr>
            <w:tcW w:w="1548" w:type="dxa"/>
            <w:vAlign w:val="center"/>
          </w:tcPr>
          <w:p w14:paraId="7EA68B59">
            <w:pPr>
              <w:pStyle w:val="5"/>
              <w:jc w:val="center"/>
            </w:pPr>
            <w:r>
              <w:t>意杨</w:t>
            </w:r>
          </w:p>
        </w:tc>
        <w:tc>
          <w:tcPr>
            <w:tcW w:w="2777" w:type="dxa"/>
            <w:vAlign w:val="center"/>
          </w:tcPr>
          <w:p w14:paraId="563CE126">
            <w:pPr>
              <w:pStyle w:val="5"/>
              <w:jc w:val="center"/>
              <w:rPr>
                <w:i/>
                <w:iCs/>
              </w:rPr>
            </w:pPr>
            <w:r>
              <w:rPr>
                <w:i/>
                <w:iCs/>
              </w:rPr>
              <w:t>Populus × canadensis 'I-214'</w:t>
            </w:r>
          </w:p>
        </w:tc>
        <w:tc>
          <w:tcPr>
            <w:tcW w:w="1613" w:type="dxa"/>
            <w:vAlign w:val="center"/>
          </w:tcPr>
          <w:p w14:paraId="7896468B">
            <w:pPr>
              <w:pStyle w:val="5"/>
              <w:jc w:val="center"/>
            </w:pPr>
            <w:r>
              <w:t>0.496</w:t>
            </w:r>
          </w:p>
        </w:tc>
      </w:tr>
      <w:tr w14:paraId="3944A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53DCD2A3">
            <w:pPr>
              <w:pStyle w:val="5"/>
              <w:jc w:val="center"/>
            </w:pPr>
          </w:p>
        </w:tc>
        <w:tc>
          <w:tcPr>
            <w:tcW w:w="792" w:type="dxa"/>
            <w:vAlign w:val="center"/>
          </w:tcPr>
          <w:p w14:paraId="598988E3">
            <w:pPr>
              <w:pStyle w:val="5"/>
              <w:jc w:val="center"/>
            </w:pPr>
            <w:r>
              <w:t>9</w:t>
            </w:r>
          </w:p>
        </w:tc>
        <w:tc>
          <w:tcPr>
            <w:tcW w:w="1548" w:type="dxa"/>
            <w:vAlign w:val="center"/>
          </w:tcPr>
          <w:p w14:paraId="0C5545DC">
            <w:pPr>
              <w:pStyle w:val="5"/>
              <w:jc w:val="center"/>
            </w:pPr>
            <w:r>
              <w:t>枫杨</w:t>
            </w:r>
          </w:p>
        </w:tc>
        <w:tc>
          <w:tcPr>
            <w:tcW w:w="2777" w:type="dxa"/>
            <w:vAlign w:val="center"/>
          </w:tcPr>
          <w:p w14:paraId="3E65B0C9">
            <w:pPr>
              <w:pStyle w:val="5"/>
              <w:jc w:val="center"/>
              <w:rPr>
                <w:i/>
                <w:iCs/>
              </w:rPr>
            </w:pPr>
            <w:r>
              <w:rPr>
                <w:i/>
                <w:iCs/>
              </w:rPr>
              <w:t>Pterocarya stenoptera</w:t>
            </w:r>
          </w:p>
        </w:tc>
        <w:tc>
          <w:tcPr>
            <w:tcW w:w="1613" w:type="dxa"/>
            <w:vAlign w:val="center"/>
          </w:tcPr>
          <w:p w14:paraId="5E3BDAC5">
            <w:pPr>
              <w:pStyle w:val="5"/>
              <w:jc w:val="center"/>
            </w:pPr>
            <w:r>
              <w:t>0.497</w:t>
            </w:r>
          </w:p>
        </w:tc>
      </w:tr>
      <w:tr w14:paraId="1C38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1A370A2B">
            <w:pPr>
              <w:pStyle w:val="5"/>
              <w:jc w:val="center"/>
            </w:pPr>
          </w:p>
        </w:tc>
        <w:tc>
          <w:tcPr>
            <w:tcW w:w="792" w:type="dxa"/>
            <w:vAlign w:val="center"/>
          </w:tcPr>
          <w:p w14:paraId="4C8DC1C7">
            <w:pPr>
              <w:pStyle w:val="5"/>
              <w:jc w:val="center"/>
            </w:pPr>
            <w:r>
              <w:t>10</w:t>
            </w:r>
          </w:p>
        </w:tc>
        <w:tc>
          <w:tcPr>
            <w:tcW w:w="1548" w:type="dxa"/>
            <w:vAlign w:val="center"/>
          </w:tcPr>
          <w:p w14:paraId="754FC4EF">
            <w:pPr>
              <w:pStyle w:val="5"/>
              <w:jc w:val="center"/>
            </w:pPr>
            <w:r>
              <w:t>乌桕</w:t>
            </w:r>
          </w:p>
        </w:tc>
        <w:tc>
          <w:tcPr>
            <w:tcW w:w="2777" w:type="dxa"/>
            <w:vAlign w:val="center"/>
          </w:tcPr>
          <w:p w14:paraId="1042F645">
            <w:pPr>
              <w:pStyle w:val="5"/>
              <w:jc w:val="center"/>
              <w:rPr>
                <w:i/>
                <w:iCs/>
              </w:rPr>
            </w:pPr>
            <w:r>
              <w:rPr>
                <w:i/>
                <w:iCs/>
              </w:rPr>
              <w:t>Triadica sebifera</w:t>
            </w:r>
          </w:p>
        </w:tc>
        <w:tc>
          <w:tcPr>
            <w:tcW w:w="1613" w:type="dxa"/>
            <w:vAlign w:val="center"/>
          </w:tcPr>
          <w:p w14:paraId="73EE68D7">
            <w:pPr>
              <w:pStyle w:val="5"/>
              <w:jc w:val="center"/>
            </w:pPr>
            <w:r>
              <w:t>0.497</w:t>
            </w:r>
          </w:p>
        </w:tc>
      </w:tr>
      <w:tr w14:paraId="344CD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4F01E8B9">
            <w:pPr>
              <w:pStyle w:val="5"/>
              <w:jc w:val="center"/>
            </w:pPr>
          </w:p>
        </w:tc>
        <w:tc>
          <w:tcPr>
            <w:tcW w:w="792" w:type="dxa"/>
            <w:vAlign w:val="center"/>
          </w:tcPr>
          <w:p w14:paraId="1749DEDF">
            <w:pPr>
              <w:pStyle w:val="5"/>
              <w:jc w:val="center"/>
            </w:pPr>
            <w:r>
              <w:t>11</w:t>
            </w:r>
          </w:p>
        </w:tc>
        <w:tc>
          <w:tcPr>
            <w:tcW w:w="1548" w:type="dxa"/>
            <w:vAlign w:val="center"/>
          </w:tcPr>
          <w:p w14:paraId="07F7C670">
            <w:pPr>
              <w:pStyle w:val="5"/>
              <w:jc w:val="center"/>
            </w:pPr>
            <w:r>
              <w:t>重阳木</w:t>
            </w:r>
          </w:p>
        </w:tc>
        <w:tc>
          <w:tcPr>
            <w:tcW w:w="2777" w:type="dxa"/>
            <w:vAlign w:val="center"/>
          </w:tcPr>
          <w:p w14:paraId="47847DB8">
            <w:pPr>
              <w:pStyle w:val="5"/>
              <w:jc w:val="center"/>
              <w:rPr>
                <w:i/>
                <w:iCs/>
              </w:rPr>
            </w:pPr>
            <w:r>
              <w:rPr>
                <w:i/>
                <w:iCs/>
              </w:rPr>
              <w:t>Bischofia polycarpa</w:t>
            </w:r>
          </w:p>
        </w:tc>
        <w:tc>
          <w:tcPr>
            <w:tcW w:w="1613" w:type="dxa"/>
            <w:vAlign w:val="center"/>
          </w:tcPr>
          <w:p w14:paraId="40D7DD2D">
            <w:pPr>
              <w:pStyle w:val="5"/>
              <w:jc w:val="center"/>
            </w:pPr>
            <w:r>
              <w:t>0.497</w:t>
            </w:r>
          </w:p>
        </w:tc>
      </w:tr>
      <w:tr w14:paraId="773B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041FE359">
            <w:pPr>
              <w:pStyle w:val="5"/>
              <w:jc w:val="center"/>
            </w:pPr>
          </w:p>
        </w:tc>
        <w:tc>
          <w:tcPr>
            <w:tcW w:w="792" w:type="dxa"/>
            <w:vAlign w:val="center"/>
          </w:tcPr>
          <w:p w14:paraId="5661744B">
            <w:pPr>
              <w:pStyle w:val="5"/>
              <w:jc w:val="center"/>
            </w:pPr>
            <w:r>
              <w:t>12</w:t>
            </w:r>
          </w:p>
        </w:tc>
        <w:tc>
          <w:tcPr>
            <w:tcW w:w="1548" w:type="dxa"/>
            <w:vAlign w:val="center"/>
          </w:tcPr>
          <w:p w14:paraId="73B74C77">
            <w:pPr>
              <w:pStyle w:val="5"/>
              <w:jc w:val="center"/>
            </w:pPr>
            <w:r>
              <w:t>朴</w:t>
            </w:r>
          </w:p>
        </w:tc>
        <w:tc>
          <w:tcPr>
            <w:tcW w:w="2777" w:type="dxa"/>
            <w:vAlign w:val="center"/>
          </w:tcPr>
          <w:p w14:paraId="59FD6EA9">
            <w:pPr>
              <w:pStyle w:val="5"/>
              <w:jc w:val="center"/>
              <w:rPr>
                <w:i/>
                <w:iCs/>
              </w:rPr>
            </w:pPr>
            <w:r>
              <w:rPr>
                <w:i/>
                <w:iCs/>
              </w:rPr>
              <w:t>Celtis sinensis</w:t>
            </w:r>
          </w:p>
        </w:tc>
        <w:tc>
          <w:tcPr>
            <w:tcW w:w="1613" w:type="dxa"/>
            <w:vAlign w:val="center"/>
          </w:tcPr>
          <w:p w14:paraId="6A8B25EE">
            <w:pPr>
              <w:pStyle w:val="5"/>
              <w:jc w:val="center"/>
            </w:pPr>
            <w:r>
              <w:t>0.497</w:t>
            </w:r>
          </w:p>
        </w:tc>
      </w:tr>
      <w:tr w14:paraId="560E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2DC1670C">
            <w:pPr>
              <w:pStyle w:val="5"/>
              <w:jc w:val="center"/>
            </w:pPr>
          </w:p>
        </w:tc>
        <w:tc>
          <w:tcPr>
            <w:tcW w:w="792" w:type="dxa"/>
            <w:vAlign w:val="center"/>
          </w:tcPr>
          <w:p w14:paraId="6F9B1325">
            <w:pPr>
              <w:pStyle w:val="5"/>
              <w:jc w:val="center"/>
            </w:pPr>
            <w:r>
              <w:t>13</w:t>
            </w:r>
          </w:p>
        </w:tc>
        <w:tc>
          <w:tcPr>
            <w:tcW w:w="1548" w:type="dxa"/>
            <w:vAlign w:val="center"/>
          </w:tcPr>
          <w:p w14:paraId="2B3A5FD7">
            <w:pPr>
              <w:pStyle w:val="5"/>
              <w:jc w:val="center"/>
            </w:pPr>
            <w:r>
              <w:t>构</w:t>
            </w:r>
          </w:p>
        </w:tc>
        <w:tc>
          <w:tcPr>
            <w:tcW w:w="2777" w:type="dxa"/>
            <w:vAlign w:val="center"/>
          </w:tcPr>
          <w:p w14:paraId="797B7612">
            <w:pPr>
              <w:pStyle w:val="5"/>
              <w:jc w:val="center"/>
              <w:rPr>
                <w:i/>
                <w:iCs/>
              </w:rPr>
            </w:pPr>
            <w:r>
              <w:rPr>
                <w:i/>
                <w:iCs/>
              </w:rPr>
              <w:t>Broussonetia papyrifera</w:t>
            </w:r>
          </w:p>
        </w:tc>
        <w:tc>
          <w:tcPr>
            <w:tcW w:w="1613" w:type="dxa"/>
            <w:vAlign w:val="center"/>
          </w:tcPr>
          <w:p w14:paraId="106D8EDF">
            <w:pPr>
              <w:pStyle w:val="5"/>
              <w:jc w:val="center"/>
            </w:pPr>
            <w:r>
              <w:t>0.497</w:t>
            </w:r>
          </w:p>
        </w:tc>
      </w:tr>
      <w:tr w14:paraId="73447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0E9EE088">
            <w:pPr>
              <w:pStyle w:val="5"/>
              <w:jc w:val="center"/>
            </w:pPr>
          </w:p>
        </w:tc>
        <w:tc>
          <w:tcPr>
            <w:tcW w:w="792" w:type="dxa"/>
            <w:vAlign w:val="center"/>
          </w:tcPr>
          <w:p w14:paraId="00187E07">
            <w:pPr>
              <w:pStyle w:val="5"/>
              <w:jc w:val="center"/>
            </w:pPr>
            <w:r>
              <w:t>14</w:t>
            </w:r>
          </w:p>
        </w:tc>
        <w:tc>
          <w:tcPr>
            <w:tcW w:w="1548" w:type="dxa"/>
            <w:vAlign w:val="center"/>
          </w:tcPr>
          <w:p w14:paraId="46A783FF">
            <w:pPr>
              <w:pStyle w:val="5"/>
              <w:jc w:val="center"/>
            </w:pPr>
            <w:r>
              <w:t>木芙蓉</w:t>
            </w:r>
          </w:p>
        </w:tc>
        <w:tc>
          <w:tcPr>
            <w:tcW w:w="2777" w:type="dxa"/>
            <w:vAlign w:val="center"/>
          </w:tcPr>
          <w:p w14:paraId="237FA2FC">
            <w:pPr>
              <w:pStyle w:val="5"/>
              <w:jc w:val="center"/>
              <w:rPr>
                <w:i/>
                <w:iCs/>
              </w:rPr>
            </w:pPr>
            <w:r>
              <w:rPr>
                <w:i/>
                <w:iCs/>
              </w:rPr>
              <w:t>Hibiscus mutabilis</w:t>
            </w:r>
          </w:p>
        </w:tc>
        <w:tc>
          <w:tcPr>
            <w:tcW w:w="1613" w:type="dxa"/>
            <w:vAlign w:val="center"/>
          </w:tcPr>
          <w:p w14:paraId="729C5A63">
            <w:pPr>
              <w:pStyle w:val="5"/>
              <w:jc w:val="center"/>
            </w:pPr>
            <w:r>
              <w:t>0.485</w:t>
            </w:r>
          </w:p>
        </w:tc>
      </w:tr>
      <w:tr w14:paraId="6C75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restart"/>
            <w:vAlign w:val="center"/>
          </w:tcPr>
          <w:p w14:paraId="243D4CFF">
            <w:pPr>
              <w:pStyle w:val="5"/>
              <w:jc w:val="center"/>
            </w:pPr>
            <w:r>
              <w:t>挺水植物</w:t>
            </w:r>
          </w:p>
        </w:tc>
        <w:tc>
          <w:tcPr>
            <w:tcW w:w="792" w:type="dxa"/>
            <w:vAlign w:val="center"/>
          </w:tcPr>
          <w:p w14:paraId="5EBF8A02">
            <w:pPr>
              <w:pStyle w:val="5"/>
              <w:jc w:val="center"/>
            </w:pPr>
            <w:r>
              <w:t>15</w:t>
            </w:r>
          </w:p>
        </w:tc>
        <w:tc>
          <w:tcPr>
            <w:tcW w:w="1548" w:type="dxa"/>
            <w:vAlign w:val="center"/>
          </w:tcPr>
          <w:p w14:paraId="751E517B">
            <w:pPr>
              <w:pStyle w:val="5"/>
              <w:jc w:val="center"/>
            </w:pPr>
            <w:r>
              <w:t>芦苇</w:t>
            </w:r>
          </w:p>
        </w:tc>
        <w:tc>
          <w:tcPr>
            <w:tcW w:w="2777" w:type="dxa"/>
            <w:vAlign w:val="center"/>
          </w:tcPr>
          <w:p w14:paraId="2728C4F6">
            <w:pPr>
              <w:pStyle w:val="5"/>
              <w:jc w:val="center"/>
              <w:rPr>
                <w:i/>
                <w:iCs/>
              </w:rPr>
            </w:pPr>
            <w:r>
              <w:rPr>
                <w:i/>
                <w:iCs/>
              </w:rPr>
              <w:t>Phragmites australis</w:t>
            </w:r>
          </w:p>
        </w:tc>
        <w:tc>
          <w:tcPr>
            <w:tcW w:w="1613" w:type="dxa"/>
            <w:vAlign w:val="center"/>
          </w:tcPr>
          <w:p w14:paraId="6218CCC9">
            <w:pPr>
              <w:pStyle w:val="5"/>
              <w:jc w:val="center"/>
            </w:pPr>
            <w:r>
              <w:t>0.45</w:t>
            </w:r>
          </w:p>
        </w:tc>
      </w:tr>
      <w:tr w14:paraId="29D56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62EA6AE0">
            <w:pPr>
              <w:pStyle w:val="5"/>
              <w:jc w:val="center"/>
            </w:pPr>
          </w:p>
        </w:tc>
        <w:tc>
          <w:tcPr>
            <w:tcW w:w="792" w:type="dxa"/>
            <w:vAlign w:val="center"/>
          </w:tcPr>
          <w:p w14:paraId="56130963">
            <w:pPr>
              <w:pStyle w:val="5"/>
              <w:jc w:val="center"/>
            </w:pPr>
            <w:r>
              <w:t>16</w:t>
            </w:r>
          </w:p>
        </w:tc>
        <w:tc>
          <w:tcPr>
            <w:tcW w:w="1548" w:type="dxa"/>
            <w:vAlign w:val="center"/>
          </w:tcPr>
          <w:p w14:paraId="335BF807">
            <w:pPr>
              <w:pStyle w:val="5"/>
              <w:jc w:val="center"/>
            </w:pPr>
            <w:r>
              <w:t>香蒲</w:t>
            </w:r>
          </w:p>
        </w:tc>
        <w:tc>
          <w:tcPr>
            <w:tcW w:w="2777" w:type="dxa"/>
            <w:vAlign w:val="center"/>
          </w:tcPr>
          <w:p w14:paraId="6A46EEF2">
            <w:pPr>
              <w:pStyle w:val="5"/>
              <w:jc w:val="center"/>
              <w:rPr>
                <w:i/>
                <w:iCs/>
              </w:rPr>
            </w:pPr>
            <w:r>
              <w:rPr>
                <w:i/>
                <w:iCs/>
              </w:rPr>
              <w:t>Typha orientalis</w:t>
            </w:r>
          </w:p>
        </w:tc>
        <w:tc>
          <w:tcPr>
            <w:tcW w:w="1613" w:type="dxa"/>
            <w:vAlign w:val="center"/>
          </w:tcPr>
          <w:p w14:paraId="3E49A1EA">
            <w:pPr>
              <w:pStyle w:val="5"/>
              <w:jc w:val="center"/>
            </w:pPr>
            <w:r>
              <w:t>0.42</w:t>
            </w:r>
          </w:p>
        </w:tc>
      </w:tr>
      <w:tr w14:paraId="61F0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7BAA39BE">
            <w:pPr>
              <w:pStyle w:val="5"/>
              <w:jc w:val="center"/>
            </w:pPr>
          </w:p>
        </w:tc>
        <w:tc>
          <w:tcPr>
            <w:tcW w:w="792" w:type="dxa"/>
            <w:vAlign w:val="center"/>
          </w:tcPr>
          <w:p w14:paraId="4C761CB1">
            <w:pPr>
              <w:pStyle w:val="5"/>
              <w:jc w:val="center"/>
            </w:pPr>
            <w:r>
              <w:t>17</w:t>
            </w:r>
          </w:p>
        </w:tc>
        <w:tc>
          <w:tcPr>
            <w:tcW w:w="1548" w:type="dxa"/>
            <w:vAlign w:val="center"/>
          </w:tcPr>
          <w:p w14:paraId="6A379714">
            <w:pPr>
              <w:pStyle w:val="5"/>
              <w:jc w:val="center"/>
            </w:pPr>
            <w:r>
              <w:t>水葱</w:t>
            </w:r>
          </w:p>
        </w:tc>
        <w:tc>
          <w:tcPr>
            <w:tcW w:w="2777" w:type="dxa"/>
            <w:vAlign w:val="center"/>
          </w:tcPr>
          <w:p w14:paraId="71ABBFDE">
            <w:pPr>
              <w:pStyle w:val="5"/>
              <w:jc w:val="center"/>
              <w:rPr>
                <w:i/>
                <w:iCs/>
              </w:rPr>
            </w:pPr>
            <w:r>
              <w:rPr>
                <w:i/>
                <w:iCs/>
              </w:rPr>
              <w:t>Schoenoplectus tabernaemontani</w:t>
            </w:r>
          </w:p>
        </w:tc>
        <w:tc>
          <w:tcPr>
            <w:tcW w:w="1613" w:type="dxa"/>
            <w:vAlign w:val="center"/>
          </w:tcPr>
          <w:p w14:paraId="64EC8D2D">
            <w:pPr>
              <w:pStyle w:val="5"/>
              <w:jc w:val="center"/>
            </w:pPr>
            <w:r>
              <w:t>0.44</w:t>
            </w:r>
          </w:p>
        </w:tc>
      </w:tr>
      <w:tr w14:paraId="1CBAD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6F4DE7D4">
            <w:pPr>
              <w:pStyle w:val="5"/>
              <w:jc w:val="center"/>
            </w:pPr>
          </w:p>
        </w:tc>
        <w:tc>
          <w:tcPr>
            <w:tcW w:w="792" w:type="dxa"/>
            <w:vAlign w:val="center"/>
          </w:tcPr>
          <w:p w14:paraId="1AC3B491">
            <w:pPr>
              <w:pStyle w:val="5"/>
              <w:jc w:val="center"/>
            </w:pPr>
            <w:r>
              <w:t>18</w:t>
            </w:r>
          </w:p>
        </w:tc>
        <w:tc>
          <w:tcPr>
            <w:tcW w:w="1548" w:type="dxa"/>
            <w:vAlign w:val="center"/>
          </w:tcPr>
          <w:p w14:paraId="60F2DE97">
            <w:pPr>
              <w:pStyle w:val="5"/>
              <w:jc w:val="center"/>
            </w:pPr>
            <w:r>
              <w:t>菰</w:t>
            </w:r>
          </w:p>
        </w:tc>
        <w:tc>
          <w:tcPr>
            <w:tcW w:w="2777" w:type="dxa"/>
            <w:vAlign w:val="center"/>
          </w:tcPr>
          <w:p w14:paraId="60521E5F">
            <w:pPr>
              <w:pStyle w:val="5"/>
              <w:jc w:val="center"/>
              <w:rPr>
                <w:i/>
                <w:iCs/>
              </w:rPr>
            </w:pPr>
            <w:r>
              <w:rPr>
                <w:i/>
                <w:iCs/>
              </w:rPr>
              <w:t>Zizania latifolia</w:t>
            </w:r>
          </w:p>
        </w:tc>
        <w:tc>
          <w:tcPr>
            <w:tcW w:w="1613" w:type="dxa"/>
            <w:vAlign w:val="center"/>
          </w:tcPr>
          <w:p w14:paraId="49640258">
            <w:pPr>
              <w:pStyle w:val="5"/>
              <w:jc w:val="center"/>
            </w:pPr>
            <w:r>
              <w:t>0.42</w:t>
            </w:r>
          </w:p>
        </w:tc>
      </w:tr>
      <w:tr w14:paraId="45E9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45CB38CA">
            <w:pPr>
              <w:pStyle w:val="5"/>
              <w:jc w:val="center"/>
            </w:pPr>
          </w:p>
        </w:tc>
        <w:tc>
          <w:tcPr>
            <w:tcW w:w="792" w:type="dxa"/>
            <w:vAlign w:val="center"/>
          </w:tcPr>
          <w:p w14:paraId="204E8995">
            <w:pPr>
              <w:pStyle w:val="5"/>
              <w:jc w:val="center"/>
            </w:pPr>
            <w:r>
              <w:t>19</w:t>
            </w:r>
          </w:p>
        </w:tc>
        <w:tc>
          <w:tcPr>
            <w:tcW w:w="1548" w:type="dxa"/>
            <w:vAlign w:val="center"/>
          </w:tcPr>
          <w:p w14:paraId="0000D7B3">
            <w:pPr>
              <w:pStyle w:val="5"/>
              <w:jc w:val="center"/>
            </w:pPr>
            <w:r>
              <w:t>芦竹</w:t>
            </w:r>
          </w:p>
        </w:tc>
        <w:tc>
          <w:tcPr>
            <w:tcW w:w="2777" w:type="dxa"/>
            <w:vAlign w:val="center"/>
          </w:tcPr>
          <w:p w14:paraId="3B5F94D7">
            <w:pPr>
              <w:pStyle w:val="5"/>
              <w:jc w:val="center"/>
              <w:rPr>
                <w:i/>
                <w:iCs/>
              </w:rPr>
            </w:pPr>
            <w:r>
              <w:rPr>
                <w:i/>
                <w:iCs/>
              </w:rPr>
              <w:t>Arundo donax</w:t>
            </w:r>
          </w:p>
        </w:tc>
        <w:tc>
          <w:tcPr>
            <w:tcW w:w="1613" w:type="dxa"/>
            <w:vAlign w:val="center"/>
          </w:tcPr>
          <w:p w14:paraId="5CDDD964">
            <w:pPr>
              <w:pStyle w:val="5"/>
              <w:jc w:val="center"/>
            </w:pPr>
            <w:r>
              <w:t>0.44</w:t>
            </w:r>
          </w:p>
        </w:tc>
      </w:tr>
      <w:tr w14:paraId="0A2A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333B210F">
            <w:pPr>
              <w:pStyle w:val="5"/>
              <w:jc w:val="center"/>
            </w:pPr>
          </w:p>
        </w:tc>
        <w:tc>
          <w:tcPr>
            <w:tcW w:w="792" w:type="dxa"/>
            <w:vAlign w:val="center"/>
          </w:tcPr>
          <w:p w14:paraId="7E6FFE88">
            <w:pPr>
              <w:pStyle w:val="5"/>
              <w:jc w:val="center"/>
            </w:pPr>
            <w:r>
              <w:t>20</w:t>
            </w:r>
          </w:p>
        </w:tc>
        <w:tc>
          <w:tcPr>
            <w:tcW w:w="1548" w:type="dxa"/>
            <w:vAlign w:val="center"/>
          </w:tcPr>
          <w:p w14:paraId="2984AF8D">
            <w:pPr>
              <w:pStyle w:val="5"/>
              <w:jc w:val="center"/>
            </w:pPr>
            <w:r>
              <w:t>荻</w:t>
            </w:r>
          </w:p>
        </w:tc>
        <w:tc>
          <w:tcPr>
            <w:tcW w:w="2777" w:type="dxa"/>
            <w:vAlign w:val="center"/>
          </w:tcPr>
          <w:p w14:paraId="624F8FB5">
            <w:pPr>
              <w:pStyle w:val="5"/>
              <w:jc w:val="center"/>
              <w:rPr>
                <w:i/>
                <w:iCs/>
              </w:rPr>
            </w:pPr>
            <w:r>
              <w:rPr>
                <w:i/>
                <w:iCs/>
              </w:rPr>
              <w:t>Miscanthus sacchariflorus</w:t>
            </w:r>
          </w:p>
        </w:tc>
        <w:tc>
          <w:tcPr>
            <w:tcW w:w="1613" w:type="dxa"/>
            <w:vAlign w:val="center"/>
          </w:tcPr>
          <w:p w14:paraId="21490AA4">
            <w:pPr>
              <w:pStyle w:val="5"/>
              <w:jc w:val="center"/>
            </w:pPr>
            <w:r>
              <w:t>0.44</w:t>
            </w:r>
          </w:p>
        </w:tc>
      </w:tr>
      <w:tr w14:paraId="4D7C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08766661">
            <w:pPr>
              <w:pStyle w:val="5"/>
              <w:jc w:val="center"/>
            </w:pPr>
          </w:p>
        </w:tc>
        <w:tc>
          <w:tcPr>
            <w:tcW w:w="792" w:type="dxa"/>
            <w:vAlign w:val="center"/>
          </w:tcPr>
          <w:p w14:paraId="41423BE1">
            <w:pPr>
              <w:pStyle w:val="5"/>
              <w:jc w:val="center"/>
            </w:pPr>
            <w:r>
              <w:t>21</w:t>
            </w:r>
          </w:p>
        </w:tc>
        <w:tc>
          <w:tcPr>
            <w:tcW w:w="1548" w:type="dxa"/>
            <w:vAlign w:val="center"/>
          </w:tcPr>
          <w:p w14:paraId="24FFF9C3">
            <w:pPr>
              <w:pStyle w:val="5"/>
              <w:jc w:val="center"/>
            </w:pPr>
            <w:r>
              <w:t>水烛</w:t>
            </w:r>
          </w:p>
        </w:tc>
        <w:tc>
          <w:tcPr>
            <w:tcW w:w="2777" w:type="dxa"/>
            <w:vAlign w:val="center"/>
          </w:tcPr>
          <w:p w14:paraId="0B1D6B36">
            <w:pPr>
              <w:pStyle w:val="5"/>
              <w:jc w:val="center"/>
              <w:rPr>
                <w:i/>
                <w:iCs/>
              </w:rPr>
            </w:pPr>
            <w:r>
              <w:rPr>
                <w:i/>
                <w:iCs/>
              </w:rPr>
              <w:t>Typha angustifolia</w:t>
            </w:r>
          </w:p>
        </w:tc>
        <w:tc>
          <w:tcPr>
            <w:tcW w:w="1613" w:type="dxa"/>
            <w:vAlign w:val="center"/>
          </w:tcPr>
          <w:p w14:paraId="02A6A108">
            <w:pPr>
              <w:pStyle w:val="5"/>
              <w:jc w:val="center"/>
            </w:pPr>
            <w:r>
              <w:t>0.42</w:t>
            </w:r>
          </w:p>
        </w:tc>
      </w:tr>
      <w:tr w14:paraId="11724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restart"/>
            <w:vAlign w:val="center"/>
          </w:tcPr>
          <w:p w14:paraId="11747C22">
            <w:pPr>
              <w:pStyle w:val="5"/>
              <w:jc w:val="center"/>
            </w:pPr>
            <w:r>
              <w:t>沉水植物</w:t>
            </w:r>
          </w:p>
        </w:tc>
        <w:tc>
          <w:tcPr>
            <w:tcW w:w="792" w:type="dxa"/>
            <w:vAlign w:val="center"/>
          </w:tcPr>
          <w:p w14:paraId="3CCAD62E">
            <w:pPr>
              <w:pStyle w:val="5"/>
              <w:jc w:val="center"/>
            </w:pPr>
            <w:r>
              <w:t>2</w:t>
            </w:r>
            <w:r>
              <w:rPr>
                <w:rFonts w:hint="eastAsia"/>
              </w:rPr>
              <w:t>2</w:t>
            </w:r>
          </w:p>
        </w:tc>
        <w:tc>
          <w:tcPr>
            <w:tcW w:w="1548" w:type="dxa"/>
            <w:vAlign w:val="center"/>
          </w:tcPr>
          <w:p w14:paraId="4C877488">
            <w:pPr>
              <w:pStyle w:val="5"/>
              <w:jc w:val="center"/>
            </w:pPr>
            <w:r>
              <w:t>苦草</w:t>
            </w:r>
          </w:p>
        </w:tc>
        <w:tc>
          <w:tcPr>
            <w:tcW w:w="2777" w:type="dxa"/>
            <w:vAlign w:val="center"/>
          </w:tcPr>
          <w:p w14:paraId="038E6CBD">
            <w:pPr>
              <w:pStyle w:val="5"/>
              <w:jc w:val="center"/>
              <w:rPr>
                <w:i/>
                <w:iCs/>
              </w:rPr>
            </w:pPr>
            <w:r>
              <w:rPr>
                <w:i/>
                <w:iCs/>
              </w:rPr>
              <w:t>Vallisneria natans</w:t>
            </w:r>
          </w:p>
        </w:tc>
        <w:tc>
          <w:tcPr>
            <w:tcW w:w="1613" w:type="dxa"/>
            <w:vAlign w:val="center"/>
          </w:tcPr>
          <w:p w14:paraId="09EE2E49">
            <w:pPr>
              <w:pStyle w:val="5"/>
              <w:jc w:val="center"/>
            </w:pPr>
            <w:r>
              <w:t>0.33</w:t>
            </w:r>
          </w:p>
        </w:tc>
      </w:tr>
      <w:tr w14:paraId="2A2A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68F3B454">
            <w:pPr>
              <w:pStyle w:val="5"/>
              <w:jc w:val="center"/>
            </w:pPr>
          </w:p>
        </w:tc>
        <w:tc>
          <w:tcPr>
            <w:tcW w:w="792" w:type="dxa"/>
            <w:vAlign w:val="center"/>
          </w:tcPr>
          <w:p w14:paraId="6859D88C">
            <w:pPr>
              <w:pStyle w:val="5"/>
              <w:jc w:val="center"/>
            </w:pPr>
            <w:r>
              <w:t>2</w:t>
            </w:r>
            <w:r>
              <w:rPr>
                <w:rFonts w:hint="eastAsia"/>
              </w:rPr>
              <w:t>3</w:t>
            </w:r>
          </w:p>
        </w:tc>
        <w:tc>
          <w:tcPr>
            <w:tcW w:w="1548" w:type="dxa"/>
            <w:vAlign w:val="center"/>
          </w:tcPr>
          <w:p w14:paraId="59D5717D">
            <w:pPr>
              <w:pStyle w:val="5"/>
              <w:jc w:val="center"/>
            </w:pPr>
            <w:r>
              <w:t>黑藻</w:t>
            </w:r>
          </w:p>
        </w:tc>
        <w:tc>
          <w:tcPr>
            <w:tcW w:w="2777" w:type="dxa"/>
            <w:vAlign w:val="center"/>
          </w:tcPr>
          <w:p w14:paraId="6C6FA133">
            <w:pPr>
              <w:pStyle w:val="5"/>
              <w:jc w:val="center"/>
              <w:rPr>
                <w:i/>
                <w:iCs/>
              </w:rPr>
            </w:pPr>
            <w:r>
              <w:rPr>
                <w:i/>
                <w:iCs/>
              </w:rPr>
              <w:t>Hydrilla verticillata</w:t>
            </w:r>
          </w:p>
        </w:tc>
        <w:tc>
          <w:tcPr>
            <w:tcW w:w="1613" w:type="dxa"/>
            <w:vAlign w:val="center"/>
          </w:tcPr>
          <w:p w14:paraId="118804BC">
            <w:pPr>
              <w:pStyle w:val="5"/>
              <w:jc w:val="center"/>
            </w:pPr>
            <w:r>
              <w:t>0.26</w:t>
            </w:r>
          </w:p>
        </w:tc>
      </w:tr>
      <w:tr w14:paraId="24513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37B10403">
            <w:pPr>
              <w:pStyle w:val="5"/>
              <w:jc w:val="center"/>
            </w:pPr>
          </w:p>
        </w:tc>
        <w:tc>
          <w:tcPr>
            <w:tcW w:w="792" w:type="dxa"/>
            <w:vAlign w:val="center"/>
          </w:tcPr>
          <w:p w14:paraId="1CF3BDC9">
            <w:pPr>
              <w:pStyle w:val="5"/>
              <w:jc w:val="center"/>
            </w:pPr>
            <w:r>
              <w:t>2</w:t>
            </w:r>
            <w:r>
              <w:rPr>
                <w:rFonts w:hint="eastAsia"/>
              </w:rPr>
              <w:t>4</w:t>
            </w:r>
          </w:p>
        </w:tc>
        <w:tc>
          <w:tcPr>
            <w:tcW w:w="1548" w:type="dxa"/>
            <w:vAlign w:val="center"/>
          </w:tcPr>
          <w:p w14:paraId="4DC48190">
            <w:pPr>
              <w:pStyle w:val="5"/>
              <w:jc w:val="center"/>
            </w:pPr>
            <w:r>
              <w:t>金鱼藻</w:t>
            </w:r>
          </w:p>
        </w:tc>
        <w:tc>
          <w:tcPr>
            <w:tcW w:w="2777" w:type="dxa"/>
            <w:vAlign w:val="center"/>
          </w:tcPr>
          <w:p w14:paraId="06AB5E56">
            <w:pPr>
              <w:pStyle w:val="5"/>
              <w:jc w:val="center"/>
              <w:rPr>
                <w:i/>
                <w:iCs/>
              </w:rPr>
            </w:pPr>
            <w:r>
              <w:rPr>
                <w:i/>
                <w:iCs/>
              </w:rPr>
              <w:t>Ceratophyllum demersum</w:t>
            </w:r>
          </w:p>
        </w:tc>
        <w:tc>
          <w:tcPr>
            <w:tcW w:w="1613" w:type="dxa"/>
            <w:vAlign w:val="center"/>
          </w:tcPr>
          <w:p w14:paraId="774EC7BB">
            <w:pPr>
              <w:pStyle w:val="5"/>
              <w:jc w:val="center"/>
            </w:pPr>
            <w:r>
              <w:t>0.43</w:t>
            </w:r>
          </w:p>
        </w:tc>
      </w:tr>
      <w:tr w14:paraId="2608F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5BB15F58">
            <w:pPr>
              <w:pStyle w:val="5"/>
              <w:jc w:val="center"/>
            </w:pPr>
          </w:p>
        </w:tc>
        <w:tc>
          <w:tcPr>
            <w:tcW w:w="792" w:type="dxa"/>
            <w:vAlign w:val="center"/>
          </w:tcPr>
          <w:p w14:paraId="3EA398DF">
            <w:pPr>
              <w:pStyle w:val="5"/>
              <w:jc w:val="center"/>
            </w:pPr>
            <w:r>
              <w:t>2</w:t>
            </w:r>
            <w:r>
              <w:rPr>
                <w:rFonts w:hint="eastAsia"/>
              </w:rPr>
              <w:t>5</w:t>
            </w:r>
          </w:p>
        </w:tc>
        <w:tc>
          <w:tcPr>
            <w:tcW w:w="1548" w:type="dxa"/>
            <w:vAlign w:val="center"/>
          </w:tcPr>
          <w:p w14:paraId="252C7E0D">
            <w:pPr>
              <w:pStyle w:val="5"/>
              <w:jc w:val="center"/>
            </w:pPr>
            <w:r>
              <w:t>菹草</w:t>
            </w:r>
          </w:p>
        </w:tc>
        <w:tc>
          <w:tcPr>
            <w:tcW w:w="2777" w:type="dxa"/>
            <w:vAlign w:val="center"/>
          </w:tcPr>
          <w:p w14:paraId="36EC86CC">
            <w:pPr>
              <w:pStyle w:val="5"/>
              <w:jc w:val="center"/>
              <w:rPr>
                <w:i/>
                <w:iCs/>
              </w:rPr>
            </w:pPr>
            <w:r>
              <w:rPr>
                <w:i/>
                <w:iCs/>
              </w:rPr>
              <w:t>Potamogeton crispus</w:t>
            </w:r>
          </w:p>
        </w:tc>
        <w:tc>
          <w:tcPr>
            <w:tcW w:w="1613" w:type="dxa"/>
            <w:vAlign w:val="center"/>
          </w:tcPr>
          <w:p w14:paraId="2AFC244A">
            <w:pPr>
              <w:pStyle w:val="5"/>
              <w:jc w:val="center"/>
            </w:pPr>
            <w:r>
              <w:t>0.37</w:t>
            </w:r>
          </w:p>
        </w:tc>
      </w:tr>
      <w:tr w14:paraId="07938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422F6894">
            <w:pPr>
              <w:pStyle w:val="5"/>
              <w:jc w:val="center"/>
            </w:pPr>
          </w:p>
        </w:tc>
        <w:tc>
          <w:tcPr>
            <w:tcW w:w="792" w:type="dxa"/>
            <w:vAlign w:val="center"/>
          </w:tcPr>
          <w:p w14:paraId="2FCBD154">
            <w:pPr>
              <w:pStyle w:val="5"/>
              <w:jc w:val="center"/>
            </w:pPr>
            <w:r>
              <w:t>2</w:t>
            </w:r>
            <w:r>
              <w:rPr>
                <w:rFonts w:hint="eastAsia"/>
              </w:rPr>
              <w:t>6</w:t>
            </w:r>
          </w:p>
        </w:tc>
        <w:tc>
          <w:tcPr>
            <w:tcW w:w="1548" w:type="dxa"/>
            <w:vAlign w:val="center"/>
          </w:tcPr>
          <w:p w14:paraId="392A5C02">
            <w:pPr>
              <w:pStyle w:val="5"/>
              <w:jc w:val="center"/>
            </w:pPr>
            <w:r>
              <w:t>竹叶眼子菜</w:t>
            </w:r>
          </w:p>
        </w:tc>
        <w:tc>
          <w:tcPr>
            <w:tcW w:w="2777" w:type="dxa"/>
            <w:vAlign w:val="center"/>
          </w:tcPr>
          <w:p w14:paraId="2918800F">
            <w:pPr>
              <w:pStyle w:val="5"/>
              <w:jc w:val="center"/>
              <w:rPr>
                <w:i/>
                <w:iCs/>
              </w:rPr>
            </w:pPr>
            <w:r>
              <w:rPr>
                <w:i/>
                <w:iCs/>
              </w:rPr>
              <w:t>Potamogeton wrightii</w:t>
            </w:r>
          </w:p>
        </w:tc>
        <w:tc>
          <w:tcPr>
            <w:tcW w:w="1613" w:type="dxa"/>
            <w:vAlign w:val="center"/>
          </w:tcPr>
          <w:p w14:paraId="2BF5964B">
            <w:pPr>
              <w:pStyle w:val="5"/>
              <w:jc w:val="center"/>
            </w:pPr>
            <w:r>
              <w:t>0.39</w:t>
            </w:r>
          </w:p>
        </w:tc>
      </w:tr>
      <w:tr w14:paraId="03F09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410AFE59">
            <w:pPr>
              <w:pStyle w:val="5"/>
              <w:jc w:val="center"/>
            </w:pPr>
          </w:p>
        </w:tc>
        <w:tc>
          <w:tcPr>
            <w:tcW w:w="792" w:type="dxa"/>
            <w:vAlign w:val="center"/>
          </w:tcPr>
          <w:p w14:paraId="5DCC81EF">
            <w:pPr>
              <w:pStyle w:val="5"/>
              <w:jc w:val="center"/>
            </w:pPr>
            <w:r>
              <w:t>2</w:t>
            </w:r>
            <w:r>
              <w:rPr>
                <w:rFonts w:hint="eastAsia"/>
              </w:rPr>
              <w:t>7</w:t>
            </w:r>
          </w:p>
        </w:tc>
        <w:tc>
          <w:tcPr>
            <w:tcW w:w="1548" w:type="dxa"/>
            <w:vAlign w:val="center"/>
          </w:tcPr>
          <w:p w14:paraId="09A1935B">
            <w:pPr>
              <w:pStyle w:val="5"/>
              <w:jc w:val="center"/>
            </w:pPr>
            <w:r>
              <w:t>篦齿眼子菜</w:t>
            </w:r>
          </w:p>
        </w:tc>
        <w:tc>
          <w:tcPr>
            <w:tcW w:w="2777" w:type="dxa"/>
            <w:vAlign w:val="center"/>
          </w:tcPr>
          <w:p w14:paraId="169EC242">
            <w:pPr>
              <w:pStyle w:val="5"/>
              <w:jc w:val="center"/>
              <w:rPr>
                <w:i/>
                <w:iCs/>
              </w:rPr>
            </w:pPr>
            <w:r>
              <w:rPr>
                <w:i/>
                <w:iCs/>
              </w:rPr>
              <w:t>Stuckenia pectinata</w:t>
            </w:r>
          </w:p>
        </w:tc>
        <w:tc>
          <w:tcPr>
            <w:tcW w:w="1613" w:type="dxa"/>
            <w:vAlign w:val="center"/>
          </w:tcPr>
          <w:p w14:paraId="638F1A4B">
            <w:pPr>
              <w:pStyle w:val="5"/>
              <w:jc w:val="center"/>
            </w:pPr>
            <w:r>
              <w:t>0.33</w:t>
            </w:r>
          </w:p>
        </w:tc>
      </w:tr>
      <w:tr w14:paraId="12491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3F0CB40D">
            <w:pPr>
              <w:pStyle w:val="5"/>
              <w:jc w:val="center"/>
            </w:pPr>
          </w:p>
        </w:tc>
        <w:tc>
          <w:tcPr>
            <w:tcW w:w="792" w:type="dxa"/>
            <w:vAlign w:val="center"/>
          </w:tcPr>
          <w:p w14:paraId="65642ACA">
            <w:pPr>
              <w:pStyle w:val="5"/>
              <w:jc w:val="center"/>
            </w:pPr>
            <w:r>
              <w:t>2</w:t>
            </w:r>
            <w:r>
              <w:rPr>
                <w:rFonts w:hint="eastAsia"/>
              </w:rPr>
              <w:t>8</w:t>
            </w:r>
          </w:p>
        </w:tc>
        <w:tc>
          <w:tcPr>
            <w:tcW w:w="1548" w:type="dxa"/>
            <w:vAlign w:val="center"/>
          </w:tcPr>
          <w:p w14:paraId="4ECA7FF1">
            <w:pPr>
              <w:pStyle w:val="5"/>
              <w:jc w:val="center"/>
            </w:pPr>
            <w:r>
              <w:t>穗状狐尾藻</w:t>
            </w:r>
          </w:p>
        </w:tc>
        <w:tc>
          <w:tcPr>
            <w:tcW w:w="2777" w:type="dxa"/>
            <w:vAlign w:val="center"/>
          </w:tcPr>
          <w:p w14:paraId="499B245B">
            <w:pPr>
              <w:pStyle w:val="5"/>
              <w:jc w:val="center"/>
              <w:rPr>
                <w:i/>
                <w:iCs/>
              </w:rPr>
            </w:pPr>
            <w:r>
              <w:rPr>
                <w:i/>
                <w:iCs/>
              </w:rPr>
              <w:t>Myriophyllum spicatum</w:t>
            </w:r>
          </w:p>
        </w:tc>
        <w:tc>
          <w:tcPr>
            <w:tcW w:w="1613" w:type="dxa"/>
            <w:vAlign w:val="center"/>
          </w:tcPr>
          <w:p w14:paraId="5FCE8ECC">
            <w:pPr>
              <w:pStyle w:val="5"/>
              <w:jc w:val="center"/>
            </w:pPr>
            <w:r>
              <w:t>0.25</w:t>
            </w:r>
          </w:p>
        </w:tc>
      </w:tr>
      <w:tr w14:paraId="76288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19E48A86">
            <w:pPr>
              <w:pStyle w:val="5"/>
              <w:jc w:val="center"/>
            </w:pPr>
          </w:p>
        </w:tc>
        <w:tc>
          <w:tcPr>
            <w:tcW w:w="792" w:type="dxa"/>
            <w:vAlign w:val="center"/>
          </w:tcPr>
          <w:p w14:paraId="6FA2FA6A">
            <w:pPr>
              <w:pStyle w:val="5"/>
              <w:jc w:val="center"/>
            </w:pPr>
            <w:r>
              <w:rPr>
                <w:rFonts w:hint="eastAsia"/>
              </w:rPr>
              <w:t>29</w:t>
            </w:r>
          </w:p>
        </w:tc>
        <w:tc>
          <w:tcPr>
            <w:tcW w:w="1548" w:type="dxa"/>
            <w:vAlign w:val="center"/>
          </w:tcPr>
          <w:p w14:paraId="5A6D9623">
            <w:pPr>
              <w:pStyle w:val="5"/>
              <w:jc w:val="center"/>
            </w:pPr>
            <w:r>
              <w:t>轮叶狐尾藻</w:t>
            </w:r>
          </w:p>
        </w:tc>
        <w:tc>
          <w:tcPr>
            <w:tcW w:w="2777" w:type="dxa"/>
            <w:vAlign w:val="center"/>
          </w:tcPr>
          <w:p w14:paraId="3925B0A1">
            <w:pPr>
              <w:pStyle w:val="5"/>
              <w:jc w:val="center"/>
              <w:rPr>
                <w:i/>
                <w:iCs/>
              </w:rPr>
            </w:pPr>
            <w:r>
              <w:rPr>
                <w:i/>
                <w:iCs/>
              </w:rPr>
              <w:t>Myriophyllum verticillatum</w:t>
            </w:r>
          </w:p>
        </w:tc>
        <w:tc>
          <w:tcPr>
            <w:tcW w:w="1613" w:type="dxa"/>
            <w:vAlign w:val="center"/>
          </w:tcPr>
          <w:p w14:paraId="75F5EA40">
            <w:pPr>
              <w:pStyle w:val="5"/>
              <w:jc w:val="center"/>
            </w:pPr>
            <w:r>
              <w:t>0.25</w:t>
            </w:r>
          </w:p>
        </w:tc>
      </w:tr>
      <w:tr w14:paraId="0C63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restart"/>
            <w:vAlign w:val="center"/>
          </w:tcPr>
          <w:p w14:paraId="0C4F2304">
            <w:pPr>
              <w:pStyle w:val="5"/>
              <w:jc w:val="center"/>
            </w:pPr>
            <w:r>
              <w:t>浮叶/漂浮植物</w:t>
            </w:r>
          </w:p>
        </w:tc>
        <w:tc>
          <w:tcPr>
            <w:tcW w:w="792" w:type="dxa"/>
            <w:vAlign w:val="center"/>
          </w:tcPr>
          <w:p w14:paraId="52FEFEFC">
            <w:pPr>
              <w:pStyle w:val="5"/>
              <w:jc w:val="center"/>
            </w:pPr>
            <w:r>
              <w:t>3</w:t>
            </w:r>
            <w:r>
              <w:rPr>
                <w:rFonts w:hint="eastAsia"/>
              </w:rPr>
              <w:t>0</w:t>
            </w:r>
          </w:p>
        </w:tc>
        <w:tc>
          <w:tcPr>
            <w:tcW w:w="1548" w:type="dxa"/>
            <w:vAlign w:val="center"/>
          </w:tcPr>
          <w:p w14:paraId="1B88DBAC">
            <w:pPr>
              <w:pStyle w:val="5"/>
              <w:jc w:val="center"/>
            </w:pPr>
            <w:r>
              <w:t>睡莲</w:t>
            </w:r>
          </w:p>
        </w:tc>
        <w:tc>
          <w:tcPr>
            <w:tcW w:w="2777" w:type="dxa"/>
            <w:vAlign w:val="center"/>
          </w:tcPr>
          <w:p w14:paraId="6C600BF4">
            <w:pPr>
              <w:pStyle w:val="5"/>
              <w:jc w:val="center"/>
              <w:rPr>
                <w:i/>
                <w:iCs/>
              </w:rPr>
            </w:pPr>
            <w:r>
              <w:rPr>
                <w:i/>
                <w:iCs/>
              </w:rPr>
              <w:t>Nymphaea tetragona</w:t>
            </w:r>
          </w:p>
        </w:tc>
        <w:tc>
          <w:tcPr>
            <w:tcW w:w="1613" w:type="dxa"/>
            <w:vAlign w:val="center"/>
          </w:tcPr>
          <w:p w14:paraId="3BB791DE">
            <w:pPr>
              <w:pStyle w:val="5"/>
              <w:jc w:val="center"/>
            </w:pPr>
            <w:r>
              <w:t>0.4</w:t>
            </w:r>
          </w:p>
        </w:tc>
      </w:tr>
      <w:tr w14:paraId="4A335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69C1E041">
            <w:pPr>
              <w:pStyle w:val="5"/>
              <w:jc w:val="center"/>
            </w:pPr>
          </w:p>
        </w:tc>
        <w:tc>
          <w:tcPr>
            <w:tcW w:w="792" w:type="dxa"/>
            <w:vAlign w:val="center"/>
          </w:tcPr>
          <w:p w14:paraId="4DC51413">
            <w:pPr>
              <w:pStyle w:val="5"/>
              <w:jc w:val="center"/>
            </w:pPr>
            <w:r>
              <w:t>3</w:t>
            </w:r>
            <w:r>
              <w:rPr>
                <w:rFonts w:hint="eastAsia"/>
              </w:rPr>
              <w:t>1</w:t>
            </w:r>
          </w:p>
        </w:tc>
        <w:tc>
          <w:tcPr>
            <w:tcW w:w="1548" w:type="dxa"/>
            <w:vAlign w:val="center"/>
          </w:tcPr>
          <w:p w14:paraId="1C9FFD6A">
            <w:pPr>
              <w:pStyle w:val="5"/>
              <w:jc w:val="center"/>
            </w:pPr>
            <w:r>
              <w:t>荷花</w:t>
            </w:r>
          </w:p>
        </w:tc>
        <w:tc>
          <w:tcPr>
            <w:tcW w:w="2777" w:type="dxa"/>
            <w:vAlign w:val="center"/>
          </w:tcPr>
          <w:p w14:paraId="40C97D30">
            <w:pPr>
              <w:pStyle w:val="5"/>
              <w:jc w:val="center"/>
              <w:rPr>
                <w:i/>
                <w:iCs/>
              </w:rPr>
            </w:pPr>
            <w:r>
              <w:rPr>
                <w:i/>
                <w:iCs/>
              </w:rPr>
              <w:t>Nelumbo nucifera</w:t>
            </w:r>
          </w:p>
        </w:tc>
        <w:tc>
          <w:tcPr>
            <w:tcW w:w="1613" w:type="dxa"/>
            <w:vAlign w:val="center"/>
          </w:tcPr>
          <w:p w14:paraId="0CD45E53">
            <w:pPr>
              <w:pStyle w:val="5"/>
              <w:jc w:val="center"/>
            </w:pPr>
            <w:r>
              <w:t>0.41</w:t>
            </w:r>
          </w:p>
        </w:tc>
      </w:tr>
      <w:tr w14:paraId="6D5B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2FDE11A8">
            <w:pPr>
              <w:pStyle w:val="5"/>
              <w:jc w:val="center"/>
            </w:pPr>
          </w:p>
        </w:tc>
        <w:tc>
          <w:tcPr>
            <w:tcW w:w="792" w:type="dxa"/>
            <w:vAlign w:val="center"/>
          </w:tcPr>
          <w:p w14:paraId="75582D93">
            <w:pPr>
              <w:pStyle w:val="5"/>
              <w:jc w:val="center"/>
            </w:pPr>
            <w:r>
              <w:t>3</w:t>
            </w:r>
            <w:r>
              <w:rPr>
                <w:rFonts w:hint="eastAsia"/>
              </w:rPr>
              <w:t>2</w:t>
            </w:r>
          </w:p>
        </w:tc>
        <w:tc>
          <w:tcPr>
            <w:tcW w:w="1548" w:type="dxa"/>
            <w:vAlign w:val="center"/>
          </w:tcPr>
          <w:p w14:paraId="52D94E8C">
            <w:pPr>
              <w:pStyle w:val="5"/>
              <w:jc w:val="center"/>
            </w:pPr>
            <w:r>
              <w:t>荇菜</w:t>
            </w:r>
          </w:p>
        </w:tc>
        <w:tc>
          <w:tcPr>
            <w:tcW w:w="2777" w:type="dxa"/>
            <w:vAlign w:val="center"/>
          </w:tcPr>
          <w:p w14:paraId="75A72B4B">
            <w:pPr>
              <w:pStyle w:val="5"/>
              <w:jc w:val="center"/>
              <w:rPr>
                <w:i/>
                <w:iCs/>
              </w:rPr>
            </w:pPr>
            <w:r>
              <w:rPr>
                <w:i/>
                <w:iCs/>
              </w:rPr>
              <w:t>Nymphoides peltata</w:t>
            </w:r>
          </w:p>
        </w:tc>
        <w:tc>
          <w:tcPr>
            <w:tcW w:w="1613" w:type="dxa"/>
            <w:vAlign w:val="center"/>
          </w:tcPr>
          <w:p w14:paraId="2934E5AB">
            <w:pPr>
              <w:pStyle w:val="5"/>
              <w:jc w:val="center"/>
            </w:pPr>
            <w:r>
              <w:t>0.43</w:t>
            </w:r>
          </w:p>
        </w:tc>
      </w:tr>
      <w:tr w14:paraId="3553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6BBE2A75">
            <w:pPr>
              <w:pStyle w:val="5"/>
              <w:jc w:val="center"/>
            </w:pPr>
          </w:p>
        </w:tc>
        <w:tc>
          <w:tcPr>
            <w:tcW w:w="792" w:type="dxa"/>
            <w:vAlign w:val="center"/>
          </w:tcPr>
          <w:p w14:paraId="796FBEB7">
            <w:pPr>
              <w:pStyle w:val="5"/>
              <w:jc w:val="center"/>
            </w:pPr>
            <w:r>
              <w:t>3</w:t>
            </w:r>
            <w:r>
              <w:rPr>
                <w:rFonts w:hint="eastAsia"/>
              </w:rPr>
              <w:t>3</w:t>
            </w:r>
          </w:p>
        </w:tc>
        <w:tc>
          <w:tcPr>
            <w:tcW w:w="1548" w:type="dxa"/>
            <w:vAlign w:val="center"/>
          </w:tcPr>
          <w:p w14:paraId="4EF46831">
            <w:pPr>
              <w:pStyle w:val="5"/>
              <w:jc w:val="center"/>
            </w:pPr>
            <w:r>
              <w:t>浮萍</w:t>
            </w:r>
          </w:p>
        </w:tc>
        <w:tc>
          <w:tcPr>
            <w:tcW w:w="2777" w:type="dxa"/>
            <w:vAlign w:val="center"/>
          </w:tcPr>
          <w:p w14:paraId="114E076E">
            <w:pPr>
              <w:pStyle w:val="5"/>
              <w:jc w:val="center"/>
              <w:rPr>
                <w:i/>
                <w:iCs/>
              </w:rPr>
            </w:pPr>
            <w:r>
              <w:rPr>
                <w:i/>
                <w:iCs/>
              </w:rPr>
              <w:t>Lemna minor</w:t>
            </w:r>
          </w:p>
        </w:tc>
        <w:tc>
          <w:tcPr>
            <w:tcW w:w="1613" w:type="dxa"/>
            <w:vAlign w:val="center"/>
          </w:tcPr>
          <w:p w14:paraId="797FC273">
            <w:pPr>
              <w:pStyle w:val="5"/>
              <w:jc w:val="center"/>
            </w:pPr>
            <w:r>
              <w:t>0.38</w:t>
            </w:r>
          </w:p>
        </w:tc>
      </w:tr>
      <w:tr w14:paraId="0BEC5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68C0E12F">
            <w:pPr>
              <w:pStyle w:val="5"/>
              <w:jc w:val="center"/>
            </w:pPr>
          </w:p>
        </w:tc>
        <w:tc>
          <w:tcPr>
            <w:tcW w:w="792" w:type="dxa"/>
            <w:vAlign w:val="center"/>
          </w:tcPr>
          <w:p w14:paraId="4A8BC55B">
            <w:pPr>
              <w:pStyle w:val="5"/>
              <w:jc w:val="center"/>
            </w:pPr>
            <w:r>
              <w:t>3</w:t>
            </w:r>
            <w:r>
              <w:rPr>
                <w:rFonts w:hint="eastAsia"/>
              </w:rPr>
              <w:t>4</w:t>
            </w:r>
          </w:p>
        </w:tc>
        <w:tc>
          <w:tcPr>
            <w:tcW w:w="1548" w:type="dxa"/>
            <w:vAlign w:val="center"/>
          </w:tcPr>
          <w:p w14:paraId="6F1F0282">
            <w:pPr>
              <w:pStyle w:val="5"/>
              <w:jc w:val="center"/>
            </w:pPr>
            <w:r>
              <w:t>芡</w:t>
            </w:r>
          </w:p>
        </w:tc>
        <w:tc>
          <w:tcPr>
            <w:tcW w:w="2777" w:type="dxa"/>
            <w:vAlign w:val="center"/>
          </w:tcPr>
          <w:p w14:paraId="13B015E3">
            <w:pPr>
              <w:pStyle w:val="5"/>
              <w:jc w:val="center"/>
              <w:rPr>
                <w:i/>
                <w:iCs/>
              </w:rPr>
            </w:pPr>
            <w:r>
              <w:rPr>
                <w:i/>
                <w:iCs/>
              </w:rPr>
              <w:t>Euryale ferox</w:t>
            </w:r>
          </w:p>
        </w:tc>
        <w:tc>
          <w:tcPr>
            <w:tcW w:w="1613" w:type="dxa"/>
            <w:vAlign w:val="center"/>
          </w:tcPr>
          <w:p w14:paraId="6544653A">
            <w:pPr>
              <w:pStyle w:val="5"/>
              <w:jc w:val="center"/>
            </w:pPr>
            <w:r>
              <w:t>0.4</w:t>
            </w:r>
          </w:p>
        </w:tc>
      </w:tr>
      <w:tr w14:paraId="55CF0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0413252B">
            <w:pPr>
              <w:pStyle w:val="5"/>
              <w:jc w:val="center"/>
            </w:pPr>
          </w:p>
        </w:tc>
        <w:tc>
          <w:tcPr>
            <w:tcW w:w="792" w:type="dxa"/>
            <w:vAlign w:val="center"/>
          </w:tcPr>
          <w:p w14:paraId="6D85A18F">
            <w:pPr>
              <w:pStyle w:val="5"/>
              <w:jc w:val="center"/>
            </w:pPr>
            <w:r>
              <w:t>3</w:t>
            </w:r>
            <w:r>
              <w:rPr>
                <w:rFonts w:hint="eastAsia"/>
              </w:rPr>
              <w:t>5</w:t>
            </w:r>
          </w:p>
        </w:tc>
        <w:tc>
          <w:tcPr>
            <w:tcW w:w="1548" w:type="dxa"/>
            <w:vAlign w:val="center"/>
          </w:tcPr>
          <w:p w14:paraId="3A93DAF8">
            <w:pPr>
              <w:pStyle w:val="5"/>
              <w:jc w:val="center"/>
            </w:pPr>
            <w:r>
              <w:t>野菱</w:t>
            </w:r>
          </w:p>
        </w:tc>
        <w:tc>
          <w:tcPr>
            <w:tcW w:w="2777" w:type="dxa"/>
            <w:vAlign w:val="center"/>
          </w:tcPr>
          <w:p w14:paraId="554424D9">
            <w:pPr>
              <w:pStyle w:val="5"/>
              <w:jc w:val="center"/>
              <w:rPr>
                <w:i/>
                <w:iCs/>
              </w:rPr>
            </w:pPr>
            <w:r>
              <w:rPr>
                <w:i/>
                <w:iCs/>
              </w:rPr>
              <w:t>Trapa incisa var. quadricaudata</w:t>
            </w:r>
          </w:p>
        </w:tc>
        <w:tc>
          <w:tcPr>
            <w:tcW w:w="1613" w:type="dxa"/>
            <w:vAlign w:val="center"/>
          </w:tcPr>
          <w:p w14:paraId="324680FC">
            <w:pPr>
              <w:pStyle w:val="5"/>
              <w:jc w:val="center"/>
            </w:pPr>
            <w:r>
              <w:t>0.39</w:t>
            </w:r>
          </w:p>
        </w:tc>
      </w:tr>
      <w:tr w14:paraId="583D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02AA930B">
            <w:pPr>
              <w:pStyle w:val="5"/>
              <w:jc w:val="center"/>
            </w:pPr>
          </w:p>
        </w:tc>
        <w:tc>
          <w:tcPr>
            <w:tcW w:w="792" w:type="dxa"/>
            <w:vAlign w:val="center"/>
          </w:tcPr>
          <w:p w14:paraId="64D7AFB0">
            <w:pPr>
              <w:pStyle w:val="5"/>
              <w:jc w:val="center"/>
            </w:pPr>
            <w:r>
              <w:t>3</w:t>
            </w:r>
            <w:r>
              <w:rPr>
                <w:rFonts w:hint="eastAsia"/>
              </w:rPr>
              <w:t>6</w:t>
            </w:r>
          </w:p>
        </w:tc>
        <w:tc>
          <w:tcPr>
            <w:tcW w:w="1548" w:type="dxa"/>
            <w:vAlign w:val="center"/>
          </w:tcPr>
          <w:p w14:paraId="417BD09A">
            <w:pPr>
              <w:pStyle w:val="5"/>
              <w:jc w:val="center"/>
            </w:pPr>
            <w:r>
              <w:t>槐叶蘋</w:t>
            </w:r>
          </w:p>
        </w:tc>
        <w:tc>
          <w:tcPr>
            <w:tcW w:w="2777" w:type="dxa"/>
            <w:vAlign w:val="center"/>
          </w:tcPr>
          <w:p w14:paraId="45FE705F">
            <w:pPr>
              <w:pStyle w:val="5"/>
              <w:jc w:val="center"/>
              <w:rPr>
                <w:i/>
                <w:iCs/>
              </w:rPr>
            </w:pPr>
            <w:r>
              <w:rPr>
                <w:i/>
                <w:iCs/>
              </w:rPr>
              <w:t>Salvinia natans</w:t>
            </w:r>
          </w:p>
        </w:tc>
        <w:tc>
          <w:tcPr>
            <w:tcW w:w="1613" w:type="dxa"/>
            <w:vAlign w:val="center"/>
          </w:tcPr>
          <w:p w14:paraId="4D29D0D7">
            <w:pPr>
              <w:pStyle w:val="5"/>
              <w:jc w:val="center"/>
            </w:pPr>
            <w:r>
              <w:t>0.36</w:t>
            </w:r>
          </w:p>
        </w:tc>
      </w:tr>
      <w:tr w14:paraId="246F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50B9A43B">
            <w:pPr>
              <w:pStyle w:val="5"/>
              <w:jc w:val="center"/>
            </w:pPr>
          </w:p>
        </w:tc>
        <w:tc>
          <w:tcPr>
            <w:tcW w:w="792" w:type="dxa"/>
            <w:vAlign w:val="center"/>
          </w:tcPr>
          <w:p w14:paraId="7CDE47BE">
            <w:pPr>
              <w:pStyle w:val="5"/>
              <w:jc w:val="center"/>
            </w:pPr>
            <w:r>
              <w:t>3</w:t>
            </w:r>
            <w:r>
              <w:rPr>
                <w:rFonts w:hint="eastAsia"/>
              </w:rPr>
              <w:t>7</w:t>
            </w:r>
          </w:p>
        </w:tc>
        <w:tc>
          <w:tcPr>
            <w:tcW w:w="1548" w:type="dxa"/>
            <w:vAlign w:val="center"/>
          </w:tcPr>
          <w:p w14:paraId="76733BD5">
            <w:pPr>
              <w:pStyle w:val="5"/>
              <w:jc w:val="center"/>
            </w:pPr>
            <w:r>
              <w:t>水鳖</w:t>
            </w:r>
          </w:p>
        </w:tc>
        <w:tc>
          <w:tcPr>
            <w:tcW w:w="2777" w:type="dxa"/>
            <w:vAlign w:val="center"/>
          </w:tcPr>
          <w:p w14:paraId="3DCB454D">
            <w:pPr>
              <w:pStyle w:val="5"/>
              <w:jc w:val="center"/>
              <w:rPr>
                <w:i/>
                <w:iCs/>
              </w:rPr>
            </w:pPr>
            <w:r>
              <w:rPr>
                <w:i/>
                <w:iCs/>
              </w:rPr>
              <w:t>Hydrocharis dubia</w:t>
            </w:r>
          </w:p>
        </w:tc>
        <w:tc>
          <w:tcPr>
            <w:tcW w:w="1613" w:type="dxa"/>
            <w:vAlign w:val="center"/>
          </w:tcPr>
          <w:p w14:paraId="3A2E7C9B">
            <w:pPr>
              <w:pStyle w:val="5"/>
              <w:jc w:val="center"/>
            </w:pPr>
            <w:r>
              <w:t>0.38</w:t>
            </w:r>
          </w:p>
        </w:tc>
      </w:tr>
      <w:tr w14:paraId="1CAA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7" w:type="dxa"/>
            <w:gridSpan w:val="5"/>
            <w:vAlign w:val="center"/>
          </w:tcPr>
          <w:p w14:paraId="69E1F614">
            <w:pPr>
              <w:pStyle w:val="5"/>
              <w:jc w:val="left"/>
            </w:pPr>
            <w:r>
              <w:t>注：数据来源于实测及</w:t>
            </w:r>
            <w:r>
              <w:rPr>
                <w:rFonts w:hint="eastAsia"/>
                <w:lang w:val="en-US" w:eastAsia="zh-CN"/>
              </w:rPr>
              <w:t>方法学</w:t>
            </w:r>
            <w:r>
              <w:t>整合，详见方法学编制说明</w:t>
            </w:r>
            <w:r>
              <w:rPr>
                <w:rFonts w:hint="eastAsia"/>
              </w:rPr>
              <w:t>。</w:t>
            </w:r>
          </w:p>
        </w:tc>
      </w:tr>
      <w:bookmarkEnd w:id="22"/>
      <w:bookmarkEnd w:id="29"/>
      <w:bookmarkEnd w:id="75"/>
    </w:tbl>
    <w:p w14:paraId="6044ED07">
      <w:pPr>
        <w:numPr>
          <w:ilvl w:val="0"/>
          <w:numId w:val="0"/>
        </w:numPr>
        <w:rPr>
          <w:rFonts w:hint="default" w:ascii="宋体" w:hAnsi="宋体" w:eastAsia="宋体" w:cs="宋体"/>
          <w:sz w:val="24"/>
          <w:szCs w:val="24"/>
          <w:lang w:val="en-US" w:eastAsia="zh-CN"/>
        </w:rPr>
      </w:pPr>
    </w:p>
    <w:sectPr>
      <w:type w:val="continuous"/>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黑体_GBK">
    <w:panose1 w:val="02010600010101010101"/>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Cambria Math">
    <w:panose1 w:val="02040503050406030204"/>
    <w:charset w:val="00"/>
    <w:family w:val="roman"/>
    <w:pitch w:val="default"/>
    <w:sig w:usb0="E00002FF" w:usb1="420024FF" w:usb2="00000000" w:usb3="00000000" w:csb0="2000019F" w:csb1="00000000"/>
  </w:font>
  <w:font w:name="Segoe UI">
    <w:panose1 w:val="020B0502040204020203"/>
    <w:charset w:val="00"/>
    <w:family w:val="swiss"/>
    <w:pitch w:val="default"/>
    <w:sig w:usb0="E10022FF" w:usb1="C000E47F" w:usb2="00000029" w:usb3="00000000" w:csb0="200001DF" w:csb1="20000000"/>
  </w:font>
  <w:font w:name="微软雅黑">
    <w:panose1 w:val="020B0503020204020204"/>
    <w:charset w:val="86"/>
    <w:family w:val="auto"/>
    <w:pitch w:val="default"/>
    <w:sig w:usb0="80000287" w:usb1="280F3C52" w:usb2="00000016" w:usb3="00000000" w:csb0="0004001F"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1D29">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4F76F">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B48B9">
    <w:pPr>
      <w:pStyle w:val="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5F95B">
    <w:pPr>
      <w:jc w:val="left"/>
      <w:rPr>
        <w:rFonts w:cs="Times New Roman"/>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B907F1">
                          <w:pPr>
                            <w:pStyle w:val="7"/>
                            <w:ind w:firstLine="36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9B907F1">
                    <w:pPr>
                      <w:pStyle w:val="7"/>
                      <w:ind w:firstLine="360"/>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B5A8D5">
                          <w:pPr>
                            <w:jc w:val="left"/>
                          </w:pPr>
                        </w:p>
                        <w:p w14:paraId="64B397DB"/>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FB5A8D5">
                    <w:pPr>
                      <w:jc w:val="left"/>
                    </w:pPr>
                  </w:p>
                  <w:p w14:paraId="64B397DB"/>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0630D">
    <w:pPr>
      <w:jc w:val="left"/>
      <w:rPr>
        <w:rFonts w:cs="Times New Roman"/>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5674CE">
                          <w:pPr>
                            <w:pStyle w:val="7"/>
                            <w:ind w:firstLine="36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45674CE">
                    <w:pPr>
                      <w:pStyle w:val="7"/>
                      <w:ind w:firstLine="360"/>
                    </w:pPr>
                    <w:r>
                      <w:fldChar w:fldCharType="begin"/>
                    </w:r>
                    <w:r>
                      <w:instrText xml:space="preserve"> PAGE  \* MERGEFORMAT </w:instrText>
                    </w:r>
                    <w:r>
                      <w:fldChar w:fldCharType="separate"/>
                    </w:r>
                    <w:r>
                      <w:t>57</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A0CA60">
                          <w:pPr>
                            <w:jc w:val="left"/>
                          </w:pPr>
                        </w:p>
                        <w:p w14:paraId="2ED1BD6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7A0CA60">
                    <w:pPr>
                      <w:jc w:val="left"/>
                    </w:pPr>
                  </w:p>
                  <w:p w14:paraId="2ED1BD6F"/>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48CA5">
    <w:pPr>
      <w:jc w:val="left"/>
      <w:rPr>
        <w:rFonts w:cs="Times New Roman"/>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0D2FF">
                          <w:pPr>
                            <w:pStyle w:val="7"/>
                            <w:ind w:firstLine="36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4F0D2FF">
                    <w:pPr>
                      <w:pStyle w:val="7"/>
                      <w:ind w:firstLine="360"/>
                    </w:pPr>
                    <w:r>
                      <w:fldChar w:fldCharType="begin"/>
                    </w:r>
                    <w:r>
                      <w:instrText xml:space="preserve"> PAGE  \* MERGEFORMAT </w:instrText>
                    </w:r>
                    <w:r>
                      <w:fldChar w:fldCharType="separate"/>
                    </w:r>
                    <w:r>
                      <w:t>58</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85BDC0">
                          <w:pPr>
                            <w:jc w:val="left"/>
                          </w:pPr>
                        </w:p>
                        <w:p w14:paraId="62E9C74A"/>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085BDC0">
                    <w:pPr>
                      <w:jc w:val="left"/>
                    </w:pPr>
                  </w:p>
                  <w:p w14:paraId="62E9C74A"/>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049D9">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CA3CD">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5D943">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95D9E3"/>
    <w:multiLevelType w:val="singleLevel"/>
    <w:tmpl w:val="AD95D9E3"/>
    <w:lvl w:ilvl="0" w:tentative="0">
      <w:start w:val="1"/>
      <w:numFmt w:val="lowerLetter"/>
      <w:suff w:val="nothing"/>
      <w:lvlText w:val="%1）"/>
      <w:lvlJc w:val="left"/>
      <w:pPr>
        <w:ind w:left="700" w:firstLine="0"/>
      </w:pPr>
    </w:lvl>
  </w:abstractNum>
  <w:abstractNum w:abstractNumId="1">
    <w:nsid w:val="D0D38D17"/>
    <w:multiLevelType w:val="singleLevel"/>
    <w:tmpl w:val="D0D38D17"/>
    <w:lvl w:ilvl="0" w:tentative="0">
      <w:start w:val="1"/>
      <w:numFmt w:val="lowerLetter"/>
      <w:suff w:val="nothing"/>
      <w:lvlText w:val="%1）"/>
      <w:lvlJc w:val="left"/>
      <w:pPr>
        <w:ind w:left="700" w:firstLine="0"/>
      </w:pPr>
    </w:lvl>
  </w:abstractNum>
  <w:abstractNum w:abstractNumId="2">
    <w:nsid w:val="F2D73BA3"/>
    <w:multiLevelType w:val="singleLevel"/>
    <w:tmpl w:val="F2D73BA3"/>
    <w:lvl w:ilvl="0" w:tentative="0">
      <w:start w:val="2"/>
      <w:numFmt w:val="decimal"/>
      <w:suff w:val="nothing"/>
      <w:lvlText w:val="（%1）"/>
      <w:lvlJc w:val="left"/>
    </w:lvl>
  </w:abstractNum>
  <w:abstractNum w:abstractNumId="3">
    <w:nsid w:val="F996577F"/>
    <w:multiLevelType w:val="singleLevel"/>
    <w:tmpl w:val="F996577F"/>
    <w:lvl w:ilvl="0" w:tentative="0">
      <w:start w:val="1"/>
      <w:numFmt w:val="lowerLetter"/>
      <w:suff w:val="nothing"/>
      <w:lvlText w:val="%1）"/>
      <w:lvlJc w:val="left"/>
    </w:lvl>
  </w:abstractNum>
  <w:abstractNum w:abstractNumId="4">
    <w:nsid w:val="2F60D88E"/>
    <w:multiLevelType w:val="singleLevel"/>
    <w:tmpl w:val="2F60D88E"/>
    <w:lvl w:ilvl="0" w:tentative="0">
      <w:start w:val="1"/>
      <w:numFmt w:val="lowerLetter"/>
      <w:suff w:val="nothing"/>
      <w:lvlText w:val="%1）"/>
      <w:lvlJc w:val="left"/>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835C8F"/>
    <w:rsid w:val="000230EE"/>
    <w:rsid w:val="0003755A"/>
    <w:rsid w:val="0006645E"/>
    <w:rsid w:val="000C7EE6"/>
    <w:rsid w:val="00181D39"/>
    <w:rsid w:val="002B40D1"/>
    <w:rsid w:val="003D090E"/>
    <w:rsid w:val="00424001"/>
    <w:rsid w:val="004D20CC"/>
    <w:rsid w:val="004E1A04"/>
    <w:rsid w:val="0056024C"/>
    <w:rsid w:val="00565B1B"/>
    <w:rsid w:val="00631B46"/>
    <w:rsid w:val="006A4374"/>
    <w:rsid w:val="006E31DE"/>
    <w:rsid w:val="006E3BD1"/>
    <w:rsid w:val="0075696E"/>
    <w:rsid w:val="00796450"/>
    <w:rsid w:val="007A5F0E"/>
    <w:rsid w:val="007C58E8"/>
    <w:rsid w:val="00832F65"/>
    <w:rsid w:val="00896953"/>
    <w:rsid w:val="00903855"/>
    <w:rsid w:val="00A3066D"/>
    <w:rsid w:val="00AA7059"/>
    <w:rsid w:val="00AE77C0"/>
    <w:rsid w:val="00AF5003"/>
    <w:rsid w:val="00B15834"/>
    <w:rsid w:val="00B3744A"/>
    <w:rsid w:val="00BA3530"/>
    <w:rsid w:val="00CA16A3"/>
    <w:rsid w:val="00D65D07"/>
    <w:rsid w:val="00DB4E33"/>
    <w:rsid w:val="00ED3BD8"/>
    <w:rsid w:val="00F05F7D"/>
    <w:rsid w:val="00F76159"/>
    <w:rsid w:val="00F843B0"/>
    <w:rsid w:val="01001364"/>
    <w:rsid w:val="027F2A43"/>
    <w:rsid w:val="03DD1CE2"/>
    <w:rsid w:val="04C74740"/>
    <w:rsid w:val="04F25C61"/>
    <w:rsid w:val="055A64E9"/>
    <w:rsid w:val="06C61153"/>
    <w:rsid w:val="07462294"/>
    <w:rsid w:val="074B1659"/>
    <w:rsid w:val="07957B1B"/>
    <w:rsid w:val="08716E9D"/>
    <w:rsid w:val="09053E27"/>
    <w:rsid w:val="09113916"/>
    <w:rsid w:val="09954E0D"/>
    <w:rsid w:val="09FA0D63"/>
    <w:rsid w:val="0D335069"/>
    <w:rsid w:val="0D3B3F1D"/>
    <w:rsid w:val="0D6B035F"/>
    <w:rsid w:val="0E9B4C74"/>
    <w:rsid w:val="0EDE1004"/>
    <w:rsid w:val="0FD936B1"/>
    <w:rsid w:val="12264E44"/>
    <w:rsid w:val="1231301B"/>
    <w:rsid w:val="12415FE5"/>
    <w:rsid w:val="12863E8D"/>
    <w:rsid w:val="12922832"/>
    <w:rsid w:val="131274CE"/>
    <w:rsid w:val="13294F44"/>
    <w:rsid w:val="14835C8F"/>
    <w:rsid w:val="16702E8A"/>
    <w:rsid w:val="16AD7C3A"/>
    <w:rsid w:val="16CB0BF6"/>
    <w:rsid w:val="17AC6144"/>
    <w:rsid w:val="189C7F66"/>
    <w:rsid w:val="1A5605E9"/>
    <w:rsid w:val="1B0C7C23"/>
    <w:rsid w:val="1BA528C1"/>
    <w:rsid w:val="1C1A4E11"/>
    <w:rsid w:val="1C737230"/>
    <w:rsid w:val="1C7F3E27"/>
    <w:rsid w:val="1D610949"/>
    <w:rsid w:val="1D7921E7"/>
    <w:rsid w:val="1D807E56"/>
    <w:rsid w:val="1E636E30"/>
    <w:rsid w:val="1F5610C0"/>
    <w:rsid w:val="21D267A7"/>
    <w:rsid w:val="23865A9B"/>
    <w:rsid w:val="24523BCF"/>
    <w:rsid w:val="245B6F27"/>
    <w:rsid w:val="257302A1"/>
    <w:rsid w:val="25BC5D51"/>
    <w:rsid w:val="26184D56"/>
    <w:rsid w:val="26306192"/>
    <w:rsid w:val="268825AB"/>
    <w:rsid w:val="2725381D"/>
    <w:rsid w:val="277B51EB"/>
    <w:rsid w:val="27EB6814"/>
    <w:rsid w:val="27F77B40"/>
    <w:rsid w:val="285F4B0C"/>
    <w:rsid w:val="296879F1"/>
    <w:rsid w:val="2C212804"/>
    <w:rsid w:val="2CF717B7"/>
    <w:rsid w:val="2DD37B2E"/>
    <w:rsid w:val="2E60513A"/>
    <w:rsid w:val="2E782484"/>
    <w:rsid w:val="2E861045"/>
    <w:rsid w:val="2F044FFD"/>
    <w:rsid w:val="2FD933F6"/>
    <w:rsid w:val="304C3BC8"/>
    <w:rsid w:val="306A6644"/>
    <w:rsid w:val="310E0E7D"/>
    <w:rsid w:val="31AB491E"/>
    <w:rsid w:val="32591540"/>
    <w:rsid w:val="32CB34CA"/>
    <w:rsid w:val="33022C64"/>
    <w:rsid w:val="33154745"/>
    <w:rsid w:val="337376BE"/>
    <w:rsid w:val="33F0774B"/>
    <w:rsid w:val="346C65E7"/>
    <w:rsid w:val="34D67F04"/>
    <w:rsid w:val="34F82570"/>
    <w:rsid w:val="35F17D84"/>
    <w:rsid w:val="36FA38DD"/>
    <w:rsid w:val="38F8533C"/>
    <w:rsid w:val="3AF450AD"/>
    <w:rsid w:val="3C4542ED"/>
    <w:rsid w:val="3D2B28DF"/>
    <w:rsid w:val="3D2C1009"/>
    <w:rsid w:val="3E55633E"/>
    <w:rsid w:val="3FE536F1"/>
    <w:rsid w:val="414A67AD"/>
    <w:rsid w:val="4161222E"/>
    <w:rsid w:val="41BB6E00"/>
    <w:rsid w:val="42EB54C2"/>
    <w:rsid w:val="431C1B20"/>
    <w:rsid w:val="463D4287"/>
    <w:rsid w:val="46D5626E"/>
    <w:rsid w:val="479954ED"/>
    <w:rsid w:val="49364221"/>
    <w:rsid w:val="49935F6C"/>
    <w:rsid w:val="4B1926B9"/>
    <w:rsid w:val="4B3519D1"/>
    <w:rsid w:val="4B402B0E"/>
    <w:rsid w:val="4D0A4797"/>
    <w:rsid w:val="4FF017FA"/>
    <w:rsid w:val="503E30D6"/>
    <w:rsid w:val="50D1069B"/>
    <w:rsid w:val="50E517A3"/>
    <w:rsid w:val="535B5D4C"/>
    <w:rsid w:val="5429409D"/>
    <w:rsid w:val="55D122F6"/>
    <w:rsid w:val="56FA587C"/>
    <w:rsid w:val="570F757A"/>
    <w:rsid w:val="57FD5624"/>
    <w:rsid w:val="58256929"/>
    <w:rsid w:val="5AC468CD"/>
    <w:rsid w:val="5AF745AD"/>
    <w:rsid w:val="5B0E3D35"/>
    <w:rsid w:val="5C090162"/>
    <w:rsid w:val="5C2879D5"/>
    <w:rsid w:val="5C606182"/>
    <w:rsid w:val="5CAA6FD1"/>
    <w:rsid w:val="5DC015CE"/>
    <w:rsid w:val="5DDF4170"/>
    <w:rsid w:val="5FAD0639"/>
    <w:rsid w:val="5FC97F33"/>
    <w:rsid w:val="60E16C49"/>
    <w:rsid w:val="614E6EF1"/>
    <w:rsid w:val="61DB1C7E"/>
    <w:rsid w:val="620D0B5A"/>
    <w:rsid w:val="63BF7C32"/>
    <w:rsid w:val="642D7291"/>
    <w:rsid w:val="64E02555"/>
    <w:rsid w:val="6502071E"/>
    <w:rsid w:val="6A9516EC"/>
    <w:rsid w:val="6B2D7B77"/>
    <w:rsid w:val="6B4C4E99"/>
    <w:rsid w:val="6BC56001"/>
    <w:rsid w:val="6C7C0DB6"/>
    <w:rsid w:val="6D0D7C60"/>
    <w:rsid w:val="6D25144D"/>
    <w:rsid w:val="6D5238C5"/>
    <w:rsid w:val="6DFF3A4C"/>
    <w:rsid w:val="6F0B6421"/>
    <w:rsid w:val="6F493530"/>
    <w:rsid w:val="72695938"/>
    <w:rsid w:val="72E271CA"/>
    <w:rsid w:val="762642AA"/>
    <w:rsid w:val="76A417FD"/>
    <w:rsid w:val="77A613DD"/>
    <w:rsid w:val="7B0367AB"/>
    <w:rsid w:val="7B6B0973"/>
    <w:rsid w:val="7BC462D5"/>
    <w:rsid w:val="7C2C67C8"/>
    <w:rsid w:val="7D012C11"/>
    <w:rsid w:val="7D496A92"/>
    <w:rsid w:val="7DF05160"/>
    <w:rsid w:val="7E1D1CCD"/>
    <w:rsid w:val="7E3C65F7"/>
    <w:rsid w:val="7EC31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560" w:firstLineChars="200"/>
      <w:jc w:val="both"/>
    </w:pPr>
    <w:rPr>
      <w:rFonts w:ascii="Times New Roman" w:hAnsi="Times New Roman" w:eastAsiaTheme="minorEastAsia" w:cstheme="minorBidi"/>
      <w:color w:val="000000" w:themeColor="text1"/>
      <w:kern w:val="2"/>
      <w:sz w:val="28"/>
      <w:szCs w:val="22"/>
      <w:lang w:val="en-US" w:eastAsia="zh-CN" w:bidi="ar-SA"/>
      <w14:textFill>
        <w14:solidFill>
          <w14:schemeClr w14:val="tx1"/>
        </w14:solidFill>
      </w14:textFill>
    </w:rPr>
  </w:style>
  <w:style w:type="paragraph" w:styleId="2">
    <w:name w:val="heading 1"/>
    <w:basedOn w:val="1"/>
    <w:next w:val="1"/>
    <w:qFormat/>
    <w:uiPriority w:val="0"/>
    <w:pPr>
      <w:keepNext/>
      <w:keepLines/>
      <w:spacing w:before="100" w:beforeLines="100" w:after="100" w:afterLines="100" w:line="560" w:lineRule="exact"/>
      <w:ind w:firstLine="0" w:firstLineChars="0"/>
      <w:jc w:val="center"/>
      <w:outlineLvl w:val="0"/>
    </w:pPr>
    <w:rPr>
      <w:rFonts w:eastAsia="黑体"/>
      <w:kern w:val="44"/>
      <w:sz w:val="52"/>
    </w:rPr>
  </w:style>
  <w:style w:type="paragraph" w:styleId="3">
    <w:name w:val="heading 2"/>
    <w:basedOn w:val="1"/>
    <w:next w:val="1"/>
    <w:link w:val="20"/>
    <w:unhideWhenUsed/>
    <w:qFormat/>
    <w:uiPriority w:val="0"/>
    <w:pPr>
      <w:keepNext/>
      <w:keepLines/>
      <w:spacing w:after="50" w:afterLines="50" w:line="560" w:lineRule="exact"/>
      <w:outlineLvl w:val="1"/>
    </w:pPr>
    <w:rPr>
      <w:rFonts w:ascii="Arial" w:hAnsi="Arial" w:eastAsia="黑体"/>
    </w:rPr>
  </w:style>
  <w:style w:type="paragraph" w:styleId="4">
    <w:name w:val="heading 3"/>
    <w:basedOn w:val="1"/>
    <w:next w:val="1"/>
    <w:unhideWhenUsed/>
    <w:qFormat/>
    <w:uiPriority w:val="0"/>
    <w:pPr>
      <w:keepNext/>
      <w:keepLines/>
      <w:ind w:firstLine="0" w:firstLineChars="0"/>
      <w:jc w:val="center"/>
      <w:outlineLvl w:val="9"/>
    </w:pPr>
    <w:rPr>
      <w:rFonts w:eastAsia="黑体"/>
      <w:sz w:val="24"/>
    </w:rPr>
  </w:style>
  <w:style w:type="paragraph" w:styleId="5">
    <w:name w:val="heading 4"/>
    <w:basedOn w:val="1"/>
    <w:next w:val="1"/>
    <w:unhideWhenUsed/>
    <w:qFormat/>
    <w:uiPriority w:val="0"/>
    <w:pPr>
      <w:keepNext/>
      <w:keepLines/>
      <w:spacing w:line="240" w:lineRule="auto"/>
      <w:ind w:firstLine="0" w:firstLineChars="0"/>
      <w:outlineLvl w:val="3"/>
    </w:pPr>
    <w:rPr>
      <w:rFonts w:eastAsia="宋体"/>
      <w:sz w:val="2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23"/>
    <w:qFormat/>
    <w:uiPriority w:val="0"/>
    <w:pPr>
      <w:jc w:val="left"/>
    </w:pPr>
  </w:style>
  <w:style w:type="paragraph" w:styleId="7">
    <w:name w:val="footer"/>
    <w:basedOn w:val="1"/>
    <w:link w:val="26"/>
    <w:qFormat/>
    <w:uiPriority w:val="0"/>
    <w:pPr>
      <w:tabs>
        <w:tab w:val="center" w:pos="4153"/>
        <w:tab w:val="right" w:pos="8306"/>
      </w:tabs>
      <w:snapToGrid w:val="0"/>
      <w:spacing w:line="240" w:lineRule="auto"/>
      <w:jc w:val="left"/>
    </w:pPr>
    <w:rPr>
      <w:sz w:val="18"/>
      <w:szCs w:val="18"/>
    </w:rPr>
  </w:style>
  <w:style w:type="paragraph" w:styleId="8">
    <w:name w:val="header"/>
    <w:basedOn w:val="1"/>
    <w:link w:val="25"/>
    <w:qFormat/>
    <w:uiPriority w:val="0"/>
    <w:pPr>
      <w:tabs>
        <w:tab w:val="center" w:pos="4153"/>
        <w:tab w:val="right" w:pos="8306"/>
      </w:tabs>
      <w:snapToGrid w:val="0"/>
      <w:spacing w:line="240" w:lineRule="auto"/>
      <w:jc w:val="center"/>
    </w:pPr>
    <w:rPr>
      <w:sz w:val="18"/>
      <w:szCs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widowControl/>
      <w:spacing w:beforeAutospacing="1" w:afterAutospacing="1" w:line="240" w:lineRule="auto"/>
      <w:ind w:firstLine="0" w:firstLineChars="0"/>
      <w:jc w:val="left"/>
    </w:pPr>
    <w:rPr>
      <w:rFonts w:ascii="宋体" w:hAnsi="宋体" w:eastAsia="宋体" w:cs="Times New Roman"/>
      <w:color w:val="auto"/>
      <w:kern w:val="0"/>
      <w:sz w:val="24"/>
      <w:szCs w:val="24"/>
    </w:rPr>
  </w:style>
  <w:style w:type="paragraph" w:styleId="12">
    <w:name w:val="annotation subject"/>
    <w:basedOn w:val="6"/>
    <w:next w:val="6"/>
    <w:link w:val="24"/>
    <w:qFormat/>
    <w:uiPriority w:val="0"/>
    <w:rPr>
      <w:b/>
      <w:bCs/>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Emphasis"/>
    <w:basedOn w:val="15"/>
    <w:qFormat/>
    <w:uiPriority w:val="0"/>
    <w:rPr>
      <w:i/>
    </w:rPr>
  </w:style>
  <w:style w:type="character" w:styleId="18">
    <w:name w:val="Hyperlink"/>
    <w:basedOn w:val="15"/>
    <w:unhideWhenUsed/>
    <w:qFormat/>
    <w:uiPriority w:val="99"/>
    <w:rPr>
      <w:color w:val="0026E5" w:themeColor="hyperlink"/>
      <w:u w:val="single"/>
      <w14:textFill>
        <w14:solidFill>
          <w14:schemeClr w14:val="hlink"/>
        </w14:solidFill>
      </w14:textFill>
    </w:rPr>
  </w:style>
  <w:style w:type="character" w:styleId="19">
    <w:name w:val="annotation reference"/>
    <w:basedOn w:val="15"/>
    <w:qFormat/>
    <w:uiPriority w:val="0"/>
    <w:rPr>
      <w:sz w:val="21"/>
      <w:szCs w:val="21"/>
    </w:rPr>
  </w:style>
  <w:style w:type="character" w:customStyle="1" w:styleId="20">
    <w:name w:val="标题 2 字符"/>
    <w:link w:val="3"/>
    <w:qFormat/>
    <w:uiPriority w:val="0"/>
    <w:rPr>
      <w:rFonts w:ascii="Arial" w:hAnsi="Arial" w:eastAsia="黑体"/>
    </w:rPr>
  </w:style>
  <w:style w:type="character" w:customStyle="1" w:styleId="21">
    <w:name w:val="s1"/>
    <w:basedOn w:val="15"/>
    <w:qFormat/>
    <w:uiPriority w:val="0"/>
    <w:rPr>
      <w:rFonts w:hint="default" w:ascii="Times New Roman" w:hAnsi="Times New Roman" w:cs="Times New Roman"/>
      <w:sz w:val="16"/>
      <w:szCs w:val="16"/>
    </w:rPr>
  </w:style>
  <w:style w:type="paragraph" w:customStyle="1" w:styleId="22">
    <w:name w:val="修订1"/>
    <w:hidden/>
    <w:unhideWhenUsed/>
    <w:qFormat/>
    <w:uiPriority w:val="99"/>
    <w:rPr>
      <w:rFonts w:ascii="Times New Roman" w:hAnsi="Times New Roman" w:eastAsiaTheme="minorEastAsia" w:cstheme="minorBidi"/>
      <w:kern w:val="2"/>
      <w:sz w:val="28"/>
      <w:szCs w:val="22"/>
      <w:lang w:val="en-US" w:eastAsia="zh-CN" w:bidi="ar-SA"/>
    </w:rPr>
  </w:style>
  <w:style w:type="character" w:customStyle="1" w:styleId="23">
    <w:name w:val="批注文字 字符"/>
    <w:basedOn w:val="15"/>
    <w:link w:val="6"/>
    <w:qFormat/>
    <w:uiPriority w:val="0"/>
    <w:rPr>
      <w:rFonts w:eastAsiaTheme="minorEastAsia" w:cstheme="minorBidi"/>
      <w:kern w:val="2"/>
      <w:sz w:val="28"/>
      <w:szCs w:val="22"/>
    </w:rPr>
  </w:style>
  <w:style w:type="character" w:customStyle="1" w:styleId="24">
    <w:name w:val="批注主题 字符"/>
    <w:basedOn w:val="23"/>
    <w:link w:val="12"/>
    <w:qFormat/>
    <w:uiPriority w:val="0"/>
    <w:rPr>
      <w:rFonts w:eastAsiaTheme="minorEastAsia" w:cstheme="minorBidi"/>
      <w:b/>
      <w:bCs/>
      <w:kern w:val="2"/>
      <w:sz w:val="28"/>
      <w:szCs w:val="22"/>
    </w:rPr>
  </w:style>
  <w:style w:type="character" w:customStyle="1" w:styleId="25">
    <w:name w:val="页眉 字符"/>
    <w:basedOn w:val="15"/>
    <w:link w:val="8"/>
    <w:qFormat/>
    <w:uiPriority w:val="0"/>
    <w:rPr>
      <w:rFonts w:eastAsiaTheme="minorEastAsia" w:cstheme="minorBidi"/>
      <w:kern w:val="2"/>
      <w:sz w:val="18"/>
      <w:szCs w:val="18"/>
    </w:rPr>
  </w:style>
  <w:style w:type="character" w:customStyle="1" w:styleId="26">
    <w:name w:val="页脚 字符"/>
    <w:basedOn w:val="15"/>
    <w:link w:val="7"/>
    <w:qFormat/>
    <w:uiPriority w:val="0"/>
    <w:rPr>
      <w:rFonts w:eastAsiaTheme="minorEastAsia" w:cstheme="minorBidi"/>
      <w:kern w:val="2"/>
      <w:sz w:val="18"/>
      <w:szCs w:val="18"/>
    </w:rPr>
  </w:style>
  <w:style w:type="paragraph" w:customStyle="1" w:styleId="27">
    <w:name w:val="修订2"/>
    <w:hidden/>
    <w:unhideWhenUsed/>
    <w:qFormat/>
    <w:uiPriority w:val="99"/>
    <w:rPr>
      <w:rFonts w:ascii="Times New Roman" w:hAnsi="Times New Roman" w:eastAsiaTheme="minorEastAsia" w:cstheme="minorBidi"/>
      <w:kern w:val="2"/>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d470e6a4-ae37-44ea-a8ff-719e4d574f2a</errorID>
      <errorWord>方法学</errorWord>
      <group>L1_Word</group>
      <groupName>字词问题</groupName>
      <ability>L2_Typo</ability>
      <abilityName>字词错误</abilityName>
      <candidateList>
        <item>方法</item>
      </candidateList>
      <explain/>
      <paraID>752FB33C</paraID>
      <start>1</start>
      <end>4</end>
      <status>unmodified</status>
      <modifiedWord/>
      <trackRevisions>false</trackRevisions>
    </reviewItem>
    <reviewItem>
      <errorID>deb2a88d-9978-45f8-b7eb-6a365b1acc2c</errorID>
      <errorWord>2013年增补：湿地</errorWord>
      <group>L1_Punc</group>
      <groupName>标点问题</groupName>
      <ability>L2_Punc_CN</ability>
      <abilityName>标点符号问题</abilityName>
      <candidateList>
        <item>（2013年增补：湿地）</item>
      </candidateList>
      <explain/>
      <paraID>4CBCF8DC</paraID>
      <start>20</start>
      <end>30</end>
      <status>unmodified</status>
      <modifiedWord/>
      <trackRevisions>false</trackRevisions>
    </reviewItem>
    <reviewItem>
      <errorID>ef113701-e26a-4381-86d6-f2de4d996d53</errorID>
      <errorWord>.</errorWord>
      <group>L1_Format</group>
      <groupName>格式问题</groupName>
      <ability>L2_HalfPunc_CN</ability>
      <abilityName>全半角问题</abilityName>
      <candidateList>
        <item>。</item>
      </candidateList>
      <explain>文本全半角错误。</explain>
      <paraID>7B2C1FB9</paraID>
      <start>29</start>
      <end>30</end>
      <status>unmodified</status>
      <modifiedWord/>
      <trackRevisions>false</trackRevisions>
    </reviewItem>
    <reviewItem>
      <errorID>d00823ed-99cd-461f-adf5-5cc74c4cfccc</errorID>
      <errorWord>.</errorWord>
      <group>L1_Format</group>
      <groupName>格式问题</groupName>
      <ability>L2_HalfPunc_CN</ability>
      <abilityName>全半角问题</abilityName>
      <candidateList>
        <item>。</item>
      </candidateList>
      <explain>文本全半角错误。</explain>
      <paraID>7B2C1FB9</paraID>
      <start>34</start>
      <end>35</end>
      <status>unmodified</status>
      <modifiedWord/>
      <trackRevisions>false</trackRevisions>
    </reviewItem>
    <reviewItem>
      <errorID>8d2829f8-8198-4f4d-b557-6513d8053a74</errorID>
      <errorWord>（</errorWord>
      <group>L1_Format</group>
      <groupName>格式问题</groupName>
      <ability>L2_HalfPunc_CN</ability>
      <abilityName>全半角问题</abilityName>
      <candidateList>
        <item>(</item>
      </candidateList>
      <explain>文本全半角错误。</explain>
      <paraID>132D40C7</paraID>
      <start>11</start>
      <end>12</end>
      <status>unmodified</status>
      <modifiedWord/>
      <trackRevisions>false</trackRevisions>
    </reviewItem>
    <reviewItem>
      <errorID>79f71285-4334-4318-aa02-eeeda8c237a2</errorID>
      <errorWord> +</errorWord>
      <group>L1_Word</group>
      <groupName>字词问题</groupName>
      <ability>L2_Typo</ability>
      <abilityName>字词错误</abilityName>
      <candidateList>
        <item>+ </item>
      </candidateList>
      <explain/>
      <paraID>132D40C7</paraID>
      <start>44</start>
      <end>46</end>
      <status>unmodified</status>
      <modifiedWord/>
      <trackRevisions>false</trackRevisions>
    </reviewItem>
    <reviewItem>
      <errorID>613392d4-c177-444c-8764-52be1edf1fd8</errorID>
      <errorWord>）</errorWord>
      <group>L1_Format</group>
      <groupName>格式问题</groupName>
      <ability>L2_HalfPunc_CN</ability>
      <abilityName>全半角问题</abilityName>
      <candidateList>
        <item>)</item>
      </candidateList>
      <explain>文本全半角错误。</explain>
      <paraID>132D40C7</paraID>
      <start>59</start>
      <end>60</end>
      <status>unmodified</status>
      <modifiedWord/>
      <trackRevisions>false</trackRevisions>
    </reviewItem>
    <reviewItem>
      <errorID>c5add9d2-a1e5-4ad4-9b39-fa1f50af496a</errorID>
      <errorWord> </errorWord>
      <group>L1_Punc</group>
      <groupName>标点问题</groupName>
      <ability>L2_Punc_CN</ability>
      <abilityName>标点符号问题</abilityName>
      <candidateList>
        <item>/</item>
      </candidateList>
      <explain/>
      <paraID>132D40C7</paraID>
      <start>64</start>
      <end>65</end>
      <status>unmodified</status>
      <modifiedWord/>
      <trackRevisions>false</trackRevisions>
    </reviewItem>
    <reviewItem>
      <errorID>1e46a66c-195e-408a-95e6-8776b06a1111</errorID>
      <errorWord>l </errorWord>
      <group>L1_Word</group>
      <groupName>字词问题</groupName>
      <ability>L2_Typo</ability>
      <abilityName>字词错误</abilityName>
      <candidateList>
        <item>Σ</item>
      </candidateList>
      <explain/>
      <paraID>2687C15D</paraID>
      <start>19</start>
      <end>21</end>
      <status>unmodified</status>
      <modifiedWord/>
      <trackRevisions>false</trackRevisions>
    </reviewItem>
    <reviewItem>
      <errorID>a1fd416a-ea5b-4ebc-b9e5-d1b046f17ddd</errorID>
      <errorWord>（</errorWord>
      <group>L1_Format</group>
      <groupName>格式问题</groupName>
      <ability>L2_HalfPunc_CN</ability>
      <abilityName>全半角问题</abilityName>
      <candidateList>
        <item>(</item>
      </candidateList>
      <explain>文本全半角错误。</explain>
      <paraID>2687C15D</paraID>
      <start>21</start>
      <end>22</end>
      <status>unmodified</status>
      <modifiedWord/>
      <trackRevisions>false</trackRevisions>
    </reviewItem>
    <reviewItem>
      <errorID>7e610dc3-9769-41c0-b301-97c4bc1ac71b</errorID>
      <errorWord> </errorWord>
      <group>L1_Punc</group>
      <groupName>标点问题</groupName>
      <ability>L2_Punc_CN</ability>
      <abilityName>标点符号问题</abilityName>
      <candidateList>
        <item/>
      </candidateList>
      <explain>此处空格冗余，建议删除。</explain>
      <paraID>2687C15D</paraID>
      <start>39</start>
      <end>40</end>
      <status>unmodified</status>
      <modifiedWord/>
      <trackRevisions>false</trackRevisions>
    </reviewItem>
    <reviewItem>
      <errorID>a83ea828-b693-4dc1-a68b-9c545da3b4c5</errorID>
      <errorWord>）</errorWord>
      <group>L1_Format</group>
      <groupName>格式问题</groupName>
      <ability>L2_HalfPunc_CN</ability>
      <abilityName>全半角问题</abilityName>
      <candidateList>
        <item>)</item>
      </candidateList>
      <explain>文本全半角错误。</explain>
      <paraID>2687C15D</paraID>
      <start>51</start>
      <end>52</end>
      <status>unmodified</status>
      <modifiedWord/>
      <trackRevisions>false</trackRevisions>
    </reviewItem>
    <reviewItem>
      <errorID>aff68d4b-49c0-4b3a-b4e7-e1d9b74ad60c</errorID>
      <errorWord>l </errorWord>
      <group>L1_Word</group>
      <groupName>字词问题</groupName>
      <ability>L2_Typo</ability>
      <abilityName>字词错误</abilityName>
      <candidateList>
        <item>Σ</item>
      </candidateList>
      <explain/>
      <paraID>7F837D28</paraID>
      <start>18</start>
      <end>20</end>
      <status>unmodified</status>
      <modifiedWord/>
      <trackRevisions>false</trackRevisions>
    </reviewItem>
    <reviewItem>
      <errorID>7d9e49ae-7110-4966-808b-1211b911288d</errorID>
      <errorWord>（</errorWord>
      <group>L1_Format</group>
      <groupName>格式问题</groupName>
      <ability>L2_HalfPunc_CN</ability>
      <abilityName>全半角问题</abilityName>
      <candidateList>
        <item>(</item>
      </candidateList>
      <explain>文本全半角错误。</explain>
      <paraID>7F837D28</paraID>
      <start>20</start>
      <end>21</end>
      <status>unmodified</status>
      <modifiedWord/>
      <trackRevisions>false</trackRevisions>
    </reviewItem>
    <reviewItem>
      <errorID>f10f6daa-192b-441b-a477-3ea9224d5a4a</errorID>
      <errorWord> </errorWord>
      <group>L1_Punc</group>
      <groupName>标点问题</groupName>
      <ability>L2_Punc_CN</ability>
      <abilityName>标点符号问题</abilityName>
      <candidateList>
        <item/>
      </candidateList>
      <explain>此处空格冗余，建议删除。</explain>
      <paraID>7F837D28</paraID>
      <start>37</start>
      <end>38</end>
      <status>unmodified</status>
      <modifiedWord/>
      <trackRevisions>false</trackRevisions>
    </reviewItem>
    <reviewItem>
      <errorID>0702d042-ea57-4cc3-aafc-970d50990d51</errorID>
      <errorWord>）</errorWord>
      <group>L1_Format</group>
      <groupName>格式问题</groupName>
      <ability>L2_HalfPunc_CN</ability>
      <abilityName>全半角问题</abilityName>
      <candidateList>
        <item>)</item>
      </candidateList>
      <explain>文本全半角错误。</explain>
      <paraID>7F837D28</paraID>
      <start>49</start>
      <end>50</end>
      <status>unmodified</status>
      <modifiedWord/>
      <trackRevisions>false</trackRevisions>
    </reviewItem>
    <reviewItem>
      <errorID>b7fa65ca-4396-4444-856c-54e0f4986489</errorID>
      <errorWord>hm2</errorWord>
      <group>L1_Word</group>
      <groupName>字词问题</groupName>
      <ability>L2_Typo</ability>
      <abilityName>字词错误</abilityName>
      <candidateList>
        <item>hm²</item>
      </candidateList>
      <explain/>
      <paraID>1FE6658C</paraID>
      <start>47</start>
      <end>50</end>
      <status>unmodified</status>
      <modifiedWord/>
      <trackRevisions>false</trackRevisions>
    </reviewItem>
    <reviewItem>
      <errorID>01b4b50f-7faa-4a57-9708-0c73b12327e9</errorID>
      <errorWord> −6</errorWord>
      <group>L1_Word</group>
      <groupName>字词问题</groupName>
      <ability>L2_Typo</ability>
      <abilityName>字词错误</abilityName>
      <candidateList>
        <item>⁻⁶</item>
      </candidateList>
      <explain/>
      <paraID>7E3E3513</paraID>
      <start>39</start>
      <end>42</end>
      <status>unmodified</status>
      <modifiedWord/>
      <trackRevisions>false</trackRevisions>
    </reviewItem>
    <reviewItem>
      <errorID>2d4e5e6e-544b-413e-a45a-f6e63772f5e7</errorID>
      <errorWord>）× 10 −3</errorWord>
      <group>L1_Word</group>
      <groupName>字词问题</groupName>
      <ability>L2_Typo</ability>
      <abilityName>字词错误</abilityName>
      <candidateList>
        <item>) × 10⁻³</item>
      </candidateList>
      <explain/>
      <paraID>74E12F9F</paraID>
      <start>76</start>
      <end>84</end>
      <status>unmodified</status>
      <modifiedWord/>
      <trackRevisions>false</trackRevisions>
    </reviewItem>
    <reviewItem>
      <errorID>81ec369b-8960-44fe-a007-3c4f7dd56687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3FA76A4F</paraID>
      <start>43</start>
      <end>44</end>
      <status>unmodified</status>
      <modifiedWord/>
      <trackRevisions>false</trackRevisions>
    </reviewItem>
    <reviewItem>
      <errorID>b723137d-69bd-460d-8cfa-66d5328c8e7d</errorID>
      <errorWord> </errorWord>
      <group>L1_Punc</group>
      <groupName>标点问题</groupName>
      <ability>L2_Punc_CN</ability>
      <abilityName>标点符号问题</abilityName>
      <candidateList>
        <item>/</item>
      </candidateList>
      <explain/>
      <paraID>3FA76A4F</paraID>
      <start>48</start>
      <end>49</end>
      <status>unmodified</status>
      <modifiedWord/>
      <trackRevisions>false</trackRevisions>
    </reviewItem>
    <reviewItem>
      <errorID>6d6c8aaa-fd58-4c77-a795-52a7f63b5981</errorID>
      <errorWord> </errorWord>
      <group>L1_Grammar</group>
      <groupName>语法问题</groupName>
      <ability>L2_Grammar</ability>
      <abilityName>语法错误</abilityName>
      <candidateList>
        <item> Σ </item>
      </candidateList>
      <explain/>
      <paraID>6C16C6F8</paraID>
      <start>27</start>
      <end>28</end>
      <status>unmodified</status>
      <modifiedWord/>
      <trackRevisions>false</trackRevisions>
    </reviewItem>
    <reviewItem>
      <errorID>27b69925-9ee5-43fc-a567-a2fd03f63d0c</errorID>
      <errorWord>×</errorWord>
      <group>L1_Word</group>
      <groupName>字词问题</groupName>
      <ability>L2_Typo</ability>
      <abilityName>字词错误</abilityName>
      <candidateList>
        <item> ×</item>
      </candidateList>
      <explain/>
      <paraID>6C16C6F8</paraID>
      <start>72</start>
      <end>73</end>
      <status>unmodified</status>
      <modifiedWord/>
      <trackRevisions>false</trackRevisions>
    </reviewItem>
    <reviewItem>
      <errorID>2f263e37-b9c7-40cc-b893-debb06aff466</errorID>
      <errorWord> </errorWord>
      <group>L1_Punc</group>
      <groupName>标点问题</groupName>
      <ability>L2_Punc_CN</ability>
      <abilityName>标点符号问题</abilityName>
      <candidateList>
        <item>/</item>
      </candidateList>
      <explain/>
      <paraID>6C16C6F8</paraID>
      <start>76</start>
      <end>77</end>
      <status>unmodified</status>
      <modifiedWord/>
      <trackRevisions>false</trackRevisions>
    </reviewItem>
    <reviewItem>
      <errorID>a266821c-e465-4e88-95ca-3623d30ac6ca</errorID>
      <errorWord>：</errorWord>
      <group>L1_Punc</group>
      <groupName>标点问题</groupName>
      <ability>L2_Punc_CN</ability>
      <abilityName>标点符号问题</abilityName>
      <candidateList>
        <item>。</item>
      </candidateList>
      <explain/>
      <paraID>2D0EF3A0</paraID>
      <start>44</start>
      <end>45</end>
      <status>unmodified</status>
      <modifiedWord/>
      <trackRevisions>false</trackRevisions>
    </reviewItem>
    <reviewItem>
      <errorID>baa19247-ab68-40e1-bc63-2210836bb3bc</errorID>
      <errorWord>）</errorWord>
      <group>L1_Format</group>
      <groupName>格式问题</groupName>
      <ability>L2_HalfPunc_CN</ability>
      <abilityName>全半角问题</abilityName>
      <candidateList>
        <item>)</item>
      </candidateList>
      <explain>文本全半角错误。</explain>
      <paraID>31A507C9</paraID>
      <start>97</start>
      <end>98</end>
      <status>unmodified</status>
      <modifiedWord/>
      <trackRevisions>false</trackRevisions>
    </reviewItem>
    <reviewItem>
      <errorID>55584c17-3984-4338-803d-87de55c2f793</errorID>
      <errorWord>（</errorWord>
      <group>L1_Format</group>
      <groupName>格式问题</groupName>
      <ability>L2_HalfPunc_CN</ability>
      <abilityName>全半角问题</abilityName>
      <candidateList>
        <item>(</item>
      </candidateList>
      <explain>文本全半角错误。</explain>
      <paraID>347AF440</paraID>
      <start>23</start>
      <end>24</end>
      <status>unmodified</status>
      <modifiedWord/>
      <trackRevisions>false</trackRevisions>
    </reviewItem>
    <reviewItem>
      <errorID>64314ffb-f091-405f-84cc-9b50d524f178</errorID>
      <errorWord>）</errorWord>
      <group>L1_Format</group>
      <groupName>格式问题</groupName>
      <ability>L2_HalfPunc_CN</ability>
      <abilityName>全半角问题</abilityName>
      <candidateList>
        <item>)</item>
      </candidateList>
      <explain>文本全半角错误。</explain>
      <paraID>347AF440</paraID>
      <start>74</start>
      <end>75</end>
      <status>unmodified</status>
      <modifiedWord/>
      <trackRevisions>false</trackRevisions>
    </reviewItem>
    <reviewItem>
      <errorID>cc62310d-8df3-409e-9bc3-c8b1f59f89ac</errorID>
      <errorWord>（</errorWord>
      <group>L1_Format</group>
      <groupName>格式问题</groupName>
      <ability>L2_HalfPunc_CN</ability>
      <abilityName>全半角问题</abilityName>
      <candidateList>
        <item>(</item>
      </candidateList>
      <explain>文本全半角错误。</explain>
      <paraID>394B8FE6</paraID>
      <start>17</start>
      <end>18</end>
      <status>unmodified</status>
      <modifiedWord/>
      <trackRevisions>false</trackRevisions>
    </reviewItem>
    <reviewItem>
      <errorID>24dd479f-1164-4780-adef-6241baf79671</errorID>
      <errorWord>）</errorWord>
      <group>L1_Format</group>
      <groupName>格式问题</groupName>
      <ability>L2_HalfPunc_CN</ability>
      <abilityName>全半角问题</abilityName>
      <candidateList>
        <item>)</item>
      </candidateList>
      <explain>文本全半角错误。</explain>
      <paraID>394B8FE6</paraID>
      <start>83</start>
      <end>84</end>
      <status>unmodified</status>
      <modifiedWord/>
      <trackRevisions>false</trackRevisions>
    </reviewItem>
    <reviewItem>
      <errorID>0356edf6-ca1c-456b-9179-e86323f99426</errorID>
      <errorWord>（</errorWord>
      <group>L1_Format</group>
      <groupName>格式问题</groupName>
      <ability>L2_HalfPunc_CN</ability>
      <abilityName>全半角问题</abilityName>
      <candidateList>
        <item>(</item>
      </candidateList>
      <explain>文本全半角错误。</explain>
      <paraID>7F6E0DB8</paraID>
      <start>36</start>
      <end>37</end>
      <status>unmodified</status>
      <modifiedWord/>
      <trackRevisions>false</trackRevisions>
    </reviewItem>
    <reviewItem>
      <errorID>ecd24639-3d3a-404d-a93a-44e0c25ff1ad</errorID>
      <errorWord>）</errorWord>
      <group>L1_Format</group>
      <groupName>格式问题</groupName>
      <ability>L2_HalfPunc_CN</ability>
      <abilityName>全半角问题</abilityName>
      <candidateList>
        <item>)</item>
      </candidateList>
      <explain>文本全半角错误。</explain>
      <paraID>7F6E0DB8</paraID>
      <start>54</start>
      <end>55</end>
      <status>unmodified</status>
      <modifiedWord/>
      <trackRevisions>false</trackRevisions>
    </reviewItem>
    <reviewItem>
      <errorID>60cc9bf7-4d07-4660-8827-4023da462eef</errorID>
      <errorWord>内按</errorWord>
      <group>L1_Word</group>
      <groupName>字词问题</groupName>
      <ability>L2_Typo</ability>
      <abilityName>字词错误</abilityName>
      <candidateList>
        <item>内</item>
      </candidateList>
      <explain/>
      <paraID>192604E9</paraID>
      <start>27</start>
      <end>28</end>
      <status>modified</status>
      <modifiedWord>内</modifiedWord>
      <trackRevisions>true</trackRevisions>
    </reviewItem>
    <reviewItem>
      <errorID>60e7b242-e3ec-4572-ae9c-ced418d35a68</errorID>
      <errorWord>：</errorWord>
      <group>L1_Punc</group>
      <groupName>标点问题</groupName>
      <ability>L2_Punc_CN</ability>
      <abilityName>标点符号问题</abilityName>
      <candidateList>
        <item>。</item>
      </candidateList>
      <explain/>
      <paraID>192604E9</paraID>
      <start>44</start>
      <end>45</end>
      <status>ignored</status>
      <modifiedWord/>
      <trackRevisions>false</trackRevisions>
    </reviewItem>
    <reviewItem>
      <errorID>da3fa7c6-8c05-4697-8624-17841fd21e1e</errorID>
      <errorWord>（</errorWord>
      <group>L1_Format</group>
      <groupName>格式问题</groupName>
      <ability>L2_HalfPunc_CN</ability>
      <abilityName>全半角问题</abilityName>
      <candidateList>
        <item>(</item>
      </candidateList>
      <explain>文本全半角错误。</explain>
      <paraID>7BD838F0</paraID>
      <start>18</start>
      <end>19</end>
      <status>ignored</status>
      <modifiedWord/>
      <trackRevisions>false</trackRevisions>
    </reviewItem>
    <reviewItem>
      <errorID>a2123a14-8008-48f9-aae0-9dd01ef16a02</errorID>
      <errorWord>）</errorWord>
      <group>L1_Format</group>
      <groupName>格式问题</groupName>
      <ability>L2_HalfPunc_CN</ability>
      <abilityName>全半角问题</abilityName>
      <candidateList>
        <item>)</item>
      </candidateList>
      <explain>文本全半角错误。</explain>
      <paraID>7BD838F0</paraID>
      <start>72</start>
      <end>73</end>
      <status>ignored</status>
      <modifiedWord/>
      <trackRevisions>false</trackRevisions>
    </reviewItem>
    <reviewItem>
      <errorID>0e909118-aabb-4197-a11d-57feccbede74</errorID>
      <errorWord> </errorWord>
      <group>L1_Punc</group>
      <groupName>标点问题</groupName>
      <ability>L2_Punc_CN</ability>
      <abilityName>标点符号问题</abilityName>
      <candidateList>
        <item>/</item>
      </candidateList>
      <explain/>
      <paraID>7BD838F0</paraID>
      <start>77</start>
      <end>78</end>
      <status>ignored</status>
      <modifiedWord/>
      <trackRevisions>false</trackRevisions>
    </reviewItem>
    <reviewItem>
      <errorID>c5d84280-dbdd-4f9c-a2aa-c71f0fbe1156</errorID>
      <errorWord> SOC river−post,0 </errorWord>
      <group>L1_Other</group>
      <groupName>其他问题</groupName>
      <ability>L2_Consistency</ability>
      <abilityName>一致性检查</abilityName>
      <candidateList>
        <item> SOC river−post,2 </item>
      </candidateList>
      <explain>数字一致性错误，原文公式标注应为第2年末的参照碳储量，当前符号与表述不一致</explain>
      <paraID>260480C5</paraID>
      <start>0</start>
      <end>18</end>
      <status>ignored</status>
      <modifiedWord/>
      <trackRevisions>false</trackRevisions>
    </reviewItem>
    <reviewItem>
      <errorID>9c90e2fb-baef-42e0-88b1-e37aa95c38d6</errorID>
      <errorWord>（</errorWord>
      <group>L1_Format</group>
      <groupName>格式问题</groupName>
      <ability>L2_HalfPunc_CN</ability>
      <abilityName>全半角问题</abilityName>
      <candidateList>
        <item>(</item>
      </candidateList>
      <explain>文本全半角错误。</explain>
      <paraID>61C047ED</paraID>
      <start>24</start>
      <end>25</end>
      <status>ignored</status>
      <modifiedWord/>
      <trackRevisions>false</trackRevisions>
    </reviewItem>
    <reviewItem>
      <errorID>6fc02dbd-c282-4dab-accc-fa8a29037bda</errorID>
      <errorWord>）</errorWord>
      <group>L1_Format</group>
      <groupName>格式问题</groupName>
      <ability>L2_HalfPunc_CN</ability>
      <abilityName>全半角问题</abilityName>
      <candidateList>
        <item>)</item>
      </candidateList>
      <explain>文本全半角错误。</explain>
      <paraID>61C047ED</paraID>
      <start>78</start>
      <end>79</end>
      <status>ignored</status>
      <modifiedWord/>
      <trackRevisions>false</trackRevisions>
    </reviewItem>
    <reviewItem>
      <errorID>ecf9f5f0-532b-48e3-80ed-8f4ff2b52d34</errorID>
      <errorWord> </errorWord>
      <group>L1_Punc</group>
      <groupName>标点问题</groupName>
      <ability>L2_Punc_CN</ability>
      <abilityName>标点符号问题</abilityName>
      <candidateList>
        <item>/</item>
      </candidateList>
      <explain/>
      <paraID>61C047ED</paraID>
      <start>83</start>
      <end>84</end>
      <status>ignored</status>
      <modifiedWord/>
      <trackRevisions>false</trackRevisions>
    </reviewItem>
    <reviewItem>
      <errorID>fb6bb7fb-6695-4520-928a-6f1683738306</errorID>
      <errorWord>（</errorWord>
      <group>L1_Format</group>
      <groupName>格式问题</groupName>
      <ability>L2_HalfPunc_CN</ability>
      <abilityName>全半角问题</abilityName>
      <candidateList>
        <item>(</item>
      </candidateList>
      <explain>文本全半角错误。</explain>
      <paraID>7E3BAF46</paraID>
      <start>13</start>
      <end>14</end>
      <status>ignored</status>
      <modifiedWord/>
      <trackRevisions>false</trackRevisions>
    </reviewItem>
    <reviewItem>
      <errorID>f15f6b8b-19d3-490a-87f5-a13647a88c69</errorID>
      <errorWord>）</errorWord>
      <group>L1_Format</group>
      <groupName>格式问题</groupName>
      <ability>L2_HalfPunc_CN</ability>
      <abilityName>全半角问题</abilityName>
      <candidateList>
        <item>)</item>
      </candidateList>
      <explain>文本全半角错误。</explain>
      <paraID>7E3BAF46</paraID>
      <start>50</start>
      <end>51</end>
      <status>ignored</status>
      <modifiedWord/>
      <trackRevisions>false</trackRevisions>
    </reviewItem>
    <reviewItem>
      <errorID>c790f760-05b7-4366-a872-0fa669cfe494</errorID>
      <errorWord> </errorWord>
      <group>L1_Punc</group>
      <groupName>标点问题</groupName>
      <ability>L2_Punc_CN</ability>
      <abilityName>标点符号问题</abilityName>
      <candidateList>
        <item>/</item>
      </candidateList>
      <explain/>
      <paraID>7E3BAF46</paraID>
      <start>55</start>
      <end>56</end>
      <status>ignored</status>
      <modifiedWord/>
      <trackRevisions>false</trackRevisions>
    </reviewItem>
    <reviewItem>
      <errorID>c32e5cd1-3cfb-45a3-916d-6ed57874679c</errorID>
      <errorWord> ×（EF </errorWord>
      <group>L1_English</group>
      <groupName>英文问题</groupName>
      <ability>L2_Other_Grammar</ability>
      <abilityName>其他语法问题</abilityName>
      <candidateList>
        <item>× (EF</item>
      </candidateList>
      <explain>疑似单词/词组使用不当, 建议将 ×（EF 修改为× (EF</explain>
      <paraID>456E33B2</paraID>
      <start>24</start>
      <end>30</end>
      <status>ignored</status>
      <modifiedWord/>
      <trackRevisions>false</trackRevisions>
    </reviewItem>
    <reviewItem>
      <errorID>b2fbfadb-2eb3-4254-a24f-80604877fc99</errorID>
      <errorWord>)</errorWord>
      <group>L1_Format</group>
      <groupName>格式问题</groupName>
      <ability>L2_HalfPunc_CN</ability>
      <abilityName>全半角问题</abilityName>
      <candidateList>
        <item>）</item>
      </candidateList>
      <explain>文本全半角错误。</explain>
      <paraID>28A57139</paraID>
      <start>48</start>
      <end>49</end>
      <status>ignored</status>
      <modifiedWord/>
      <trackRevisions>false</trackRevisions>
    </reviewItem>
    <reviewItem>
      <errorID>b7558612-4c0c-4f5a-812f-746b21c04962</errorID>
      <errorWord>)</errorWord>
      <group>L1_Format</group>
      <groupName>格式问题</groupName>
      <ability>L2_HalfPunc_CN</ability>
      <abilityName>全半角问题</abilityName>
      <candidateList>
        <item>）</item>
      </candidateList>
      <explain>文本全半角错误。</explain>
      <paraID>6DF56029</paraID>
      <start>48</start>
      <end>49</end>
      <status>ignored</status>
      <modifiedWord/>
      <trackRevisions>false</trackRevisions>
    </reviewItem>
    <reviewItem>
      <errorID>74809b4d-f254-4d91-94c4-7852c1d87af0</errorID>
      <errorWord> ×（EF </errorWord>
      <group>L1_English</group>
      <groupName>英文问题</groupName>
      <ability>L2_Other_Grammar</ability>
      <abilityName>其他语法问题</abilityName>
      <candidateList>
        <item>× (EF</item>
      </candidateList>
      <explain>疑似单词/词组使用不当, 建议将 ×（EF 修改为× (EF</explain>
      <paraID>605558E9</paraID>
      <start>23</start>
      <end>29</end>
      <status>unmodified</status>
      <modifiedWord/>
      <trackRevisions>false</trackRevisions>
    </reviewItem>
    <reviewItem>
      <errorID>3e74fd7d-074b-4993-826d-5ff2d1e0c569</errorID>
      <errorWord>3</errorWord>
      <group>L1_Grammar</group>
      <groupName>语法问题</groupName>
      <ability>L2_Grammar</ability>
      <abilityName>语法错误</abilityName>
      <candidateList>
        <item>3  (19)</item>
      </candidateList>
      <explain/>
      <paraID>605558E9</paraID>
      <start>93</start>
      <end>94</end>
      <status>unmodified</status>
      <modifiedWord/>
      <trackRevisions>false</trackRevisions>
    </reviewItem>
    <reviewItem>
      <errorID>888a7ec9-f3b7-4c37-b3c3-a7fc4fa8638e</errorID>
      <errorWord>（</errorWord>
      <group>L1_Format</group>
      <groupName>格式问题</groupName>
      <ability>L2_HalfPunc_CN</ability>
      <abilityName>全半角问题</abilityName>
      <candidateList>
        <item>(</item>
      </candidateList>
      <explain>文本全半角错误。</explain>
      <paraID>4540CF97</paraID>
      <start>0</start>
      <end>1</end>
      <status>unmodified</status>
      <modifiedWord/>
      <trackRevisions>false</trackRevisions>
    </reviewItem>
    <reviewItem>
      <errorID>8e6a4dcf-ddbb-4388-bc64-c111c6506957</errorID>
      <errorWord>）</errorWord>
      <group>L1_Format</group>
      <groupName>格式问题</groupName>
      <ability>L2_HalfPunc_CN</ability>
      <abilityName>全半角问题</abilityName>
      <candidateList>
        <item>)</item>
      </candidateList>
      <explain>文本全半角错误。</explain>
      <paraID>4540CF97</paraID>
      <start>3</start>
      <end>4</end>
      <status>unmodified</status>
      <modifiedWord/>
      <trackRevisions>false</trackRevisions>
    </reviewItem>
    <reviewItem>
      <errorID>7a22e7c1-c832-4bac-a71a-ec52cdf88bac</errorID>
      <errorWord>)</errorWord>
      <group>L1_Format</group>
      <groupName>格式问题</groupName>
      <ability>L2_HalfPunc_CN</ability>
      <abilityName>全半角问题</abilityName>
      <candidateList>
        <item>）</item>
      </candidateList>
      <explain>文本全半角错误。</explain>
      <paraID>3DBA9B07</paraID>
      <start>49</start>
      <end>50</end>
      <status>unmodified</status>
      <modifiedWord/>
      <trackRevisions>false</trackRevisions>
    </reviewItem>
    <reviewItem>
      <errorID>1dee48fc-de67-4b9b-ba30-57a0d5a50764</errorID>
      <errorWord>)</errorWord>
      <group>L1_Format</group>
      <groupName>格式问题</groupName>
      <ability>L2_HalfPunc_CN</ability>
      <abilityName>全半角问题</abilityName>
      <candidateList>
        <item>）</item>
      </candidateList>
      <explain>文本全半角错误。</explain>
      <paraID>3ADA28F2</paraID>
      <start>49</start>
      <end>50</end>
      <status>unmodified</status>
      <modifiedWord/>
      <trackRevisions>false</trackRevisions>
    </reviewItem>
    <reviewItem>
      <errorID>94bedf04-f6d5-405e-a3b3-64cf9d11f8b7</errorID>
      <errorWord> </errorWord>
      <group>L1_Punc</group>
      <groupName>标点问题</groupName>
      <ability>L2_Punc_CN</ability>
      <abilityName>标点符号问题</abilityName>
      <candidateList>
        <item>,</item>
      </candidateList>
      <explain/>
      <paraID>75B37F02</paraID>
      <start>4</start>
      <end>5</end>
      <status>unmodified</status>
      <modifiedWord/>
      <trackRevisions>false</trackRevisions>
    </reviewItem>
    <reviewItem>
      <errorID>5bd8f6f1-e570-4b67-ad4f-a2e55d7c9510</errorID>
      <errorWord>（</errorWord>
      <group>L1_Format</group>
      <groupName>格式问题</groupName>
      <ability>L2_HalfPunc_CN</ability>
      <abilityName>全半角问题</abilityName>
      <candidateList>
        <item>(</item>
      </candidateList>
      <explain>文本全半角错误。</explain>
      <paraID>75B37F02</paraID>
      <start>33</start>
      <end>34</end>
      <status>unmodified</status>
      <modifiedWord/>
      <trackRevisions>false</trackRevisions>
    </reviewItem>
    <reviewItem>
      <errorID>1f828a04-4582-47d1-a93d-359a22fc11ff</errorID>
      <errorWord>）</errorWord>
      <group>L1_Format</group>
      <groupName>格式问题</groupName>
      <ability>L2_HalfPunc_CN</ability>
      <abilityName>全半角问题</abilityName>
      <candidateList>
        <item>)</item>
      </candidateList>
      <explain>文本全半角错误。</explain>
      <paraID>75B37F02</paraID>
      <start>56</start>
      <end>57</end>
      <status>unmodified</status>
      <modifiedWord/>
      <trackRevisions>false</trackRevisions>
    </reviewItem>
    <reviewItem>
      <errorID>608373d7-03a0-405a-8ce8-b22f65e34658</errorID>
      <errorWord> </errorWord>
      <group>L1_Punc</group>
      <groupName>标点问题</groupName>
      <ability>L2_Punc_CN</ability>
      <abilityName>标点符号问题</abilityName>
      <candidateList>
        <item/>
      </candidateList>
      <explain>此处空格冗余，建议删除。</explain>
      <paraID>75B37F02</paraID>
      <start>70</start>
      <end>71</end>
      <status>unmodified</status>
      <modifiedWord/>
      <trackRevisions>false</trackRevisions>
    </reviewItem>
    <reviewItem>
      <errorID>e1a87581-1968-4886-80fc-5bc70ff50b90</errorID>
      <errorWord> </errorWord>
      <group>L1_Word</group>
      <groupName>字词问题</groupName>
      <ability>L2_Typo</ability>
      <abilityName>字词错误</abilityName>
      <candidateList>
        <item>E</item>
      </candidateList>
      <explain/>
      <paraID> 6B87CB3</paraID>
      <start>10</start>
      <end>11</end>
      <status>unmodified</status>
      <modifiedWord/>
      <trackRevisions>false</trackRevisions>
    </reviewItem>
    <reviewItem>
      <errorID>70100fa4-b6cb-40ed-bca1-e6e13fa41573</errorID>
      <errorWord>  </errorWord>
      <group>L1_Punc</group>
      <groupName>标点问题</groupName>
      <ability>L2_Punc_CN</ability>
      <abilityName>标点符号问题</abilityName>
      <candidateList>
        <item/>
      </candidateList>
      <explain>此处空格冗余，建议删除。</explain>
      <paraID> 6B87CB3</paraID>
      <start>17</start>
      <end>19</end>
      <status>unmodified</status>
      <modifiedWord/>
      <trackRevisions>false</trackRevisions>
    </reviewItem>
    <reviewItem>
      <errorID>51dea2aa-ebeb-40b8-bc8a-6f4f28368bc0</errorID>
      <errorWord>进行</errorWord>
      <group>L1_Grammar</group>
      <groupName>语法问题</groupName>
      <ability>L2_Grammar</ability>
      <abilityName>语法错误</abilityName>
      <candidateList>
        <item>措施进行</item>
      </candidateList>
      <explain/>
      <paraID>33A0A089</paraID>
      <start>286</start>
      <end>290</end>
      <status>modified</status>
      <modifiedWord>措施进行</modifiedWord>
      <trackRevisions>true</trackRevisions>
    </reviewItem>
    <reviewItem>
      <errorID>8bff7218-3199-4bb5-ae34-538019c368c8</errorID>
      <errorWord>（</errorWord>
      <group>L1_Format</group>
      <groupName>格式问题</groupName>
      <ability>L2_HalfPunc_CN</ability>
      <abilityName>全半角问题</abilityName>
      <candidateList>
        <item>(</item>
      </candidateList>
      <explain>文本全半角错误。</explain>
      <paraID>1E0D3CF6</paraID>
      <start>3</start>
      <end>4</end>
      <status>ignored</status>
      <modifiedWord/>
      <trackRevisions>false</trackRevisions>
    </reviewItem>
    <reviewItem>
      <errorID>bff2b6a1-3120-42ad-b0d0-eb050f75d0c7</errorID>
      <errorWord>）</errorWord>
      <group>L1_Format</group>
      <groupName>格式问题</groupName>
      <ability>L2_HalfPunc_CN</ability>
      <abilityName>全半角问题</abilityName>
      <candidateList>
        <item>)</item>
      </candidateList>
      <explain>文本全半角错误。</explain>
      <paraID>1E0D3CF6</paraID>
      <start>9</start>
      <end>10</end>
      <status>ignored</status>
      <modifiedWord/>
      <trackRevisions>false</trackRevisions>
    </reviewItem>
    <reviewItem>
      <errorID>9fed52ab-9872-4d8b-8b8e-b2daff85879f</errorID>
      <errorWord>（</errorWord>
      <group>L1_Format</group>
      <groupName>格式问题</groupName>
      <ability>L2_HalfPunc_CN</ability>
      <abilityName>全半角问题</abilityName>
      <candidateList>
        <item>(</item>
      </candidateList>
      <explain>文本全半角错误。</explain>
      <paraID>1531E942</paraID>
      <start>3</start>
      <end>4</end>
      <status>ignored</status>
      <modifiedWord/>
      <trackRevisions>false</trackRevisions>
    </reviewItem>
    <reviewItem>
      <errorID>48ddf1a2-ba74-4db4-a14f-ac626624475a</errorID>
      <errorWord>）</errorWord>
      <group>L1_Format</group>
      <groupName>格式问题</groupName>
      <ability>L2_HalfPunc_CN</ability>
      <abilityName>全半角问题</abilityName>
      <candidateList>
        <item>)</item>
      </candidateList>
      <explain>文本全半角错误。</explain>
      <paraID>1531E942</paraID>
      <start>9</start>
      <end>10</end>
      <status>ignored</status>
      <modifiedWord/>
      <trackRevisions>false</trackRevisions>
    </reviewItem>
    <reviewItem>
      <errorID>548a4218-c08c-4f85-a697-eb4640293c07</errorID>
      <errorWord>（</errorWord>
      <group>L1_Format</group>
      <groupName>格式问题</groupName>
      <ability>L2_HalfPunc_CN</ability>
      <abilityName>全半角问题</abilityName>
      <candidateList>
        <item>(</item>
      </candidateList>
      <explain>文本全半角错误。</explain>
      <paraID>103238B8</paraID>
      <start>3</start>
      <end>4</end>
      <status>ignored</status>
      <modifiedWord/>
      <trackRevisions>false</trackRevisions>
    </reviewItem>
    <reviewItem>
      <errorID>1ea42f90-ca0e-4aba-827e-77b386556df1</errorID>
      <errorWord>）</errorWord>
      <group>L1_Format</group>
      <groupName>格式问题</groupName>
      <ability>L2_HalfPunc_CN</ability>
      <abilityName>全半角问题</abilityName>
      <candidateList>
        <item>)</item>
      </candidateList>
      <explain>文本全半角错误。</explain>
      <paraID>103238B8</paraID>
      <start>7</start>
      <end>8</end>
      <status>modified</status>
      <modifiedWord>)</modifiedWord>
      <trackRevisions>true</trackRevisions>
    </reviewItem>
    <reviewItem>
      <errorID>45272693-ae47-4092-ac81-07a1cb77611e</errorID>
      <errorWord>（</errorWord>
      <group>L1_Format</group>
      <groupName>格式问题</groupName>
      <ability>L2_HalfPunc_CN</ability>
      <abilityName>全半角问题</abilityName>
      <candidateList>
        <item>(</item>
      </candidateList>
      <explain>文本全半角错误。</explain>
      <paraID>29A46A03</paraID>
      <start>7</start>
      <end>8</end>
      <status>modified</status>
      <modifiedWord>(</modifiedWord>
      <trackRevisions>true</trackRevisions>
    </reviewItem>
    <reviewItem>
      <errorID>90877b0d-0282-46c3-9f51-391253600861</errorID>
      <errorWord>）</errorWord>
      <group>L1_Format</group>
      <groupName>格式问题</groupName>
      <ability>L2_HalfPunc_CN</ability>
      <abilityName>全半角问题</abilityName>
      <candidateList>
        <item>)</item>
      </candidateList>
      <explain>文本全半角错误。</explain>
      <paraID>29A46A03</paraID>
      <start>13</start>
      <end>14</end>
      <status>modified</status>
      <modifiedWord>)</modifiedWord>
      <trackRevisions>true</trackRevisions>
    </reviewItem>
    <reviewItem>
      <errorID>2493f94a-b01e-4842-af11-ea73ccf67748</errorID>
      <errorWord>（</errorWord>
      <group>L1_Format</group>
      <groupName>格式问题</groupName>
      <ability>L2_HalfPunc_CN</ability>
      <abilityName>全半角问题</abilityName>
      <candidateList>
        <item>(</item>
      </candidateList>
      <explain>文本全半角错误。</explain>
      <paraID>43CD5C30</paraID>
      <start>7</start>
      <end>8</end>
      <status>modified</status>
      <modifiedWord>(</modifiedWord>
      <trackRevisions>true</trackRevisions>
    </reviewItem>
    <reviewItem>
      <errorID>a339950e-5194-493d-9b03-2fc9e1be1168</errorID>
      <errorWord>）</errorWord>
      <group>L1_Format</group>
      <groupName>格式问题</groupName>
      <ability>L2_HalfPunc_CN</ability>
      <abilityName>全半角问题</abilityName>
      <candidateList>
        <item>)</item>
      </candidateList>
      <explain>文本全半角错误。</explain>
      <paraID>43CD5C30</paraID>
      <start>13</start>
      <end>14</end>
      <status>modified</status>
      <modifiedWord>)</modifiedWord>
      <trackRevisions>true</trackRevisions>
    </reviewItem>
    <reviewItem>
      <errorID>d6b38c5c-ed39-446b-9f5b-73d44a8c2801</errorID>
      <errorWord>13N2O</errorWord>
      <group>L1_Word</group>
      <groupName>字词问题</groupName>
      <ability>L2_Typo</ability>
      <abilityName>字词错误</abilityName>
      <candidateList>
        <item>13 N2O</item>
      </candidateList>
      <explain/>
      <paraID>2C41671E</paraID>
      <start>1</start>
      <end>6</end>
      <status>unmodified</status>
      <modifiedWord/>
      <trackRevisions>false</trackRevisions>
    </reviewItem>
    <reviewItem>
      <errorID>72329505-3846-4894-b202-87b884749e42</errorID>
      <errorWord>.</errorWord>
      <group>L1_Format</group>
      <groupName>格式问题</groupName>
      <ability>L2_HalfPunc_CN</ability>
      <abilityName>全半角问题</abilityName>
      <candidateList>
        <item>。</item>
      </candidateList>
      <explain>文本全半角错误。</explain>
      <paraID> 3DED21F</paraID>
      <start>39</start>
      <end>40</end>
      <status>unmodified</status>
      <modifiedWord/>
      <trackRevisions>false</trackRevisions>
    </reviewItem>
    <reviewItem>
      <errorID>5a647cd8-dd17-44c4-b935-ed6cfd6a48d1</errorID>
      <errorWord>.</errorWord>
      <group>L1_Format</group>
      <groupName>格式问题</groupName>
      <ability>L2_HalfPunc_CN</ability>
      <abilityName>全半角问题</abilityName>
      <candidateList>
        <item>。</item>
      </candidateList>
      <explain>文本全半角错误。</explain>
      <paraID> 3DED21F</paraID>
      <start>44</start>
      <end>45</end>
      <status>unmodified</status>
      <modifiedWord/>
      <trackRevisions>false</trackRevisions>
    </reviewItem>
    <reviewItem>
      <errorID>b7dbfcd3-480e-4532-a6c8-d686c059c24d</errorID>
      <errorWord>–</errorWord>
      <group>L1_Word</group>
      <groupName>字词问题</groupName>
      <ability>L2_Typo</ability>
      <abilityName>字词错误</abilityName>
      <candidateList>
        <item>—</item>
      </candidateList>
      <explain/>
      <paraID>43E46CB5</paraID>
      <start>18</start>
      <end>19</end>
      <status>unmodified</status>
      <modifiedWord/>
      <trackRevisions>false</trackRevisions>
    </reviewItem>
    <reviewItem>
      <errorID>c9fb05d7-47e6-4dab-9179-bc79d784968f</errorID>
      <errorWord>–</errorWord>
      <group>L1_Word</group>
      <groupName>字词问题</groupName>
      <ability>L2_Typo</ability>
      <abilityName>字词错误</abilityName>
      <candidateList>
        <item>—</item>
      </candidateList>
      <explain/>
      <paraID>43E46CB5</paraID>
      <start>26</start>
      <end>27</end>
      <status>unmodified</status>
      <modifiedWord/>
      <trackRevisions>false</trackRevisions>
    </reviewItem>
    <reviewItem>
      <errorID>dff8eb63-d1b0-4eed-bb4a-5610f27041a7</errorID>
      <errorWord>–</errorWord>
      <group>L1_Word</group>
      <groupName>字词问题</groupName>
      <ability>L2_Typo</ability>
      <abilityName>字词错误</abilityName>
      <candidateList>
        <item>—</item>
      </candidateList>
      <explain/>
      <paraID>43E46CB5</paraID>
      <start>34</start>
      <end>35</end>
      <status>unmodified</status>
      <modifiedWord/>
      <trackRevisions>false</trackRevisions>
    </reviewItem>
    <reviewItem>
      <errorID>331fc7f0-2a57-434d-ae19-1f066e40fdb4</errorID>
      <errorWord>-</errorWord>
      <group>L1_Punc</group>
      <groupName>标点问题</groupName>
      <ability>L2_Punc_CN</ability>
      <abilityName>标点符号问题</abilityName>
      <candidateList>
        <item>—</item>
      </candidateList>
      <explain/>
      <paraID> F70E095</paraID>
      <start>18</start>
      <end>19</end>
      <status>unmodified</status>
      <modifiedWord/>
      <trackRevisions>false</trackRevisions>
    </reviewItem>
    <reviewItem>
      <errorID>28d2c57d-1620-4056-945e-d78ea8d24572</errorID>
      <errorWord>.</errorWord>
      <group>L1_Format</group>
      <groupName>格式问题</groupName>
      <ability>L2_HalfPunc_CN</ability>
      <abilityName>全半角问题</abilityName>
      <candidateList>
        <item>。</item>
      </candidateList>
      <explain>文本全半角错误。</explain>
      <paraID>782C2F32</paraID>
      <start>20</start>
      <end>21</end>
      <status>unmodified</status>
      <modifiedWord/>
      <trackRevisions>false</trackRevisions>
    </reviewItem>
    <reviewItem>
      <errorID>2c28367f-b579-4111-b4c7-f4d269cc8c2e</errorID>
      <errorWord>.</errorWord>
      <group>L1_Format</group>
      <groupName>格式问题</groupName>
      <ability>L2_HalfPunc_CN</ability>
      <abilityName>全半角问题</abilityName>
      <candidateList>
        <item>。</item>
      </candidateList>
      <explain>文本全半角错误。</explain>
      <paraID>782C2F32</paraID>
      <start>25</start>
      <end>26</end>
      <status>unmodified</status>
      <modifiedWord/>
      <trackRevisions>false</trackRevisions>
    </reviewItem>
    <reviewItem>
      <errorID>36e411b7-6015-4349-8c53-14169b0f83e6</errorID>
      <errorWord>avg</errorWord>
      <group>L1_Punc</group>
      <groupName>标点问题</groupName>
      <ability>L2_Punc_CN</ability>
      <abilityName>标点符号问题</abilityName>
      <candidateList>
        <item>avg。</item>
      </candidateList>
      <explain/>
      <paraID>59402B56</paraID>
      <start>12</start>
      <end>15</end>
      <status>unmodified</status>
      <modifiedWord/>
      <trackRevisions>false</trackRevisions>
    </reviewItem>
    <reviewItem>
      <errorID>6089f90a-d606-443f-b028-f995a4e54147</errorID>
      <errorWord> </errorWord>
      <group>L1_Punc</group>
      <groupName>标点问题</groupName>
      <ability>L2_Punc_CN</ability>
      <abilityName>标点符号问题</abilityName>
      <candidateList>
        <item>：</item>
      </candidateList>
      <explain/>
      <paraID>775779B3</paraID>
      <start>3</start>
      <end>4</end>
      <status>unmodified</status>
      <modifiedWord/>
      <trackRevisions>false</trackRevisions>
    </reviewItem>
    <reviewItem>
      <errorID>c491a5b4-f8dd-4983-8a0b-0abd58b7ae9b</errorID>
      <errorWord>volume</errorWord>
      <group>L1_Punc</group>
      <groupName>标点问题</groupName>
      <ability>L2_Punc_CN</ability>
      <abilityName>标点符号问题</abilityName>
      <candidateList>
        <item>volume。</item>
      </candidateList>
      <explain/>
      <paraID>5D1E32EE</paraID>
      <start>6</start>
      <end>12</end>
      <status>unmodified</status>
      <modifiedWord/>
      <trackRevisions>false</trackRevisions>
    </reviewItem>
    <reviewItem>
      <errorID>6259ddc1-2aaa-42b1-929b-b80b8723cfa2</errorID>
      <errorWord>水体</errorWord>
      <group>L1_Punc</group>
      <groupName>标点问题</groupName>
      <ability>L2_Punc_CN</ability>
      <abilityName>标点符号问题</abilityName>
      <candidateList>
        <item>：水体</item>
      </candidateList>
      <explain/>
      <paraID>75740433</paraID>
      <start>3</start>
      <end>5</end>
      <status>unmodified</status>
      <modifiedWord/>
      <trackRevisions>false</trackRevisions>
    </reviewItem>
    <reviewItem>
      <errorID>4e3f8fdb-bfe9-40ae-9ead-213ef31d6a1e</errorID>
      <errorWord> </errorWord>
      <group>L1_Punc</group>
      <groupName>标点问题</groupName>
      <ability>L2_Punc_CN</ability>
      <abilityName>标点符号问题</abilityName>
      <candidateList>
        <item/>
      </candidateList>
      <explain>此处空格冗余，建议删除。</explain>
      <paraID>44745E4B</paraID>
      <start>0</start>
      <end>1</end>
      <status>unmodified</status>
      <modifiedWord/>
      <trackRevisions>false</trackRevisions>
    </reviewItem>
    <reviewItem>
      <errorID>a8038114-fb22-4843-8066-b44c29004560</errorID>
      <errorWord>disturb,t</errorWord>
      <group>L1_English</group>
      <groupName>英文问题</groupName>
      <ability>L2_Other_Grammar</ability>
      <abilityName>其他语法问题</abilityName>
      <candidateList>
        <item>disturbed</item>
      </candidateList>
      <explain>疑似单词/词组使用不当, 建议将disturb,t修改为disturbed</explain>
      <paraID>44745E4B</paraID>
      <start>3</start>
      <end>12</end>
      <status>unmodified</status>
      <modifiedWord/>
      <trackRevisions>false</trackRevisions>
    </reviewItem>
    <reviewItem>
      <errorID>bc96da65-400c-4754-9a29-352a35b6d934</errorID>
      <errorWord> </errorWord>
      <group>L1_Punc</group>
      <groupName>标点问题</groupName>
      <ability>L2_Punc_CN</ability>
      <abilityName>标点符号问题</abilityName>
      <candidateList>
        <item/>
      </candidateList>
      <explain>此处空格冗余，建议删除。</explain>
      <paraID>1166BE46</paraID>
      <start>0</start>
      <end>1</end>
      <status>unmodified</status>
      <modifiedWord/>
      <trackRevisions>false</trackRevisions>
    </reviewItem>
    <reviewItem>
      <errorID>a5ef1a28-efce-4cdc-8643-323d99acf02f</errorID>
      <errorWord> </errorWord>
      <group>L1_Punc</group>
      <groupName>标点问题</groupName>
      <ability>L2_Punc_CN</ability>
      <abilityName>标点符号问题</abilityName>
      <candidateList>
        <item>_</item>
      </candidateList>
      <explain/>
      <paraID>1166BE46</paraID>
      <start>2</start>
      <end>3</end>
      <status>unmodified</status>
      <modifiedWord/>
      <trackRevisions>false</trackRevisions>
    </reviewItem>
    <reviewItem>
      <errorID>08e28519-4983-405f-b20b-bc20d1a3d6f2</errorID>
      <errorWord>  CH 4 </errorWord>
      <group>L1_Grammar</group>
      <groupName>语法问题</groupName>
      <ability>L2_Grammar</ability>
      <abilityName>语法错误</abilityName>
      <candidateList>
        <item>_CH4</item>
      </candidateList>
      <explain/>
      <paraID>6B91C083</paraID>
      <start>3</start>
      <end>10</end>
      <status>unmodified</status>
      <modifiedWord/>
      <trackRevisions>false</trackRevisions>
    </reviewItem>
    <reviewItem>
      <errorID>96c63365-b55e-4300-8275-ae2c1baf8907</errorID>
      <errorWord>（</errorWord>
      <group>L1_Format</group>
      <groupName>格式问题</groupName>
      <ability>L2_HalfPunc_CN</ability>
      <abilityName>全半角问题</abilityName>
      <candidateList>
        <item>(</item>
      </candidateList>
      <explain>文本全半角错误。</explain>
      <paraID>36D8AC53</paraID>
      <start>7</start>
      <end>8</end>
      <status>unmodified</status>
      <modifiedWord/>
      <trackRevisions>false</trackRevisions>
    </reviewItem>
    <reviewItem>
      <errorID>7f97e0e9-5996-4cc2-957a-a1898529b044</errorID>
      <errorWord>）</errorWord>
      <group>L1_Format</group>
      <groupName>格式问题</groupName>
      <ability>L2_HalfPunc_CN</ability>
      <abilityName>全半角问题</abilityName>
      <candidateList>
        <item>)</item>
      </candidateList>
      <explain>文本全半角错误。</explain>
      <paraID>36D8AC53</paraID>
      <start>13</start>
      <end>14</end>
      <status>unmodified</status>
      <modifiedWord/>
      <trackRevisions>false</trackRevisions>
    </reviewItem>
    <reviewItem>
      <errorID>6361f4ed-94d6-4cce-9bb2-244c568468bb</errorID>
      <errorWord>  N 2 O</errorWord>
      <group>L1_Grammar</group>
      <groupName>语法问题</groupName>
      <ability>L2_Grammar</ability>
      <abilityName>语法错误</abilityName>
      <candidateList>
        <item>_N2O</item>
      </candidateList>
      <explain/>
      <paraID>13FFA513</paraID>
      <start>3</start>
      <end>10</end>
      <status>unmodified</status>
      <modifiedWord/>
      <trackRevisions>false</trackRevisions>
    </reviewItem>
    <reviewItem>
      <errorID>2304b7e1-912b-4e39-b9eb-be4fb3308008</errorID>
      <errorWord>（</errorWord>
      <group>L1_Format</group>
      <groupName>格式问题</groupName>
      <ability>L2_HalfPunc_CN</ability>
      <abilityName>全半角问题</abilityName>
      <candidateList>
        <item>(</item>
      </candidateList>
      <explain>文本全半角错误。</explain>
      <paraID>3D393C54</paraID>
      <start>7</start>
      <end>8</end>
      <status>unmodified</status>
      <modifiedWord/>
      <trackRevisions>false</trackRevisions>
    </reviewItem>
    <reviewItem>
      <errorID>535f10c4-66a5-4f2c-a466-f771ee1fcdf5</errorID>
      <errorWord>）</errorWord>
      <group>L1_Format</group>
      <groupName>格式问题</groupName>
      <ability>L2_HalfPunc_CN</ability>
      <abilityName>全半角问题</abilityName>
      <candidateList>
        <item>)</item>
      </candidateList>
      <explain>文本全半角错误。</explain>
      <paraID>3D393C54</paraID>
      <start>13</start>
      <end>14</end>
      <status>unmodified</status>
      <modifiedWord/>
      <trackRevisions>false</trackRevisions>
    </reviewItem>
    <reviewItem>
      <errorID>6d5ed855-3c2e-45d4-8179-35212f9bb67d</errorID>
      <errorWord>（</errorWord>
      <group>L1_Format</group>
      <groupName>格式问题</groupName>
      <ability>L2_HalfPunc_CN</ability>
      <abilityName>全半角问题</abilityName>
      <candidateList>
        <item>(</item>
      </candidateList>
      <explain>文本全半角错误。</explain>
      <paraID>60B1A62E</paraID>
      <start>7</start>
      <end>8</end>
      <status>unmodified</status>
      <modifiedWord/>
      <trackRevisions>false</trackRevisions>
    </reviewItem>
    <reviewItem>
      <errorID>5a724218-2e80-4c09-b7b6-aa653182d6f2</errorID>
      <errorWord>）</errorWord>
      <group>L1_Format</group>
      <groupName>格式问题</groupName>
      <ability>L2_HalfPunc_CN</ability>
      <abilityName>全半角问题</abilityName>
      <candidateList>
        <item>)</item>
      </candidateList>
      <explain>文本全半角错误。</explain>
      <paraID>60B1A62E</paraID>
      <start>13</start>
      <end>14</end>
      <status>unmodified</status>
      <modifiedWord/>
      <trackRevisions>false</trackRevisions>
    </reviewItem>
    <reviewItem>
      <errorID>0ce0bda4-38ff-4cd8-afff-a26054f7995a</errorID>
      <errorWord>（</errorWord>
      <group>L1_Format</group>
      <groupName>格式问题</groupName>
      <ability>L2_HalfPunc_CN</ability>
      <abilityName>全半角问题</abilityName>
      <candidateList>
        <item>(</item>
      </candidateList>
      <explain>文本全半角错误。</explain>
      <paraID>7757136A</paraID>
      <start>6</start>
      <end>7</end>
      <status>unmodified</status>
      <modifiedWord/>
      <trackRevisions>false</trackRevisions>
    </reviewItem>
    <reviewItem>
      <errorID>fd288675-6483-4d8c-be2f-8a15b2a2a197</errorID>
      <errorWord>）</errorWord>
      <group>L1_Format</group>
      <groupName>格式问题</groupName>
      <ability>L2_HalfPunc_CN</ability>
      <abilityName>全半角问题</abilityName>
      <candidateList>
        <item>)</item>
      </candidateList>
      <explain>文本全半角错误。</explain>
      <paraID>7757136A</paraID>
      <start>12</start>
      <end>13</end>
      <status>unmodified</status>
      <modifiedWord/>
      <trackRevisions>false</trackRevisions>
    </reviewItem>
    <reviewItem>
      <errorID>23ab295d-1f6c-4539-a9b7-845afee7b7f6</errorID>
      <errorWord>.</errorWord>
      <group>L1_Format</group>
      <groupName>格式问题</groupName>
      <ability>L2_HalfPunc_CN</ability>
      <abilityName>全半角问题</abilityName>
      <candidateList>
        <item>。</item>
      </candidateList>
      <explain>文本全半角错误。</explain>
      <paraID>6AFCE2C7</paraID>
      <start>61</start>
      <end>62</end>
      <status>unmodified</status>
      <modifiedWord/>
      <trackRevisions>false</trackRevisions>
    </reviewItem>
    <reviewItem>
      <errorID>b935c9de-5273-4886-9a92-577334b091bc</errorID>
      <errorWord>.</errorWord>
      <group>L1_Format</group>
      <groupName>格式问题</groupName>
      <ability>L2_HalfPunc_CN</ability>
      <abilityName>全半角问题</abilityName>
      <candidateList>
        <item>。</item>
      </candidateList>
      <explain>文本全半角错误。</explain>
      <paraID>6AFCE2C7</paraID>
      <start>66</start>
      <end>67</end>
      <status>unmodified</status>
      <modifiedWord/>
      <trackRevisions>false</trackRevisions>
    </reviewItem>
    <reviewItem>
      <errorID>0777811a-18c5-4066-bf3f-f002b41cea5d</errorID>
      <errorWord>Taxodium'Zhongshanshan</errorWord>
      <group>L1_English</group>
      <groupName>英文问题</groupName>
      <ability>L2_Other_Grammar</ability>
      <abilityName>其他语法问题</abilityName>
      <candidateList>
        <item>Taxodium 'Zhongshan Shan</item>
      </candidateList>
      <explain>疑似单词/词组使用不当, 建议将Taxodium'Zhongshanshan修改为Taxodium 'Zhongshan Shan</explain>
      <paraID>299648E5</paraID>
      <start>0</start>
      <end>22</end>
      <status>unmodified</status>
      <modifiedWord/>
      <trackRevisions>false</trackRevisions>
    </reviewItem>
    <reviewItem>
      <errorID>3d62f801-46bd-4d44-b829-361ba0558467</errorID>
      <errorWord>蘋</errorWord>
      <group>L1_Word</group>
      <groupName>字词问题</groupName>
      <ability>L2_Fanti</ability>
      <abilityName>繁转简</abilityName>
      <candidateList>
        <item>苹</item>
      </candidateList>
      <explain/>
      <paraID>417BD09A</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0A8586-5459-4EB8-890D-93C5885B7A6A}">
  <ds:schemaRefs/>
</ds:datastoreItem>
</file>

<file path=customXml/itemProps3.xml><?xml version="1.0" encoding="utf-8"?>
<ds:datastoreItem xmlns:ds="http://schemas.openxmlformats.org/officeDocument/2006/customXml" ds:itemID="{b1c7026a-b89b-4bda-a85d-4f20b2663917}">
  <ds:schemaRefs/>
</ds:datastoreItem>
</file>

<file path=docProps/app.xml><?xml version="1.0" encoding="utf-8"?>
<Properties xmlns="http://schemas.openxmlformats.org/officeDocument/2006/extended-properties" xmlns:vt="http://schemas.openxmlformats.org/officeDocument/2006/docPropsVTypes">
  <Template>Normal</Template>
  <Pages>67</Pages>
  <Words>5006</Words>
  <Characters>5640</Characters>
  <Lines>1589</Lines>
  <Paragraphs>1804</Paragraphs>
  <TotalTime>35</TotalTime>
  <ScaleCrop>false</ScaleCrop>
  <LinksUpToDate>false</LinksUpToDate>
  <CharactersWithSpaces>5763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2026-07-26T23:18:00Z</dcterms:created>
  <dc:creator>Keqin Xiao</dc:creator>
  <cp:lastModifiedBy>WPS_1760576678</cp:lastModifiedBy>
  <dcterms:modified xsi:type="dcterms:W3CDTF">2026-08-18T02:52:16Z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6C3C25562A654826AB41D4FD210832F9_13</vt:lpwstr>
  </property>
  <property fmtid="{D5CDD505-2E9C-101B-9397-08002B2CF9AE}" pid="4" name="KSOTemplateDocerSaveRecord">
    <vt:lpwstr>eyJoZGlkIjoiOTY1MDcxNGQyZTBlZDBhY2M4ZjkxMGU3ZDFlNTg5ZTUiLCJ1c2VySWQiOiIxNzU1NDAyNDEzIn0=</vt:lpwstr>
  </property>
</Properties>
</file>