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8BC44">
      <w:pPr>
        <w:autoSpaceDE w:val="0"/>
        <w:autoSpaceDN w:val="0"/>
        <w:spacing w:before="55"/>
        <w:ind w:left="408"/>
        <w:jc w:val="left"/>
        <w:rPr>
          <w:rFonts w:hint="eastAsia" w:ascii="黑体" w:hAnsi="宋体" w:eastAsia="黑体" w:cs="宋体"/>
          <w:kern w:val="0"/>
          <w:sz w:val="32"/>
        </w:rPr>
      </w:pPr>
    </w:p>
    <w:p w14:paraId="790B3712">
      <w:pPr>
        <w:autoSpaceDE w:val="0"/>
        <w:autoSpaceDN w:val="0"/>
        <w:jc w:val="left"/>
        <w:rPr>
          <w:rFonts w:hint="eastAsia" w:ascii="黑体" w:hAnsi="宋体" w:eastAsia="宋体" w:cs="宋体"/>
          <w:kern w:val="0"/>
          <w:sz w:val="32"/>
          <w:szCs w:val="21"/>
        </w:rPr>
      </w:pPr>
    </w:p>
    <w:p w14:paraId="3E4C9A7C">
      <w:pPr>
        <w:autoSpaceDE w:val="0"/>
        <w:autoSpaceDN w:val="0"/>
        <w:jc w:val="left"/>
        <w:rPr>
          <w:rFonts w:hint="eastAsia" w:ascii="黑体" w:hAnsi="宋体" w:eastAsia="宋体" w:cs="宋体"/>
          <w:kern w:val="0"/>
          <w:sz w:val="32"/>
          <w:szCs w:val="21"/>
        </w:rPr>
      </w:pPr>
    </w:p>
    <w:p w14:paraId="1BCF6516">
      <w:pPr>
        <w:autoSpaceDE w:val="0"/>
        <w:autoSpaceDN w:val="0"/>
        <w:jc w:val="left"/>
        <w:rPr>
          <w:rFonts w:hint="eastAsia" w:ascii="黑体" w:hAnsi="宋体" w:eastAsia="宋体" w:cs="宋体"/>
          <w:kern w:val="0"/>
          <w:sz w:val="32"/>
          <w:szCs w:val="21"/>
        </w:rPr>
      </w:pPr>
    </w:p>
    <w:p w14:paraId="7E65AEE4">
      <w:pPr>
        <w:autoSpaceDE w:val="0"/>
        <w:autoSpaceDN w:val="0"/>
        <w:jc w:val="left"/>
        <w:rPr>
          <w:rFonts w:hint="eastAsia" w:ascii="黑体" w:hAnsi="宋体" w:eastAsia="宋体" w:cs="宋体"/>
          <w:kern w:val="0"/>
          <w:sz w:val="32"/>
          <w:szCs w:val="21"/>
        </w:rPr>
      </w:pPr>
    </w:p>
    <w:p w14:paraId="1DF35FFC">
      <w:pPr>
        <w:autoSpaceDE w:val="0"/>
        <w:autoSpaceDN w:val="0"/>
        <w:jc w:val="left"/>
        <w:rPr>
          <w:rFonts w:hint="eastAsia" w:ascii="黑体" w:hAnsi="宋体" w:eastAsia="宋体" w:cs="宋体"/>
          <w:kern w:val="0"/>
          <w:sz w:val="32"/>
          <w:szCs w:val="21"/>
        </w:rPr>
      </w:pPr>
    </w:p>
    <w:p w14:paraId="1CB60377">
      <w:pPr>
        <w:autoSpaceDE w:val="0"/>
        <w:autoSpaceDN w:val="0"/>
        <w:jc w:val="left"/>
        <w:rPr>
          <w:rFonts w:hint="eastAsia" w:ascii="黑体" w:hAnsi="宋体" w:eastAsia="宋体" w:cs="宋体"/>
          <w:kern w:val="0"/>
          <w:sz w:val="32"/>
          <w:szCs w:val="21"/>
        </w:rPr>
      </w:pPr>
    </w:p>
    <w:p w14:paraId="0DAFB98F">
      <w:pPr>
        <w:autoSpaceDE w:val="0"/>
        <w:autoSpaceDN w:val="0"/>
        <w:jc w:val="left"/>
        <w:rPr>
          <w:rFonts w:hint="eastAsia" w:ascii="黑体" w:hAnsi="宋体" w:eastAsia="宋体" w:cs="宋体"/>
          <w:kern w:val="0"/>
          <w:sz w:val="32"/>
          <w:szCs w:val="21"/>
        </w:rPr>
      </w:pPr>
    </w:p>
    <w:p w14:paraId="296E67CF">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default" w:ascii="黑体" w:hAnsi="黑体" w:eastAsia="黑体" w:cs="黑体"/>
          <w:b w:val="0"/>
          <w:bCs w:val="0"/>
          <w:kern w:val="0"/>
          <w:sz w:val="52"/>
          <w:szCs w:val="52"/>
          <w:lang w:val="en-US" w:eastAsia="zh-CN"/>
        </w:rPr>
      </w:pPr>
      <w:r>
        <w:rPr>
          <w:rFonts w:hint="eastAsia" w:ascii="黑体" w:hAnsi="黑体" w:eastAsia="黑体" w:cs="黑体"/>
          <w:b w:val="0"/>
          <w:bCs w:val="0"/>
          <w:w w:val="95"/>
          <w:kern w:val="0"/>
          <w:sz w:val="52"/>
          <w:szCs w:val="52"/>
        </w:rPr>
        <w:t>南京市</w:t>
      </w:r>
      <w:r>
        <w:rPr>
          <w:rFonts w:hint="eastAsia" w:ascii="黑体" w:hAnsi="黑体" w:eastAsia="黑体" w:cs="黑体"/>
          <w:b w:val="0"/>
          <w:bCs w:val="0"/>
          <w:w w:val="95"/>
          <w:kern w:val="0"/>
          <w:sz w:val="52"/>
          <w:szCs w:val="52"/>
          <w:lang w:val="en-US" w:eastAsia="zh-CN"/>
        </w:rPr>
        <w:t>电化学储能</w:t>
      </w:r>
      <w:r>
        <w:rPr>
          <w:rFonts w:hint="eastAsia" w:ascii="黑体" w:hAnsi="黑体" w:eastAsia="黑体" w:cs="黑体"/>
          <w:b w:val="0"/>
          <w:bCs w:val="0"/>
          <w:w w:val="95"/>
          <w:kern w:val="0"/>
          <w:sz w:val="52"/>
          <w:szCs w:val="52"/>
          <w:highlight w:val="none"/>
          <w:lang w:val="en-US" w:eastAsia="zh-CN"/>
        </w:rPr>
        <w:t>电站</w:t>
      </w:r>
      <w:r>
        <w:rPr>
          <w:rFonts w:hint="eastAsia" w:ascii="黑体" w:hAnsi="黑体" w:eastAsia="黑体" w:cs="黑体"/>
          <w:b w:val="0"/>
          <w:bCs w:val="0"/>
          <w:spacing w:val="-2"/>
          <w:w w:val="95"/>
          <w:kern w:val="0"/>
          <w:sz w:val="52"/>
          <w:szCs w:val="52"/>
          <w:lang w:val="en-US" w:eastAsia="zh-CN"/>
        </w:rPr>
        <w:t>碳普惠方法学</w:t>
      </w:r>
    </w:p>
    <w:p w14:paraId="5F67D817">
      <w:pPr>
        <w:autoSpaceDE w:val="0"/>
        <w:autoSpaceDN w:val="0"/>
        <w:jc w:val="left"/>
        <w:rPr>
          <w:rFonts w:hint="eastAsia" w:ascii="黑体" w:hAnsi="宋体" w:eastAsia="宋体" w:cs="宋体"/>
          <w:b/>
          <w:kern w:val="0"/>
          <w:sz w:val="40"/>
          <w:szCs w:val="21"/>
        </w:rPr>
      </w:pPr>
    </w:p>
    <w:p w14:paraId="2DD9C2C6">
      <w:pPr>
        <w:autoSpaceDE w:val="0"/>
        <w:autoSpaceDN w:val="0"/>
        <w:jc w:val="left"/>
        <w:rPr>
          <w:rFonts w:hint="eastAsia" w:ascii="黑体" w:hAnsi="宋体" w:eastAsia="宋体" w:cs="宋体"/>
          <w:b/>
          <w:kern w:val="0"/>
          <w:sz w:val="40"/>
          <w:szCs w:val="21"/>
        </w:rPr>
      </w:pPr>
    </w:p>
    <w:p w14:paraId="1611E64C">
      <w:pPr>
        <w:autoSpaceDE w:val="0"/>
        <w:autoSpaceDN w:val="0"/>
        <w:jc w:val="left"/>
        <w:rPr>
          <w:rFonts w:hint="eastAsia" w:ascii="黑体" w:hAnsi="宋体" w:eastAsia="宋体" w:cs="宋体"/>
          <w:b/>
          <w:kern w:val="0"/>
          <w:sz w:val="40"/>
          <w:szCs w:val="21"/>
        </w:rPr>
      </w:pPr>
    </w:p>
    <w:p w14:paraId="47BCA635">
      <w:pPr>
        <w:autoSpaceDE w:val="0"/>
        <w:autoSpaceDN w:val="0"/>
        <w:jc w:val="left"/>
        <w:rPr>
          <w:rFonts w:hint="eastAsia" w:ascii="黑体" w:hAnsi="宋体" w:eastAsia="宋体" w:cs="宋体"/>
          <w:b/>
          <w:kern w:val="0"/>
          <w:sz w:val="40"/>
          <w:szCs w:val="21"/>
        </w:rPr>
      </w:pPr>
    </w:p>
    <w:p w14:paraId="2B412CBA">
      <w:pPr>
        <w:autoSpaceDE w:val="0"/>
        <w:autoSpaceDN w:val="0"/>
        <w:jc w:val="left"/>
        <w:rPr>
          <w:rFonts w:hint="eastAsia" w:ascii="黑体" w:hAnsi="宋体" w:eastAsia="宋体" w:cs="宋体"/>
          <w:b/>
          <w:kern w:val="0"/>
          <w:sz w:val="40"/>
          <w:szCs w:val="21"/>
        </w:rPr>
      </w:pPr>
    </w:p>
    <w:p w14:paraId="7E5D9D81">
      <w:pPr>
        <w:autoSpaceDE w:val="0"/>
        <w:autoSpaceDN w:val="0"/>
        <w:jc w:val="left"/>
        <w:rPr>
          <w:rFonts w:hint="eastAsia" w:ascii="黑体" w:hAnsi="宋体" w:eastAsia="宋体" w:cs="宋体"/>
          <w:b/>
          <w:kern w:val="0"/>
          <w:sz w:val="40"/>
          <w:szCs w:val="21"/>
        </w:rPr>
      </w:pPr>
    </w:p>
    <w:p w14:paraId="68705812">
      <w:pPr>
        <w:autoSpaceDE w:val="0"/>
        <w:autoSpaceDN w:val="0"/>
        <w:jc w:val="left"/>
        <w:rPr>
          <w:rFonts w:hint="eastAsia" w:ascii="黑体" w:hAnsi="宋体" w:eastAsia="宋体" w:cs="宋体"/>
          <w:b/>
          <w:kern w:val="0"/>
          <w:sz w:val="40"/>
          <w:szCs w:val="21"/>
        </w:rPr>
      </w:pPr>
    </w:p>
    <w:p w14:paraId="7AA94EE8">
      <w:pPr>
        <w:autoSpaceDE w:val="0"/>
        <w:autoSpaceDN w:val="0"/>
        <w:jc w:val="left"/>
        <w:rPr>
          <w:rFonts w:hint="eastAsia" w:ascii="黑体" w:hAnsi="宋体" w:eastAsia="宋体" w:cs="宋体"/>
          <w:b/>
          <w:kern w:val="0"/>
          <w:sz w:val="40"/>
          <w:szCs w:val="21"/>
        </w:rPr>
      </w:pPr>
    </w:p>
    <w:p w14:paraId="51157630">
      <w:pPr>
        <w:autoSpaceDE w:val="0"/>
        <w:autoSpaceDN w:val="0"/>
        <w:jc w:val="left"/>
        <w:rPr>
          <w:rFonts w:hint="eastAsia" w:ascii="黑体" w:hAnsi="宋体" w:eastAsia="宋体" w:cs="宋体"/>
          <w:b/>
          <w:kern w:val="0"/>
          <w:sz w:val="40"/>
          <w:szCs w:val="21"/>
        </w:rPr>
      </w:pPr>
    </w:p>
    <w:p w14:paraId="04241F3A">
      <w:pPr>
        <w:autoSpaceDE w:val="0"/>
        <w:autoSpaceDN w:val="0"/>
        <w:jc w:val="left"/>
        <w:rPr>
          <w:rFonts w:hint="eastAsia" w:ascii="黑体" w:hAnsi="宋体" w:eastAsia="宋体" w:cs="宋体"/>
          <w:b/>
          <w:kern w:val="0"/>
          <w:sz w:val="40"/>
          <w:szCs w:val="21"/>
        </w:rPr>
      </w:pPr>
    </w:p>
    <w:p w14:paraId="5931BDD7">
      <w:pPr>
        <w:autoSpaceDE w:val="0"/>
        <w:autoSpaceDN w:val="0"/>
        <w:spacing w:before="7"/>
        <w:jc w:val="left"/>
        <w:rPr>
          <w:rFonts w:hint="eastAsia" w:ascii="黑体" w:hAnsi="宋体" w:eastAsia="宋体" w:cs="宋体"/>
          <w:b/>
          <w:kern w:val="0"/>
          <w:sz w:val="40"/>
          <w:szCs w:val="21"/>
        </w:rPr>
      </w:pPr>
    </w:p>
    <w:p w14:paraId="644CB39A">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宋体" w:eastAsia="黑体" w:cs="宋体"/>
          <w:spacing w:val="-2"/>
          <w:kern w:val="0"/>
          <w:sz w:val="28"/>
        </w:rPr>
      </w:pPr>
      <w:r>
        <w:rPr>
          <w:rFonts w:hint="eastAsia" w:ascii="Times New Roman" w:hAnsi="Times New Roman" w:eastAsia="黑体" w:cs="宋体"/>
          <w:spacing w:val="-2"/>
          <w:kern w:val="0"/>
          <w:sz w:val="28"/>
        </w:rPr>
        <w:t>202</w:t>
      </w:r>
      <w:r>
        <w:rPr>
          <w:rFonts w:hint="eastAsia" w:ascii="Times New Roman" w:hAnsi="Times New Roman" w:eastAsia="黑体" w:cs="宋体"/>
          <w:spacing w:val="-2"/>
          <w:kern w:val="0"/>
          <w:sz w:val="28"/>
          <w:lang w:val="en-US" w:eastAsia="zh-CN"/>
        </w:rPr>
        <w:t>6</w:t>
      </w:r>
      <w:r>
        <w:rPr>
          <w:rFonts w:hint="eastAsia" w:ascii="黑体" w:hAnsi="宋体" w:eastAsia="黑体" w:cs="宋体"/>
          <w:spacing w:val="-2"/>
          <w:kern w:val="0"/>
          <w:sz w:val="28"/>
        </w:rPr>
        <w:t>年</w:t>
      </w:r>
      <w:r>
        <w:rPr>
          <w:rFonts w:hint="eastAsia" w:ascii="黑体" w:hAnsi="宋体" w:eastAsia="黑体" w:cs="宋体"/>
          <w:spacing w:val="-2"/>
          <w:kern w:val="0"/>
          <w:sz w:val="28"/>
          <w:lang w:val="en-US" w:eastAsia="zh-CN"/>
        </w:rPr>
        <w:t>7</w:t>
      </w:r>
      <w:r>
        <w:rPr>
          <w:rFonts w:hint="eastAsia" w:ascii="黑体" w:hAnsi="宋体" w:eastAsia="黑体" w:cs="宋体"/>
          <w:spacing w:val="-2"/>
          <w:kern w:val="0"/>
          <w:sz w:val="28"/>
        </w:rPr>
        <w:t>月</w:t>
      </w:r>
    </w:p>
    <w:p w14:paraId="478799FC">
      <w:pPr>
        <w:autoSpaceDE w:val="0"/>
        <w:autoSpaceDN w:val="0"/>
        <w:ind w:right="814"/>
        <w:jc w:val="center"/>
        <w:rPr>
          <w:rFonts w:hint="eastAsia" w:ascii="黑体" w:hAnsi="宋体" w:eastAsia="黑体" w:cs="宋体"/>
          <w:spacing w:val="-40"/>
          <w:kern w:val="0"/>
          <w:sz w:val="28"/>
        </w:rPr>
        <w:sectPr>
          <w:footerReference r:id="rId3" w:type="default"/>
          <w:pgSz w:w="11906" w:h="16838"/>
          <w:pgMar w:top="1440" w:right="1800" w:bottom="1440" w:left="1800" w:header="851" w:footer="992" w:gutter="0"/>
          <w:cols w:space="425" w:num="1"/>
          <w:docGrid w:type="lines" w:linePitch="312" w:charSpace="0"/>
        </w:sectPr>
      </w:pPr>
    </w:p>
    <w:p w14:paraId="39B17599">
      <w:pPr>
        <w:keepNext w:val="0"/>
        <w:keepLines w:val="0"/>
        <w:pageBreakBefore w:val="0"/>
        <w:widowControl w:val="0"/>
        <w:tabs>
          <w:tab w:val="left" w:pos="803"/>
        </w:tabs>
        <w:kinsoku/>
        <w:wordWrap/>
        <w:overflowPunct/>
        <w:topLinePunct w:val="0"/>
        <w:autoSpaceDE w:val="0"/>
        <w:autoSpaceDN w:val="0"/>
        <w:bidi w:val="0"/>
        <w:adjustRightInd/>
        <w:snapToGrid w:val="0"/>
        <w:spacing w:line="360" w:lineRule="auto"/>
        <w:ind w:right="0"/>
        <w:jc w:val="center"/>
        <w:textAlignment w:val="auto"/>
        <w:rPr>
          <w:rFonts w:hint="eastAsia" w:ascii="黑体" w:hAnsi="宋体" w:eastAsia="黑体" w:cs="宋体"/>
          <w:b w:val="0"/>
          <w:bCs/>
          <w:spacing w:val="-10"/>
          <w:kern w:val="0"/>
          <w:sz w:val="32"/>
        </w:rPr>
      </w:pPr>
      <w:r>
        <w:rPr>
          <w:rFonts w:hint="eastAsia" w:ascii="黑体" w:hAnsi="宋体" w:eastAsia="黑体" w:cs="宋体"/>
          <w:b w:val="0"/>
          <w:bCs/>
          <w:spacing w:val="-10"/>
          <w:kern w:val="0"/>
          <w:sz w:val="32"/>
        </w:rPr>
        <w:t>目</w:t>
      </w:r>
      <w:r>
        <w:rPr>
          <w:rFonts w:hint="eastAsia" w:ascii="黑体" w:hAnsi="宋体" w:eastAsia="黑体" w:cs="宋体"/>
          <w:b w:val="0"/>
          <w:bCs/>
          <w:kern w:val="0"/>
          <w:sz w:val="32"/>
        </w:rPr>
        <w:tab/>
      </w:r>
      <w:r>
        <w:rPr>
          <w:rFonts w:hint="eastAsia" w:ascii="黑体" w:hAnsi="宋体" w:eastAsia="黑体" w:cs="宋体"/>
          <w:b w:val="0"/>
          <w:bCs/>
          <w:spacing w:val="-10"/>
          <w:kern w:val="0"/>
          <w:sz w:val="32"/>
        </w:rPr>
        <w:t>录</w:t>
      </w:r>
    </w:p>
    <w:p w14:paraId="5F1F8106">
      <w:pPr>
        <w:pStyle w:val="7"/>
        <w:tabs>
          <w:tab w:val="right" w:leader="dot" w:pos="8306"/>
        </w:tabs>
      </w:pPr>
      <w:r>
        <w:rPr>
          <w:b w:val="0"/>
          <w:bCs/>
          <w:sz w:val="32"/>
        </w:rPr>
        <w:fldChar w:fldCharType="begin"/>
      </w:r>
      <w:r>
        <w:rPr>
          <w:b w:val="0"/>
          <w:bCs/>
          <w:sz w:val="32"/>
        </w:rPr>
        <w:instrText xml:space="preserve"> TOC \o "1-1" \h \z \u </w:instrText>
      </w:r>
      <w:r>
        <w:rPr>
          <w:b w:val="0"/>
          <w:bCs/>
          <w:sz w:val="32"/>
        </w:rPr>
        <w:fldChar w:fldCharType="separate"/>
      </w:r>
      <w:r>
        <w:rPr>
          <w:bCs/>
        </w:rPr>
        <w:fldChar w:fldCharType="begin"/>
      </w:r>
      <w:r>
        <w:rPr>
          <w:bCs/>
        </w:rPr>
        <w:instrText xml:space="preserve"> HYPERLINK \l _Toc31703 </w:instrText>
      </w:r>
      <w:r>
        <w:rPr>
          <w:bCs/>
        </w:rPr>
        <w:fldChar w:fldCharType="separate"/>
      </w:r>
      <w:r>
        <w:rPr>
          <w:rFonts w:hint="default" w:ascii="黑体" w:hAnsi="黑体" w:eastAsia="黑体" w:cs="黑体"/>
          <w:bCs w:val="0"/>
          <w:i w:val="0"/>
          <w:iCs w:val="0"/>
          <w:spacing w:val="-2"/>
          <w:w w:val="98"/>
          <w:kern w:val="0"/>
          <w:szCs w:val="28"/>
          <w:lang w:val="en-US" w:eastAsia="en-US"/>
        </w:rPr>
        <w:t xml:space="preserve">1 </w:t>
      </w:r>
      <w:r>
        <w:rPr>
          <w:rFonts w:hint="eastAsia" w:ascii="黑体" w:hAnsi="黑体" w:eastAsia="黑体" w:cs="黑体"/>
          <w:bCs w:val="0"/>
          <w:spacing w:val="-2"/>
          <w:w w:val="95"/>
          <w:kern w:val="0"/>
          <w:szCs w:val="28"/>
          <w:lang w:val="en-US" w:eastAsia="zh-CN"/>
        </w:rPr>
        <w:t>引言</w:t>
      </w:r>
      <w:r>
        <w:tab/>
      </w:r>
      <w:r>
        <w:fldChar w:fldCharType="begin"/>
      </w:r>
      <w:r>
        <w:instrText xml:space="preserve"> PAGEREF _Toc31703 \h </w:instrText>
      </w:r>
      <w:r>
        <w:fldChar w:fldCharType="separate"/>
      </w:r>
      <w:r>
        <w:t>3</w:t>
      </w:r>
      <w:r>
        <w:fldChar w:fldCharType="end"/>
      </w:r>
      <w:r>
        <w:rPr>
          <w:bCs/>
        </w:rPr>
        <w:fldChar w:fldCharType="end"/>
      </w:r>
    </w:p>
    <w:p w14:paraId="2CCA4924">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_Toc28136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2 </w:t>
      </w:r>
      <w:r>
        <w:rPr>
          <w:rFonts w:hint="eastAsia" w:ascii="黑体" w:hAnsi="黑体" w:eastAsia="黑体" w:cs="黑体"/>
          <w:bCs w:val="0"/>
          <w:spacing w:val="-2"/>
          <w:w w:val="95"/>
          <w:kern w:val="0"/>
          <w:szCs w:val="28"/>
          <w:lang w:val="en-US" w:eastAsia="en-US"/>
        </w:rPr>
        <w:t>适用</w:t>
      </w:r>
      <w:r>
        <w:rPr>
          <w:rFonts w:hint="eastAsia" w:ascii="黑体" w:hAnsi="黑体" w:eastAsia="黑体" w:cs="黑体"/>
          <w:bCs w:val="0"/>
          <w:spacing w:val="-2"/>
          <w:w w:val="95"/>
          <w:kern w:val="0"/>
          <w:szCs w:val="28"/>
          <w:lang w:val="en-US" w:eastAsia="zh-CN"/>
        </w:rPr>
        <w:t>范围</w:t>
      </w:r>
      <w:r>
        <w:tab/>
      </w:r>
      <w:r>
        <w:fldChar w:fldCharType="begin"/>
      </w:r>
      <w:r>
        <w:instrText xml:space="preserve"> PAGEREF _Toc28136 \h </w:instrText>
      </w:r>
      <w:r>
        <w:fldChar w:fldCharType="separate"/>
      </w:r>
      <w:r>
        <w:t>3</w:t>
      </w:r>
      <w:r>
        <w:fldChar w:fldCharType="end"/>
      </w:r>
      <w:r>
        <w:rPr>
          <w:rFonts w:ascii="Times New Roman" w:hAnsi="Times New Roman" w:eastAsia="宋体" w:cs="Times New Roman"/>
          <w:bCs/>
          <w:kern w:val="0"/>
        </w:rPr>
        <w:fldChar w:fldCharType="end"/>
      </w:r>
    </w:p>
    <w:p w14:paraId="7C247787">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_Toc10727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3 </w:t>
      </w:r>
      <w:r>
        <w:rPr>
          <w:rFonts w:hint="eastAsia" w:ascii="黑体" w:hAnsi="黑体" w:eastAsia="黑体" w:cs="黑体"/>
          <w:bCs w:val="0"/>
          <w:spacing w:val="-2"/>
          <w:w w:val="95"/>
          <w:kern w:val="0"/>
          <w:szCs w:val="28"/>
          <w:lang w:val="en-US" w:eastAsia="en-US"/>
        </w:rPr>
        <w:t>引用文件</w:t>
      </w:r>
      <w:r>
        <w:tab/>
      </w:r>
      <w:r>
        <w:fldChar w:fldCharType="begin"/>
      </w:r>
      <w:r>
        <w:instrText xml:space="preserve"> PAGEREF _Toc10727 \h </w:instrText>
      </w:r>
      <w:r>
        <w:fldChar w:fldCharType="separate"/>
      </w:r>
      <w:r>
        <w:t>4</w:t>
      </w:r>
      <w:r>
        <w:fldChar w:fldCharType="end"/>
      </w:r>
      <w:r>
        <w:rPr>
          <w:rFonts w:ascii="Times New Roman" w:hAnsi="Times New Roman" w:eastAsia="宋体" w:cs="Times New Roman"/>
          <w:bCs/>
          <w:kern w:val="0"/>
        </w:rPr>
        <w:fldChar w:fldCharType="end"/>
      </w:r>
    </w:p>
    <w:p w14:paraId="79FF6C49">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_Toc17926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4 </w:t>
      </w:r>
      <w:r>
        <w:rPr>
          <w:rFonts w:hint="eastAsia" w:ascii="黑体" w:hAnsi="黑体" w:eastAsia="黑体" w:cs="黑体"/>
          <w:bCs w:val="0"/>
          <w:spacing w:val="-2"/>
          <w:w w:val="95"/>
          <w:kern w:val="0"/>
          <w:szCs w:val="28"/>
          <w:lang w:val="en-US" w:eastAsia="en-US"/>
        </w:rPr>
        <w:t>术语和定义</w:t>
      </w:r>
      <w:r>
        <w:tab/>
      </w:r>
      <w:r>
        <w:fldChar w:fldCharType="begin"/>
      </w:r>
      <w:r>
        <w:instrText xml:space="preserve"> PAGEREF _Toc17926 \h </w:instrText>
      </w:r>
      <w:r>
        <w:fldChar w:fldCharType="separate"/>
      </w:r>
      <w:r>
        <w:t>4</w:t>
      </w:r>
      <w:r>
        <w:fldChar w:fldCharType="end"/>
      </w:r>
      <w:r>
        <w:rPr>
          <w:rFonts w:ascii="Times New Roman" w:hAnsi="Times New Roman" w:eastAsia="宋体" w:cs="Times New Roman"/>
          <w:bCs/>
          <w:kern w:val="0"/>
        </w:rPr>
        <w:fldChar w:fldCharType="end"/>
      </w:r>
    </w:p>
    <w:p w14:paraId="10165D75">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_Toc11594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5 </w:t>
      </w:r>
      <w:r>
        <w:rPr>
          <w:rFonts w:hint="eastAsia" w:ascii="黑体" w:hAnsi="黑体" w:eastAsia="黑体" w:cs="黑体"/>
          <w:bCs w:val="0"/>
          <w:spacing w:val="-2"/>
          <w:w w:val="95"/>
          <w:kern w:val="0"/>
          <w:szCs w:val="28"/>
          <w:lang w:val="en-US" w:eastAsia="zh-CN"/>
        </w:rPr>
        <w:t>基本要求</w:t>
      </w:r>
      <w:r>
        <w:tab/>
      </w:r>
      <w:r>
        <w:fldChar w:fldCharType="begin"/>
      </w:r>
      <w:r>
        <w:instrText xml:space="preserve"> PAGEREF _Toc11594 \h </w:instrText>
      </w:r>
      <w:r>
        <w:fldChar w:fldCharType="separate"/>
      </w:r>
      <w:r>
        <w:t>5</w:t>
      </w:r>
      <w:r>
        <w:fldChar w:fldCharType="end"/>
      </w:r>
      <w:r>
        <w:rPr>
          <w:rFonts w:ascii="Times New Roman" w:hAnsi="Times New Roman" w:eastAsia="宋体" w:cs="Times New Roman"/>
          <w:bCs/>
          <w:kern w:val="0"/>
        </w:rPr>
        <w:fldChar w:fldCharType="end"/>
      </w:r>
    </w:p>
    <w:p w14:paraId="7F4AB576">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_Toc201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6 </w:t>
      </w:r>
      <w:r>
        <w:rPr>
          <w:rFonts w:hint="eastAsia" w:ascii="黑体" w:hAnsi="黑体" w:eastAsia="黑体" w:cs="黑体"/>
          <w:bCs w:val="0"/>
          <w:spacing w:val="-2"/>
          <w:w w:val="95"/>
          <w:kern w:val="0"/>
          <w:szCs w:val="28"/>
          <w:highlight w:val="none"/>
          <w:lang w:val="en-US" w:eastAsia="zh-CN"/>
        </w:rPr>
        <w:t>核算边界及排放源</w:t>
      </w:r>
      <w:r>
        <w:tab/>
      </w:r>
      <w:r>
        <w:fldChar w:fldCharType="begin"/>
      </w:r>
      <w:r>
        <w:instrText xml:space="preserve"> PAGEREF _Toc201 \h </w:instrText>
      </w:r>
      <w:r>
        <w:fldChar w:fldCharType="separate"/>
      </w:r>
      <w:r>
        <w:t>6</w:t>
      </w:r>
      <w:r>
        <w:fldChar w:fldCharType="end"/>
      </w:r>
      <w:r>
        <w:rPr>
          <w:rFonts w:ascii="Times New Roman" w:hAnsi="Times New Roman" w:eastAsia="宋体" w:cs="Times New Roman"/>
          <w:bCs/>
          <w:kern w:val="0"/>
        </w:rPr>
        <w:fldChar w:fldCharType="end"/>
      </w:r>
    </w:p>
    <w:p w14:paraId="572D0DB6">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_Toc30167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7 </w:t>
      </w:r>
      <w:r>
        <w:rPr>
          <w:rFonts w:hint="eastAsia" w:ascii="黑体" w:hAnsi="黑体" w:eastAsia="黑体" w:cs="黑体"/>
          <w:bCs w:val="0"/>
          <w:spacing w:val="-2"/>
          <w:w w:val="95"/>
          <w:kern w:val="0"/>
          <w:szCs w:val="28"/>
          <w:lang w:val="en-US" w:eastAsia="zh-CN"/>
        </w:rPr>
        <w:t>减排量计算</w:t>
      </w:r>
      <w:r>
        <w:tab/>
      </w:r>
      <w:r>
        <w:fldChar w:fldCharType="begin"/>
      </w:r>
      <w:r>
        <w:instrText xml:space="preserve"> PAGEREF _Toc30167 \h </w:instrText>
      </w:r>
      <w:r>
        <w:fldChar w:fldCharType="separate"/>
      </w:r>
      <w:r>
        <w:t>6</w:t>
      </w:r>
      <w:r>
        <w:fldChar w:fldCharType="end"/>
      </w:r>
      <w:r>
        <w:rPr>
          <w:rFonts w:ascii="Times New Roman" w:hAnsi="Times New Roman" w:eastAsia="宋体" w:cs="Times New Roman"/>
          <w:bCs/>
          <w:kern w:val="0"/>
        </w:rPr>
        <w:fldChar w:fldCharType="end"/>
      </w:r>
    </w:p>
    <w:p w14:paraId="76F0A536">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_Toc26042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8 </w:t>
      </w:r>
      <w:r>
        <w:rPr>
          <w:rFonts w:hint="eastAsia" w:ascii="黑体" w:hAnsi="黑体" w:eastAsia="黑体" w:cs="黑体"/>
          <w:bCs w:val="0"/>
          <w:spacing w:val="-2"/>
          <w:w w:val="95"/>
          <w:kern w:val="0"/>
          <w:szCs w:val="28"/>
          <w:lang w:val="en-US" w:eastAsia="zh-CN"/>
        </w:rPr>
        <w:t>数据来源监测</w:t>
      </w:r>
      <w:r>
        <w:tab/>
      </w:r>
      <w:r>
        <w:fldChar w:fldCharType="begin"/>
      </w:r>
      <w:r>
        <w:instrText xml:space="preserve"> PAGEREF _Toc26042 \h </w:instrText>
      </w:r>
      <w:r>
        <w:fldChar w:fldCharType="separate"/>
      </w:r>
      <w:r>
        <w:t>9</w:t>
      </w:r>
      <w:r>
        <w:fldChar w:fldCharType="end"/>
      </w:r>
      <w:r>
        <w:rPr>
          <w:rFonts w:ascii="Times New Roman" w:hAnsi="Times New Roman" w:eastAsia="宋体" w:cs="Times New Roman"/>
          <w:bCs/>
          <w:kern w:val="0"/>
        </w:rPr>
        <w:fldChar w:fldCharType="end"/>
      </w:r>
    </w:p>
    <w:p w14:paraId="4FD475E2">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_Toc4058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9 </w:t>
      </w:r>
      <w:r>
        <w:rPr>
          <w:rFonts w:hint="eastAsia" w:ascii="黑体" w:hAnsi="黑体" w:eastAsia="黑体" w:cs="黑体"/>
          <w:bCs w:val="0"/>
          <w:spacing w:val="-2"/>
          <w:w w:val="95"/>
          <w:kern w:val="0"/>
          <w:szCs w:val="28"/>
          <w:highlight w:val="none"/>
          <w:lang w:val="en-US" w:eastAsia="zh-CN"/>
        </w:rPr>
        <w:t>项目审定与核查要点</w:t>
      </w:r>
      <w:r>
        <w:tab/>
      </w:r>
      <w:r>
        <w:fldChar w:fldCharType="begin"/>
      </w:r>
      <w:r>
        <w:instrText xml:space="preserve"> PAGEREF _Toc4058 \h </w:instrText>
      </w:r>
      <w:r>
        <w:fldChar w:fldCharType="separate"/>
      </w:r>
      <w:r>
        <w:t>10</w:t>
      </w:r>
      <w:r>
        <w:fldChar w:fldCharType="end"/>
      </w:r>
      <w:r>
        <w:rPr>
          <w:rFonts w:ascii="Times New Roman" w:hAnsi="Times New Roman" w:eastAsia="宋体" w:cs="Times New Roman"/>
          <w:bCs/>
          <w:kern w:val="0"/>
        </w:rPr>
        <w:fldChar w:fldCharType="end"/>
      </w:r>
    </w:p>
    <w:p w14:paraId="07681C9F">
      <w:pPr>
        <w:tabs>
          <w:tab w:val="left" w:pos="803"/>
        </w:tabs>
        <w:autoSpaceDE w:val="0"/>
        <w:autoSpaceDN w:val="0"/>
        <w:spacing w:before="54"/>
        <w:ind w:right="1100"/>
        <w:jc w:val="center"/>
        <w:rPr>
          <w:rFonts w:hint="eastAsia" w:ascii="黑体" w:hAnsi="宋体" w:eastAsia="黑体" w:cs="宋体"/>
          <w:b/>
          <w:kern w:val="0"/>
          <w:sz w:val="32"/>
        </w:rPr>
      </w:pPr>
      <w:r>
        <w:rPr>
          <w:rFonts w:ascii="Times New Roman" w:hAnsi="Times New Roman" w:eastAsia="宋体" w:cs="Times New Roman"/>
          <w:bCs/>
          <w:kern w:val="0"/>
        </w:rPr>
        <w:fldChar w:fldCharType="end"/>
      </w:r>
    </w:p>
    <w:p w14:paraId="303DE857">
      <w:pPr>
        <w:tabs>
          <w:tab w:val="left" w:pos="563"/>
          <w:tab w:val="left" w:pos="564"/>
          <w:tab w:val="right" w:leader="dot" w:pos="8427"/>
        </w:tabs>
        <w:autoSpaceDE w:val="0"/>
        <w:autoSpaceDN w:val="0"/>
        <w:spacing w:before="855"/>
        <w:jc w:val="left"/>
        <w:rPr>
          <w:rFonts w:hint="eastAsia" w:ascii="黑体" w:hAnsi="宋体" w:eastAsia="黑体" w:cs="宋体"/>
          <w:kern w:val="0"/>
          <w:sz w:val="28"/>
          <w:lang w:eastAsia="en-US"/>
        </w:rPr>
        <w:sectPr>
          <w:footerReference r:id="rId4" w:type="default"/>
          <w:pgSz w:w="11906" w:h="16838"/>
          <w:pgMar w:top="1440" w:right="1800" w:bottom="1440" w:left="1800" w:header="851" w:footer="992" w:gutter="0"/>
          <w:cols w:space="425" w:num="1"/>
          <w:docGrid w:type="lines" w:linePitch="312" w:charSpace="0"/>
        </w:sectPr>
      </w:pPr>
    </w:p>
    <w:p w14:paraId="10D3CC07">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Chars="0"/>
        <w:jc w:val="center"/>
        <w:textAlignment w:val="auto"/>
        <w:outlineLvl w:val="9"/>
        <w:rPr>
          <w:rFonts w:hint="eastAsia" w:ascii="黑体" w:hAnsi="黑体" w:eastAsia="黑体" w:cs="黑体"/>
          <w:b w:val="0"/>
          <w:bCs w:val="0"/>
          <w:spacing w:val="-2"/>
          <w:w w:val="95"/>
          <w:kern w:val="0"/>
          <w:sz w:val="52"/>
          <w:szCs w:val="52"/>
          <w:lang w:eastAsia="en-US"/>
        </w:rPr>
      </w:pPr>
      <w:bookmarkStart w:id="0" w:name="_Toc170134103"/>
      <w:r>
        <w:rPr>
          <w:rFonts w:hint="eastAsia" w:ascii="黑体" w:hAnsi="黑体" w:eastAsia="黑体" w:cs="黑体"/>
          <w:b w:val="0"/>
          <w:bCs w:val="0"/>
          <w:spacing w:val="-2"/>
          <w:w w:val="95"/>
          <w:kern w:val="0"/>
          <w:sz w:val="52"/>
          <w:szCs w:val="52"/>
          <w:lang w:eastAsia="en-US"/>
        </w:rPr>
        <w:t>南京市电化学储能电站碳普惠方法学</w:t>
      </w:r>
    </w:p>
    <w:p w14:paraId="674A43B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 w:name="_Toc31703"/>
      <w:r>
        <w:rPr>
          <w:rFonts w:hint="eastAsia" w:ascii="黑体" w:hAnsi="黑体" w:eastAsia="黑体" w:cs="黑体"/>
          <w:b w:val="0"/>
          <w:bCs w:val="0"/>
          <w:spacing w:val="-2"/>
          <w:w w:val="95"/>
          <w:kern w:val="0"/>
          <w:sz w:val="28"/>
          <w:szCs w:val="28"/>
          <w:lang w:val="en-US" w:eastAsia="zh-CN"/>
        </w:rPr>
        <w:t>引言</w:t>
      </w:r>
      <w:bookmarkEnd w:id="1"/>
    </w:p>
    <w:p w14:paraId="3F8C5D8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为深入贯彻落实国家“双碳”战略部署，充分发挥能源企业在构建新型电力系统中的支撑作用，进一步挖掘和量化电化学储能电站的碳减排贡献，国网南京供电公司积极探索建立符合本地实际的碳普惠机制。在此背景下，特编制《南京市电化学储能电站碳普惠方法学》。</w:t>
      </w:r>
    </w:p>
    <w:p w14:paraId="2EBB141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本方法学紧密贴合电化学储能电站的运行实际与南京市碳普惠体系建设要求，经过储能领域专家学者及多方利益相关者的深入研讨与反复论证，确保了内容的科学性、合理性与可操作性。其旨在通过科学量化储能项目的温室气体减排贡献，打通电化学储能参与碳普惠交易的路径，以市场化机制激发储能设施建设与运行的积极性。</w:t>
      </w:r>
    </w:p>
    <w:p w14:paraId="49191DE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highlight w:val="none"/>
          <w:lang w:val="en-US" w:eastAsia="zh-CN"/>
        </w:rPr>
      </w:pPr>
      <w:r>
        <w:rPr>
          <w:rFonts w:hint="eastAsia" w:ascii="宋体" w:hAnsi="宋体" w:eastAsia="宋体" w:cs="宋体"/>
          <w:kern w:val="0"/>
          <w:sz w:val="28"/>
          <w:szCs w:val="28"/>
          <w:lang w:val="en-US" w:eastAsia="zh-CN"/>
        </w:rPr>
        <w:t>本方法学适用于南京市行政区域内投建的电化学储能电站项目。项目活动需具备显著的环境效益，能够提供优于或等同于基准线情景的新能源消纳与削峰填谷效果</w:t>
      </w:r>
      <w:r>
        <w:rPr>
          <w:rFonts w:hint="eastAsia" w:ascii="宋体" w:hAnsi="宋体" w:eastAsia="宋体" w:cs="宋体"/>
          <w:kern w:val="0"/>
          <w:sz w:val="28"/>
          <w:szCs w:val="28"/>
          <w:highlight w:val="none"/>
          <w:lang w:val="en-US" w:eastAsia="zh-CN"/>
        </w:rPr>
        <w:t>。基准线情景设定为区域电网无电化学储能电站投运、仅依靠传统火电等常规电源开展削峰填谷、就地消纳新能源电量的常规电网运行调度情景，以此作为计算温室气体减排量的基础依据。</w:t>
      </w:r>
    </w:p>
    <w:p w14:paraId="75F42F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2" w:name="_Toc28136"/>
      <w:r>
        <w:rPr>
          <w:rFonts w:hint="eastAsia" w:ascii="黑体" w:hAnsi="黑体" w:eastAsia="黑体" w:cs="黑体"/>
          <w:b w:val="0"/>
          <w:bCs w:val="0"/>
          <w:spacing w:val="-2"/>
          <w:w w:val="95"/>
          <w:kern w:val="0"/>
          <w:sz w:val="28"/>
          <w:szCs w:val="28"/>
          <w:lang w:val="en-US" w:eastAsia="en-US"/>
        </w:rPr>
        <w:t>适用</w:t>
      </w:r>
      <w:bookmarkEnd w:id="0"/>
      <w:r>
        <w:rPr>
          <w:rFonts w:hint="eastAsia" w:ascii="黑体" w:hAnsi="黑体" w:eastAsia="黑体" w:cs="黑体"/>
          <w:b w:val="0"/>
          <w:bCs w:val="0"/>
          <w:spacing w:val="-2"/>
          <w:w w:val="95"/>
          <w:kern w:val="0"/>
          <w:sz w:val="28"/>
          <w:szCs w:val="28"/>
          <w:lang w:val="en-US" w:eastAsia="zh-CN"/>
        </w:rPr>
        <w:t>范围</w:t>
      </w:r>
      <w:bookmarkEnd w:id="2"/>
    </w:p>
    <w:p w14:paraId="79F8935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bookmarkStart w:id="3" w:name="_Toc170134104"/>
      <w:r>
        <w:rPr>
          <w:rFonts w:hint="eastAsia" w:ascii="宋体" w:hAnsi="宋体" w:eastAsia="宋体" w:cs="宋体"/>
          <w:kern w:val="0"/>
          <w:sz w:val="28"/>
          <w:szCs w:val="28"/>
          <w:lang w:val="en-US" w:eastAsia="zh-CN"/>
        </w:rPr>
        <w:t>本方法学适用于南京市行政区域内完成备案、并网的电化学储能电站，电化学储能电站应与所在电网有独立的集电线路相连，且电量可以单独计量，本适用项目需同时满足以下条件：</w:t>
      </w:r>
    </w:p>
    <w:p w14:paraId="7FFD171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a）</w:t>
      </w:r>
      <w:r>
        <w:rPr>
          <w:rFonts w:hint="default" w:ascii="Times New Roman" w:hAnsi="Times New Roman" w:eastAsia="宋体" w:cs="Times New Roman"/>
          <w:kern w:val="0"/>
          <w:sz w:val="28"/>
          <w:szCs w:val="28"/>
          <w:lang w:val="en-US" w:eastAsia="zh-CN"/>
        </w:rPr>
        <w:t xml:space="preserve"> 本方法学适用范围包含独立电化学储能电站、新能源电站配套储能电站两类项目；</w:t>
      </w:r>
    </w:p>
    <w:p w14:paraId="4F542F3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b</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 xml:space="preserve"> 仅核算由于电化学储能电站充放电过程带来的消纳新能源和削峰填谷产生的碳减排量；</w:t>
      </w:r>
    </w:p>
    <w:p w14:paraId="4A6D08C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c） 分时核算过程中若计算得出负减排量，当期减排量统一计为0，负差值不得结转至后续核算周期抵扣；</w:t>
      </w:r>
    </w:p>
    <w:p w14:paraId="517FA61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d） 项目依法合规完成备案、建设、并网及后续运营，符合电力行业安全运行、并网管理及南京市碳普惠体系相关管理规定。</w:t>
      </w:r>
    </w:p>
    <w:p w14:paraId="5CE3C2F9">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4" w:name="_Toc10727"/>
      <w:r>
        <w:rPr>
          <w:rFonts w:hint="eastAsia" w:ascii="黑体" w:hAnsi="黑体" w:eastAsia="黑体" w:cs="黑体"/>
          <w:b w:val="0"/>
          <w:bCs w:val="0"/>
          <w:spacing w:val="-2"/>
          <w:w w:val="95"/>
          <w:kern w:val="0"/>
          <w:sz w:val="28"/>
          <w:szCs w:val="28"/>
          <w:lang w:val="en-US" w:eastAsia="en-US"/>
        </w:rPr>
        <w:t>引用文件</w:t>
      </w:r>
      <w:bookmarkEnd w:id="3"/>
      <w:bookmarkEnd w:id="4"/>
    </w:p>
    <w:p w14:paraId="28BBB8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本方法学引用了下列文件或其中的条款。凡是注日期的引用文件，仅注日期的版本适用于本方法学。凡是未注日期的引用文件，其有效版本（包括所有的修改单）适用于本方法学。</w:t>
      </w:r>
    </w:p>
    <w:p w14:paraId="06AC019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left="0" w:leftChars="0" w:firstLine="560" w:firstLineChars="200"/>
        <w:jc w:val="both"/>
        <w:textAlignment w:val="auto"/>
        <w:rPr>
          <w:rFonts w:hint="default" w:ascii="Times New Roman" w:hAnsi="Times New Roman" w:eastAsia="宋体" w:cs="Times New Roman"/>
          <w:kern w:val="0"/>
          <w:sz w:val="28"/>
          <w:szCs w:val="28"/>
        </w:rPr>
      </w:pPr>
      <w:bookmarkStart w:id="5" w:name="_Toc170134105"/>
      <w:r>
        <w:rPr>
          <w:rFonts w:hint="default" w:ascii="Times New Roman" w:hAnsi="Times New Roman" w:eastAsia="宋体" w:cs="Times New Roman"/>
          <w:kern w:val="0"/>
          <w:sz w:val="28"/>
          <w:szCs w:val="28"/>
        </w:rPr>
        <w:t>CNCA—CCER—01</w:t>
      </w:r>
      <w:r>
        <w:rPr>
          <w:rFonts w:hint="default"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rPr>
        <w:t>温室气体自愿减排项目审定与减排量核查实施规则</w:t>
      </w:r>
    </w:p>
    <w:p w14:paraId="0944ABC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left="0" w:leftChars="0"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rPr>
        <w:t>GB/T 31464</w:t>
      </w:r>
      <w:r>
        <w:rPr>
          <w:rFonts w:hint="default" w:ascii="Times New Roman" w:hAnsi="Times New Roman" w:eastAsia="宋体" w:cs="Times New Roman"/>
          <w:kern w:val="0"/>
          <w:sz w:val="28"/>
          <w:szCs w:val="28"/>
          <w:lang w:val="en-US" w:eastAsia="zh-CN"/>
        </w:rPr>
        <w:t xml:space="preserve">  电网运行准则</w:t>
      </w:r>
    </w:p>
    <w:p w14:paraId="70DC824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left="0" w:leftChars="0"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 xml:space="preserve">GB/T 33760 </w:t>
      </w:r>
      <w:r>
        <w:rPr>
          <w:rFonts w:hint="default"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rPr>
        <w:t>基于项目的温室气体减排量评估技术规范 通用要求</w:t>
      </w:r>
    </w:p>
    <w:p w14:paraId="1BE6829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left="0" w:leftChars="0"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rPr>
        <w:t>DL/T 2528</w:t>
      </w:r>
      <w:r>
        <w:rPr>
          <w:rFonts w:hint="default" w:ascii="Times New Roman" w:hAnsi="Times New Roman" w:eastAsia="宋体" w:cs="Times New Roman"/>
          <w:kern w:val="0"/>
          <w:sz w:val="28"/>
          <w:szCs w:val="28"/>
          <w:lang w:val="en-US" w:eastAsia="zh-CN"/>
        </w:rPr>
        <w:t xml:space="preserve">  电力储能基本术语</w:t>
      </w:r>
    </w:p>
    <w:p w14:paraId="659BC1A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left="0" w:leftChars="0"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 xml:space="preserve">ISO 14064-2 </w:t>
      </w:r>
      <w:r>
        <w:rPr>
          <w:rFonts w:hint="default"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rPr>
        <w:t>温室气体第二部分 项目层次上对温室气体减排和清除增加的量化、监测和</w:t>
      </w:r>
      <w:r>
        <w:rPr>
          <w:rFonts w:hint="default" w:ascii="Times New Roman" w:hAnsi="Times New Roman" w:eastAsia="宋体" w:cs="Times New Roman"/>
          <w:kern w:val="0"/>
          <w:sz w:val="28"/>
          <w:szCs w:val="28"/>
          <w:lang w:eastAsia="zh-CN"/>
        </w:rPr>
        <w:t>报告</w:t>
      </w:r>
      <w:r>
        <w:rPr>
          <w:rFonts w:hint="default" w:ascii="Times New Roman" w:hAnsi="Times New Roman" w:eastAsia="宋体" w:cs="Times New Roman"/>
          <w:kern w:val="0"/>
          <w:sz w:val="28"/>
          <w:szCs w:val="28"/>
        </w:rPr>
        <w:t>的规范及指南</w:t>
      </w:r>
    </w:p>
    <w:p w14:paraId="1D3CBE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6" w:name="_Toc17926"/>
      <w:r>
        <w:rPr>
          <w:rFonts w:hint="eastAsia" w:ascii="黑体" w:hAnsi="黑体" w:eastAsia="黑体" w:cs="黑体"/>
          <w:b w:val="0"/>
          <w:bCs w:val="0"/>
          <w:spacing w:val="-2"/>
          <w:w w:val="95"/>
          <w:kern w:val="0"/>
          <w:sz w:val="28"/>
          <w:szCs w:val="28"/>
          <w:lang w:val="en-US" w:eastAsia="en-US"/>
        </w:rPr>
        <w:t>术语和定义</w:t>
      </w:r>
      <w:bookmarkEnd w:id="5"/>
      <w:bookmarkEnd w:id="6"/>
    </w:p>
    <w:p w14:paraId="7EC79C8A">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7" w:name="3.1"/>
      <w:bookmarkEnd w:id="7"/>
      <w:r>
        <w:rPr>
          <w:rFonts w:hint="eastAsia" w:cs="宋体"/>
          <w:b w:val="0"/>
          <w:bCs/>
          <w:spacing w:val="-5"/>
          <w:sz w:val="28"/>
          <w:szCs w:val="28"/>
          <w:lang w:val="en-US" w:eastAsia="zh-CN"/>
        </w:rPr>
        <w:t>4.1 电化学储能电站</w:t>
      </w:r>
    </w:p>
    <w:p w14:paraId="71742FF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电能存储采用电化学储能介质的储能电站。电化学储能类型主要包括锂离子电池储能、铅酸/铅炭电池储能、液流电池储能、钠离子电池储能、钠硫电池储能、燃料电池储能等。</w:t>
      </w:r>
    </w:p>
    <w:p w14:paraId="2AF914B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[来源：DL/T 2528，3</w:t>
      </w:r>
      <w:r>
        <w:rPr>
          <w:rFonts w:hint="default" w:ascii="Times New Roman" w:hAnsi="Times New Roman" w:eastAsia="宋体" w:cs="Times New Roman"/>
          <w:kern w:val="0"/>
          <w:sz w:val="28"/>
          <w:szCs w:val="28"/>
          <w:lang w:val="en-US" w:eastAsia="zh-CN"/>
        </w:rPr>
        <w:t>.2.1.1</w:t>
      </w:r>
      <w:r>
        <w:rPr>
          <w:rFonts w:hint="default" w:ascii="Times New Roman" w:hAnsi="Times New Roman" w:eastAsia="宋体" w:cs="Times New Roman"/>
          <w:kern w:val="0"/>
          <w:sz w:val="28"/>
          <w:szCs w:val="28"/>
        </w:rPr>
        <w:t>]</w:t>
      </w:r>
    </w:p>
    <w:p w14:paraId="5B18692E">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4.2 调峰</w:t>
      </w:r>
    </w:p>
    <w:p w14:paraId="1D655DEF">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储能电站在用电高峰时段释放电能、在用电低谷时段存储电能的一种运行模式。</w:t>
      </w:r>
    </w:p>
    <w:p w14:paraId="02BC0D2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default" w:ascii="Times New Roman" w:hAnsi="Times New Roman" w:eastAsia="宋体" w:cs="Times New Roman"/>
          <w:kern w:val="0"/>
          <w:sz w:val="28"/>
          <w:szCs w:val="28"/>
        </w:rPr>
        <w:t>[来源：DL/T 2528，3</w:t>
      </w:r>
      <w:r>
        <w:rPr>
          <w:rFonts w:hint="default" w:ascii="Times New Roman" w:hAnsi="Times New Roman" w:eastAsia="宋体" w:cs="Times New Roman"/>
          <w:kern w:val="0"/>
          <w:sz w:val="28"/>
          <w:szCs w:val="28"/>
          <w:lang w:val="en-US" w:eastAsia="zh-CN"/>
        </w:rPr>
        <w:t>.</w:t>
      </w:r>
      <w:r>
        <w:rPr>
          <w:rFonts w:hint="eastAsia" w:ascii="Times New Roman" w:hAnsi="Times New Roman" w:eastAsia="宋体" w:cs="Times New Roman"/>
          <w:kern w:val="0"/>
          <w:sz w:val="28"/>
          <w:szCs w:val="28"/>
          <w:lang w:val="en-US" w:eastAsia="zh-CN"/>
        </w:rPr>
        <w:t>3</w:t>
      </w:r>
      <w:r>
        <w:rPr>
          <w:rFonts w:hint="default" w:ascii="Times New Roman" w:hAnsi="Times New Roman" w:eastAsia="宋体" w:cs="Times New Roman"/>
          <w:kern w:val="0"/>
          <w:sz w:val="28"/>
          <w:szCs w:val="28"/>
          <w:lang w:val="en-US" w:eastAsia="zh-CN"/>
        </w:rPr>
        <w:t>.1</w:t>
      </w:r>
      <w:r>
        <w:rPr>
          <w:rFonts w:hint="default" w:ascii="Times New Roman" w:hAnsi="Times New Roman" w:eastAsia="宋体" w:cs="Times New Roman"/>
          <w:kern w:val="0"/>
          <w:sz w:val="28"/>
          <w:szCs w:val="28"/>
        </w:rPr>
        <w:t>]</w:t>
      </w:r>
    </w:p>
    <w:p w14:paraId="6E1B7E7E">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4.3 储能电站的装机容量</w:t>
      </w:r>
    </w:p>
    <w:p w14:paraId="4DEBC06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在储能电站额定输入/输出功率下储能电站额定输入/输出能量。</w:t>
      </w:r>
    </w:p>
    <w:p w14:paraId="2F24C90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4.4 能量效率</w:t>
      </w:r>
    </w:p>
    <w:p w14:paraId="0F6E536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在规定试验条件和试验方法下，储能系统的放电能量与前序充电能量的比值，用百分数表示。</w:t>
      </w:r>
    </w:p>
    <w:p w14:paraId="37BFD75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4.5 设计使用寿命</w:t>
      </w:r>
    </w:p>
    <w:p w14:paraId="6722EB0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储能电站设计时预计不失去使用功能的有效使用时间。</w:t>
      </w:r>
    </w:p>
    <w:p w14:paraId="2EC9565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4.6 额定储能容量</w:t>
      </w:r>
    </w:p>
    <w:p w14:paraId="6AC47E9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在连续运行条件下，</w:t>
      </w:r>
      <w:r>
        <w:rPr>
          <w:rFonts w:hint="eastAsia" w:ascii="宋体" w:hAnsi="宋体" w:eastAsia="宋体" w:cs="宋体"/>
          <w:kern w:val="0"/>
          <w:sz w:val="28"/>
          <w:szCs w:val="28"/>
          <w:lang w:eastAsia="zh-CN"/>
        </w:rPr>
        <w:t>电化学</w:t>
      </w:r>
      <w:r>
        <w:rPr>
          <w:rFonts w:hint="eastAsia" w:ascii="宋体" w:hAnsi="宋体" w:eastAsia="宋体" w:cs="宋体"/>
          <w:kern w:val="0"/>
          <w:sz w:val="28"/>
          <w:szCs w:val="28"/>
        </w:rPr>
        <w:t>储能系统可用储能容量的额定值。</w:t>
      </w:r>
    </w:p>
    <w:p w14:paraId="3E522A90">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8" w:name="_Toc11594"/>
      <w:r>
        <w:rPr>
          <w:rFonts w:hint="eastAsia" w:ascii="黑体" w:hAnsi="黑体" w:eastAsia="黑体" w:cs="黑体"/>
          <w:b w:val="0"/>
          <w:bCs w:val="0"/>
          <w:spacing w:val="-2"/>
          <w:w w:val="95"/>
          <w:kern w:val="0"/>
          <w:sz w:val="28"/>
          <w:szCs w:val="28"/>
          <w:lang w:val="en-US" w:eastAsia="zh-CN"/>
        </w:rPr>
        <w:t>基本要求</w:t>
      </w:r>
      <w:bookmarkEnd w:id="8"/>
    </w:p>
    <w:p w14:paraId="1E8ACA6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5.1 合规性说明</w:t>
      </w:r>
    </w:p>
    <w:p w14:paraId="78CCF82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需要在合法合规的前提下进行，</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开发主体不得非法收集、使用、加工、传输用户信息，不得非法买卖、提供或者公开用户信息。</w:t>
      </w:r>
    </w:p>
    <w:p w14:paraId="04877D8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5.2 普惠性说明</w:t>
      </w:r>
    </w:p>
    <w:p w14:paraId="2063720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当前本市电化学储能电站已形成一定规模，用户（含工商业及居民侧）参与削峰填谷、提升新能源消纳的意愿较强，具备一定的公众基础；本方法学适用于电化学储能电站替代常规调峰电源或减少弃风弃光带来的减排量核算，具备一定普适性；基于本方法学核算并申请获得的碳普惠</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减排量，其第一获益人为储能电站用户（或投资运营方），可操作性高，能够调动社会主体参与储能建设和优化运行的积极性，具备一定激励作用。</w:t>
      </w:r>
    </w:p>
    <w:p w14:paraId="26C6FF6F">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highlight w:val="none"/>
          <w:lang w:val="en-US" w:eastAsia="zh-CN"/>
        </w:rPr>
      </w:pPr>
      <w:bookmarkStart w:id="9" w:name="_Toc201"/>
      <w:r>
        <w:rPr>
          <w:rFonts w:hint="eastAsia" w:ascii="黑体" w:hAnsi="黑体" w:eastAsia="黑体" w:cs="黑体"/>
          <w:b w:val="0"/>
          <w:bCs w:val="0"/>
          <w:spacing w:val="-2"/>
          <w:w w:val="95"/>
          <w:kern w:val="0"/>
          <w:sz w:val="28"/>
          <w:szCs w:val="28"/>
          <w:highlight w:val="none"/>
          <w:lang w:val="en-US" w:eastAsia="zh-CN"/>
        </w:rPr>
        <w:t>核算边界及排放源</w:t>
      </w:r>
      <w:bookmarkEnd w:id="9"/>
    </w:p>
    <w:p w14:paraId="3A88480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项目边界的空间范围包括电化学储能电站</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本项目接入的电网中的</w:t>
      </w:r>
      <w:r>
        <w:rPr>
          <w:rFonts w:hint="eastAsia" w:ascii="宋体" w:hAnsi="宋体" w:eastAsia="宋体" w:cs="宋体"/>
          <w:kern w:val="0"/>
          <w:sz w:val="28"/>
          <w:szCs w:val="28"/>
          <w:lang w:val="en-US" w:eastAsia="zh-CN"/>
        </w:rPr>
        <w:t>专用线缆、电网侧表计；</w:t>
      </w:r>
      <w:r>
        <w:rPr>
          <w:rFonts w:hint="eastAsia" w:ascii="宋体" w:hAnsi="宋体" w:eastAsia="宋体" w:cs="宋体"/>
          <w:kern w:val="0"/>
          <w:sz w:val="28"/>
          <w:szCs w:val="28"/>
        </w:rPr>
        <w:t>边界内包括或者不包括的温室气体种类以及排放源如表1所示。</w:t>
      </w:r>
    </w:p>
    <w:p w14:paraId="197FCD0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ascii="Arial"/>
          <w:b/>
          <w:bCs/>
          <w:sz w:val="2"/>
        </w:rPr>
      </w:pPr>
      <w:r>
        <w:rPr>
          <w:rFonts w:hint="eastAsia" w:ascii="黑体" w:hAnsi="黑体" w:eastAsia="黑体" w:cs="黑体"/>
          <w:kern w:val="0"/>
          <w:sz w:val="24"/>
          <w:szCs w:val="24"/>
        </w:rPr>
        <w:t>表1 项目边界内包括或者不包括的排放源</w:t>
      </w:r>
    </w:p>
    <w:tbl>
      <w:tblPr>
        <w:tblStyle w:val="28"/>
        <w:tblW w:w="8282" w:type="dxa"/>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9"/>
        <w:gridCol w:w="2318"/>
        <w:gridCol w:w="1747"/>
        <w:gridCol w:w="1200"/>
        <w:gridCol w:w="2208"/>
      </w:tblGrid>
      <w:tr w14:paraId="20F1E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3127" w:type="dxa"/>
            <w:gridSpan w:val="2"/>
            <w:tcBorders>
              <w:top w:val="single" w:color="000000" w:sz="6" w:space="0"/>
              <w:left w:val="single" w:color="000000" w:sz="6" w:space="0"/>
            </w:tcBorders>
            <w:vAlign w:val="center"/>
          </w:tcPr>
          <w:p w14:paraId="426C7E9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b/>
                <w:bCs/>
                <w:color w:val="000000"/>
                <w:sz w:val="24"/>
                <w:szCs w:val="24"/>
              </w:rPr>
            </w:pPr>
            <w:r>
              <w:rPr>
                <w:rFonts w:ascii="Times New Roman"/>
                <w:b/>
                <w:bCs/>
                <w:color w:val="000000"/>
                <w:sz w:val="24"/>
                <w:szCs w:val="24"/>
              </w:rPr>
              <w:t>排放源</w:t>
            </w:r>
          </w:p>
        </w:tc>
        <w:tc>
          <w:tcPr>
            <w:tcW w:w="1747" w:type="dxa"/>
            <w:tcBorders>
              <w:top w:val="single" w:color="000000" w:sz="6" w:space="0"/>
            </w:tcBorders>
            <w:vAlign w:val="center"/>
          </w:tcPr>
          <w:p w14:paraId="71D0312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b/>
                <w:bCs/>
                <w:color w:val="000000"/>
                <w:sz w:val="24"/>
                <w:szCs w:val="24"/>
              </w:rPr>
            </w:pPr>
            <w:r>
              <w:rPr>
                <w:rFonts w:ascii="Times New Roman"/>
                <w:b/>
                <w:bCs/>
                <w:color w:val="000000"/>
                <w:sz w:val="24"/>
                <w:szCs w:val="24"/>
              </w:rPr>
              <w:t>温室气体种类</w:t>
            </w:r>
          </w:p>
        </w:tc>
        <w:tc>
          <w:tcPr>
            <w:tcW w:w="1200" w:type="dxa"/>
            <w:tcBorders>
              <w:top w:val="single" w:color="000000" w:sz="6" w:space="0"/>
            </w:tcBorders>
            <w:vAlign w:val="center"/>
          </w:tcPr>
          <w:p w14:paraId="3010D65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b/>
                <w:bCs/>
                <w:color w:val="000000"/>
                <w:sz w:val="24"/>
                <w:szCs w:val="24"/>
              </w:rPr>
            </w:pPr>
            <w:r>
              <w:rPr>
                <w:rFonts w:ascii="Times New Roman"/>
                <w:b/>
                <w:bCs/>
                <w:color w:val="000000"/>
                <w:sz w:val="24"/>
                <w:szCs w:val="24"/>
              </w:rPr>
              <w:t>是否包括</w:t>
            </w:r>
          </w:p>
        </w:tc>
        <w:tc>
          <w:tcPr>
            <w:tcW w:w="2208" w:type="dxa"/>
            <w:tcBorders>
              <w:top w:val="single" w:color="000000" w:sz="6" w:space="0"/>
              <w:right w:val="single" w:color="000000" w:sz="6" w:space="0"/>
            </w:tcBorders>
            <w:vAlign w:val="center"/>
          </w:tcPr>
          <w:p w14:paraId="29645CB6">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b/>
                <w:bCs/>
                <w:color w:val="000000"/>
                <w:sz w:val="24"/>
                <w:szCs w:val="24"/>
              </w:rPr>
            </w:pPr>
            <w:r>
              <w:rPr>
                <w:rFonts w:ascii="Times New Roman"/>
                <w:b/>
                <w:bCs/>
                <w:color w:val="000000"/>
                <w:sz w:val="24"/>
                <w:szCs w:val="24"/>
              </w:rPr>
              <w:t>说明理由/解释</w:t>
            </w:r>
          </w:p>
        </w:tc>
      </w:tr>
      <w:tr w14:paraId="5E4D4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09" w:type="dxa"/>
            <w:vMerge w:val="restart"/>
            <w:tcBorders>
              <w:left w:val="single" w:color="000000" w:sz="6" w:space="0"/>
            </w:tcBorders>
            <w:vAlign w:val="center"/>
          </w:tcPr>
          <w:p w14:paraId="0FC271D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p w14:paraId="154EB383">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基准线</w:t>
            </w:r>
          </w:p>
        </w:tc>
        <w:tc>
          <w:tcPr>
            <w:tcW w:w="2318" w:type="dxa"/>
            <w:vMerge w:val="restart"/>
            <w:vAlign w:val="center"/>
          </w:tcPr>
          <w:p w14:paraId="38AFFB6D">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p w14:paraId="1952C061">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由于项目</w:t>
            </w:r>
            <w:r>
              <w:rPr>
                <w:rFonts w:hint="eastAsia" w:ascii="Times New Roman"/>
                <w:color w:val="000000"/>
                <w:sz w:val="24"/>
                <w:szCs w:val="24"/>
                <w:lang w:val="en-US" w:eastAsia="zh-CN"/>
              </w:rPr>
              <w:t>放电</w:t>
            </w:r>
            <w:r>
              <w:rPr>
                <w:rFonts w:ascii="Times New Roman"/>
                <w:color w:val="000000"/>
                <w:sz w:val="24"/>
                <w:szCs w:val="24"/>
              </w:rPr>
              <w:t>活动</w:t>
            </w:r>
            <w:r>
              <w:rPr>
                <w:rFonts w:hint="eastAsia" w:ascii="Times New Roman"/>
                <w:color w:val="000000"/>
                <w:sz w:val="24"/>
                <w:szCs w:val="24"/>
                <w:lang w:val="en-US" w:eastAsia="zh-CN"/>
              </w:rPr>
              <w:t>时</w:t>
            </w:r>
            <w:r>
              <w:rPr>
                <w:rFonts w:ascii="Times New Roman"/>
                <w:color w:val="000000"/>
                <w:sz w:val="24"/>
                <w:szCs w:val="24"/>
              </w:rPr>
              <w:t>被替代的</w:t>
            </w:r>
            <w:r>
              <w:rPr>
                <w:rFonts w:hint="eastAsia" w:ascii="Times New Roman"/>
                <w:color w:val="000000"/>
                <w:sz w:val="24"/>
                <w:szCs w:val="24"/>
                <w:lang w:val="en-US" w:eastAsia="zh-CN"/>
              </w:rPr>
              <w:t>电网</w:t>
            </w:r>
            <w:r>
              <w:rPr>
                <w:rFonts w:ascii="Times New Roman"/>
                <w:color w:val="000000"/>
                <w:sz w:val="24"/>
                <w:szCs w:val="24"/>
              </w:rPr>
              <w:t>产生的CO</w:t>
            </w:r>
            <w:r>
              <w:rPr>
                <w:rFonts w:ascii="Times New Roman"/>
                <w:color w:val="000000"/>
                <w:sz w:val="24"/>
                <w:szCs w:val="24"/>
                <w:vertAlign w:val="subscript"/>
              </w:rPr>
              <w:t>2</w:t>
            </w:r>
            <w:r>
              <w:rPr>
                <w:rFonts w:ascii="Times New Roman"/>
                <w:color w:val="000000"/>
                <w:sz w:val="24"/>
                <w:szCs w:val="24"/>
              </w:rPr>
              <w:t>排放</w:t>
            </w:r>
          </w:p>
        </w:tc>
        <w:tc>
          <w:tcPr>
            <w:tcW w:w="1747" w:type="dxa"/>
            <w:vAlign w:val="center"/>
          </w:tcPr>
          <w:p w14:paraId="75D49BC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1200" w:type="dxa"/>
            <w:vAlign w:val="center"/>
          </w:tcPr>
          <w:p w14:paraId="043D1977">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是</w:t>
            </w:r>
          </w:p>
        </w:tc>
        <w:tc>
          <w:tcPr>
            <w:tcW w:w="2208" w:type="dxa"/>
            <w:tcBorders>
              <w:right w:val="single" w:color="000000" w:sz="6" w:space="0"/>
            </w:tcBorders>
            <w:vAlign w:val="center"/>
          </w:tcPr>
          <w:p w14:paraId="178B92C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主要排放源</w:t>
            </w:r>
          </w:p>
        </w:tc>
      </w:tr>
      <w:tr w14:paraId="02F4F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09" w:type="dxa"/>
            <w:vMerge w:val="continue"/>
            <w:tcBorders>
              <w:left w:val="single" w:color="000000" w:sz="6" w:space="0"/>
            </w:tcBorders>
            <w:vAlign w:val="center"/>
          </w:tcPr>
          <w:p w14:paraId="48855F4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25EC07BE">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7A819E5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1200" w:type="dxa"/>
            <w:vAlign w:val="center"/>
          </w:tcPr>
          <w:p w14:paraId="41F8224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076E120F">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为简化而排除</w:t>
            </w:r>
          </w:p>
        </w:tc>
      </w:tr>
      <w:tr w14:paraId="0308D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09" w:type="dxa"/>
            <w:vMerge w:val="continue"/>
            <w:tcBorders>
              <w:left w:val="single" w:color="000000" w:sz="6" w:space="0"/>
            </w:tcBorders>
            <w:vAlign w:val="center"/>
          </w:tcPr>
          <w:p w14:paraId="76F3C2DA">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248A9E81">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1BEA11E0">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1200" w:type="dxa"/>
            <w:vAlign w:val="center"/>
          </w:tcPr>
          <w:p w14:paraId="442CF608">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5F74BCA7">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次要排放源</w:t>
            </w:r>
          </w:p>
        </w:tc>
      </w:tr>
      <w:tr w14:paraId="709AA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09" w:type="dxa"/>
            <w:vMerge w:val="continue"/>
            <w:tcBorders>
              <w:left w:val="single" w:color="000000" w:sz="6" w:space="0"/>
            </w:tcBorders>
            <w:vAlign w:val="center"/>
          </w:tcPr>
          <w:p w14:paraId="4E826EAA">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6D24161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143C704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hint="eastAsia" w:ascii="Times New Roman"/>
                <w:color w:val="000000"/>
                <w:sz w:val="24"/>
                <w:szCs w:val="24"/>
              </w:rPr>
              <w:t>PFCs</w:t>
            </w:r>
          </w:p>
        </w:tc>
        <w:tc>
          <w:tcPr>
            <w:tcW w:w="1200" w:type="dxa"/>
            <w:shd w:val="clear" w:color="auto" w:fill="auto"/>
            <w:vAlign w:val="center"/>
          </w:tcPr>
          <w:p w14:paraId="53B965B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否</w:t>
            </w:r>
          </w:p>
        </w:tc>
        <w:tc>
          <w:tcPr>
            <w:tcW w:w="2208" w:type="dxa"/>
            <w:tcBorders>
              <w:right w:val="single" w:color="000000" w:sz="6" w:space="0"/>
            </w:tcBorders>
            <w:shd w:val="clear" w:color="auto" w:fill="auto"/>
            <w:vAlign w:val="center"/>
          </w:tcPr>
          <w:p w14:paraId="2DE9308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次要排放源</w:t>
            </w:r>
          </w:p>
        </w:tc>
      </w:tr>
      <w:tr w14:paraId="22DE8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atLeast"/>
        </w:trPr>
        <w:tc>
          <w:tcPr>
            <w:tcW w:w="809" w:type="dxa"/>
            <w:vMerge w:val="restart"/>
            <w:tcBorders>
              <w:left w:val="single" w:color="000000" w:sz="6" w:space="0"/>
            </w:tcBorders>
            <w:vAlign w:val="center"/>
          </w:tcPr>
          <w:p w14:paraId="1D015C17">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项目</w:t>
            </w:r>
          </w:p>
          <w:p w14:paraId="1BD0C19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活动</w:t>
            </w:r>
          </w:p>
        </w:tc>
        <w:tc>
          <w:tcPr>
            <w:tcW w:w="2318" w:type="dxa"/>
            <w:vMerge w:val="restart"/>
            <w:vAlign w:val="center"/>
          </w:tcPr>
          <w:p w14:paraId="386012DE">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宋体" w:hAnsi="宋体" w:eastAsia="宋体" w:cs="宋体"/>
                <w:sz w:val="24"/>
                <w:szCs w:val="24"/>
              </w:rPr>
              <w:t>储能充电、站内辅机用电消耗电网电力产生的排放</w:t>
            </w:r>
          </w:p>
        </w:tc>
        <w:tc>
          <w:tcPr>
            <w:tcW w:w="1747" w:type="dxa"/>
            <w:vAlign w:val="center"/>
          </w:tcPr>
          <w:p w14:paraId="04C192CE">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1200" w:type="dxa"/>
            <w:vAlign w:val="center"/>
          </w:tcPr>
          <w:p w14:paraId="176903B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6C1A0F3C">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hint="eastAsia" w:ascii="Times New Roman"/>
                <w:color w:val="000000"/>
                <w:sz w:val="24"/>
                <w:szCs w:val="24"/>
              </w:rPr>
              <w:t>储能运行主要电力排放来源</w:t>
            </w:r>
          </w:p>
        </w:tc>
      </w:tr>
      <w:tr w14:paraId="4ED95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09" w:type="dxa"/>
            <w:vMerge w:val="continue"/>
            <w:tcBorders>
              <w:left w:val="single" w:color="000000" w:sz="6" w:space="0"/>
            </w:tcBorders>
            <w:vAlign w:val="center"/>
          </w:tcPr>
          <w:p w14:paraId="6A78085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4843B3CB">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4B80B50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1200" w:type="dxa"/>
            <w:vAlign w:val="center"/>
          </w:tcPr>
          <w:p w14:paraId="6D0CC7C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14A8800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为简化而排除</w:t>
            </w:r>
          </w:p>
        </w:tc>
      </w:tr>
      <w:tr w14:paraId="405D8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809" w:type="dxa"/>
            <w:vMerge w:val="continue"/>
            <w:tcBorders>
              <w:left w:val="single" w:color="000000" w:sz="6" w:space="0"/>
            </w:tcBorders>
            <w:vAlign w:val="center"/>
          </w:tcPr>
          <w:p w14:paraId="5319BBDD">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3765FEC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6B8D48DE">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1200" w:type="dxa"/>
            <w:vAlign w:val="center"/>
          </w:tcPr>
          <w:p w14:paraId="4ED6A4AA">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2AB9C1EF">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为简化而排除</w:t>
            </w:r>
          </w:p>
        </w:tc>
      </w:tr>
      <w:tr w14:paraId="406FD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09" w:type="dxa"/>
            <w:vMerge w:val="continue"/>
            <w:tcBorders>
              <w:left w:val="single" w:color="000000" w:sz="6" w:space="0"/>
            </w:tcBorders>
            <w:vAlign w:val="center"/>
          </w:tcPr>
          <w:p w14:paraId="7E4EB7EA">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18E76A0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474CD4AC">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hint="eastAsia" w:ascii="Times New Roman"/>
                <w:color w:val="000000"/>
                <w:sz w:val="24"/>
                <w:szCs w:val="24"/>
              </w:rPr>
              <w:t>PFCs</w:t>
            </w:r>
          </w:p>
        </w:tc>
        <w:tc>
          <w:tcPr>
            <w:tcW w:w="1200" w:type="dxa"/>
            <w:shd w:val="clear" w:color="auto" w:fill="auto"/>
            <w:vAlign w:val="center"/>
          </w:tcPr>
          <w:p w14:paraId="19D24011">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否</w:t>
            </w:r>
          </w:p>
        </w:tc>
        <w:tc>
          <w:tcPr>
            <w:tcW w:w="2208" w:type="dxa"/>
            <w:tcBorders>
              <w:right w:val="single" w:color="000000" w:sz="6" w:space="0"/>
            </w:tcBorders>
            <w:shd w:val="clear" w:color="auto" w:fill="auto"/>
            <w:vAlign w:val="center"/>
          </w:tcPr>
          <w:p w14:paraId="0F7E34F0">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为简化而排除</w:t>
            </w:r>
          </w:p>
        </w:tc>
      </w:tr>
      <w:tr w14:paraId="3F4E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809" w:type="dxa"/>
            <w:vMerge w:val="continue"/>
            <w:tcBorders>
              <w:left w:val="single" w:color="000000" w:sz="6" w:space="0"/>
            </w:tcBorders>
            <w:vAlign w:val="center"/>
          </w:tcPr>
          <w:p w14:paraId="214EA0B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restart"/>
            <w:vAlign w:val="center"/>
          </w:tcPr>
          <w:p w14:paraId="3A282794">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项目活动消耗电力产生的排放</w:t>
            </w:r>
          </w:p>
        </w:tc>
        <w:tc>
          <w:tcPr>
            <w:tcW w:w="1747" w:type="dxa"/>
            <w:vAlign w:val="center"/>
          </w:tcPr>
          <w:p w14:paraId="13036A0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1200" w:type="dxa"/>
            <w:vAlign w:val="center"/>
          </w:tcPr>
          <w:p w14:paraId="6BF36C81">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是</w:t>
            </w:r>
          </w:p>
        </w:tc>
        <w:tc>
          <w:tcPr>
            <w:tcW w:w="2208" w:type="dxa"/>
            <w:tcBorders>
              <w:right w:val="single" w:color="000000" w:sz="6" w:space="0"/>
            </w:tcBorders>
            <w:vAlign w:val="center"/>
          </w:tcPr>
          <w:p w14:paraId="3A858032">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电化学储能电站运行耗电为下网电力，视为重要排放源</w:t>
            </w:r>
          </w:p>
        </w:tc>
      </w:tr>
      <w:tr w14:paraId="26B93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09" w:type="dxa"/>
            <w:vMerge w:val="continue"/>
            <w:tcBorders>
              <w:left w:val="single" w:color="000000" w:sz="6" w:space="0"/>
            </w:tcBorders>
            <w:vAlign w:val="center"/>
          </w:tcPr>
          <w:p w14:paraId="3A491345">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52310D4A">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6BF50BA0">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1200" w:type="dxa"/>
            <w:vAlign w:val="center"/>
          </w:tcPr>
          <w:p w14:paraId="359F64B0">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312BE9B6">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为简化而排除</w:t>
            </w:r>
          </w:p>
        </w:tc>
      </w:tr>
      <w:tr w14:paraId="0962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09" w:type="dxa"/>
            <w:vMerge w:val="continue"/>
            <w:tcBorders>
              <w:left w:val="single" w:color="000000" w:sz="6" w:space="0"/>
            </w:tcBorders>
            <w:vAlign w:val="center"/>
          </w:tcPr>
          <w:p w14:paraId="248427E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2318" w:type="dxa"/>
            <w:vMerge w:val="continue"/>
            <w:vAlign w:val="center"/>
          </w:tcPr>
          <w:p w14:paraId="10B45DBF">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vAlign w:val="center"/>
          </w:tcPr>
          <w:p w14:paraId="29BDA51F">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1200" w:type="dxa"/>
            <w:vAlign w:val="center"/>
          </w:tcPr>
          <w:p w14:paraId="30C44BA9">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否</w:t>
            </w:r>
          </w:p>
        </w:tc>
        <w:tc>
          <w:tcPr>
            <w:tcW w:w="2208" w:type="dxa"/>
            <w:tcBorders>
              <w:right w:val="single" w:color="000000" w:sz="6" w:space="0"/>
            </w:tcBorders>
            <w:vAlign w:val="center"/>
          </w:tcPr>
          <w:p w14:paraId="77ABD6BB">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r>
              <w:rPr>
                <w:rFonts w:ascii="Times New Roman"/>
                <w:color w:val="000000"/>
                <w:sz w:val="24"/>
                <w:szCs w:val="24"/>
              </w:rPr>
              <w:t>为简化而排除</w:t>
            </w:r>
          </w:p>
        </w:tc>
      </w:tr>
      <w:tr w14:paraId="629B7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09" w:type="dxa"/>
            <w:vMerge w:val="continue"/>
            <w:tcBorders>
              <w:left w:val="single" w:color="000000" w:sz="6" w:space="0"/>
              <w:bottom w:val="single" w:color="000000" w:sz="6" w:space="0"/>
            </w:tcBorders>
            <w:vAlign w:val="center"/>
          </w:tcPr>
          <w:p w14:paraId="4609A6FB">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bookmarkStart w:id="10" w:name="_Toc30167"/>
            <w:bookmarkStart w:id="11" w:name="_Toc170134106"/>
          </w:p>
        </w:tc>
        <w:tc>
          <w:tcPr>
            <w:tcW w:w="2318" w:type="dxa"/>
            <w:vMerge w:val="continue"/>
            <w:tcBorders>
              <w:bottom w:val="single" w:color="000000" w:sz="6" w:space="0"/>
            </w:tcBorders>
            <w:vAlign w:val="center"/>
          </w:tcPr>
          <w:p w14:paraId="4A5280D1">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color w:val="000000"/>
                <w:sz w:val="24"/>
                <w:szCs w:val="24"/>
              </w:rPr>
            </w:pPr>
          </w:p>
        </w:tc>
        <w:tc>
          <w:tcPr>
            <w:tcW w:w="1747" w:type="dxa"/>
            <w:tcBorders>
              <w:bottom w:val="single" w:color="000000" w:sz="6" w:space="0"/>
            </w:tcBorders>
            <w:shd w:val="clear" w:color="auto" w:fill="auto"/>
            <w:vAlign w:val="center"/>
          </w:tcPr>
          <w:p w14:paraId="6DA69BA7">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hint="eastAsia" w:ascii="Times New Roman"/>
                <w:color w:val="000000"/>
                <w:sz w:val="24"/>
                <w:szCs w:val="24"/>
              </w:rPr>
              <w:t>PFCs</w:t>
            </w:r>
          </w:p>
        </w:tc>
        <w:tc>
          <w:tcPr>
            <w:tcW w:w="1200" w:type="dxa"/>
            <w:tcBorders>
              <w:bottom w:val="single" w:color="000000" w:sz="6" w:space="0"/>
            </w:tcBorders>
            <w:shd w:val="clear" w:color="auto" w:fill="auto"/>
            <w:vAlign w:val="center"/>
          </w:tcPr>
          <w:p w14:paraId="0A4F75B3">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否</w:t>
            </w:r>
          </w:p>
        </w:tc>
        <w:tc>
          <w:tcPr>
            <w:tcW w:w="2208" w:type="dxa"/>
            <w:tcBorders>
              <w:bottom w:val="single" w:color="000000" w:sz="6" w:space="0"/>
              <w:right w:val="single" w:color="000000" w:sz="6" w:space="0"/>
            </w:tcBorders>
            <w:shd w:val="clear" w:color="auto" w:fill="auto"/>
            <w:vAlign w:val="center"/>
          </w:tcPr>
          <w:p w14:paraId="020C2D98">
            <w:pPr>
              <w:pStyle w:val="23"/>
              <w:keepNext w:val="0"/>
              <w:keepLines w:val="0"/>
              <w:pageBreakBefore w:val="0"/>
              <w:widowControl w:val="0"/>
              <w:kinsoku/>
              <w:wordWrap/>
              <w:overflowPunct/>
              <w:topLinePunct w:val="0"/>
              <w:autoSpaceDE w:val="0"/>
              <w:autoSpaceDN w:val="0"/>
              <w:bidi w:val="0"/>
              <w:adjustRightInd/>
              <w:snapToGrid w:val="0"/>
              <w:ind w:firstLine="0" w:firstLineChars="0"/>
              <w:jc w:val="center"/>
              <w:textAlignment w:val="auto"/>
              <w:rPr>
                <w:rFonts w:ascii="Times New Roman" w:hAnsi="Times New Roman" w:eastAsia="宋体" w:cs="Times New Roman"/>
                <w:color w:val="000000"/>
                <w:sz w:val="24"/>
                <w:szCs w:val="24"/>
                <w:lang w:val="en-US" w:eastAsia="zh-CN" w:bidi="ar-SA"/>
              </w:rPr>
            </w:pPr>
            <w:r>
              <w:rPr>
                <w:rFonts w:ascii="Times New Roman"/>
                <w:color w:val="000000"/>
                <w:sz w:val="24"/>
                <w:szCs w:val="24"/>
              </w:rPr>
              <w:t>为简化而排除</w:t>
            </w:r>
          </w:p>
        </w:tc>
      </w:tr>
    </w:tbl>
    <w:p w14:paraId="4E05064D">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2" w:name="3.2"/>
      <w:bookmarkEnd w:id="12"/>
      <w:r>
        <w:rPr>
          <w:rFonts w:hint="eastAsia" w:ascii="黑体" w:hAnsi="黑体" w:eastAsia="黑体" w:cs="黑体"/>
          <w:b w:val="0"/>
          <w:bCs w:val="0"/>
          <w:spacing w:val="-2"/>
          <w:w w:val="95"/>
          <w:kern w:val="0"/>
          <w:sz w:val="28"/>
          <w:szCs w:val="28"/>
          <w:lang w:val="en-US" w:eastAsia="zh-CN"/>
        </w:rPr>
        <w:t>减排量计算</w:t>
      </w:r>
      <w:bookmarkEnd w:id="10"/>
    </w:p>
    <w:p w14:paraId="1592B8B5">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en-US"/>
        </w:rPr>
      </w:pPr>
      <w:r>
        <w:rPr>
          <w:rFonts w:hint="eastAsia" w:cs="宋体"/>
          <w:b w:val="0"/>
          <w:bCs/>
          <w:spacing w:val="-5"/>
          <w:sz w:val="28"/>
          <w:szCs w:val="28"/>
          <w:lang w:val="en-US" w:eastAsia="zh-CN"/>
        </w:rPr>
        <w:t>7.1 基准线</w:t>
      </w:r>
      <w:bookmarkEnd w:id="11"/>
      <w:r>
        <w:rPr>
          <w:rFonts w:hint="eastAsia" w:cs="宋体"/>
          <w:b w:val="0"/>
          <w:bCs/>
          <w:spacing w:val="-5"/>
          <w:sz w:val="28"/>
          <w:szCs w:val="28"/>
          <w:lang w:val="en-US" w:eastAsia="zh-CN"/>
        </w:rPr>
        <w:t>情景</w:t>
      </w:r>
    </w:p>
    <w:p w14:paraId="38C4B7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rPr>
        <w:t>确定基准线情景时，基准线电网调度方案与项目情景（储能电站参与电网调度运行）应为电力系统提供可比的服务，在不实施储能电站项目的情况下，为满足相同时序净负荷曲线/调度平衡需求，系统通过增减可调机组出力来实现平衡</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同等的调峰能力、备用容量或新能源消纳支持</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项目所在南京区域电网未投运本项目电化学储能电站</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无同类储能设施参与电网调度运行，完全依托传统燃煤、燃气等常规化石能源机组承担系统调峰、负荷平衡及新能源消纳任务的电网原有常规运行调度情景。对于在既有电网运行体系下新建</w:t>
      </w:r>
      <w:r>
        <w:rPr>
          <w:rFonts w:hint="eastAsia" w:ascii="宋体" w:hAnsi="宋体" w:eastAsia="宋体" w:cs="宋体"/>
          <w:kern w:val="0"/>
          <w:sz w:val="28"/>
          <w:szCs w:val="28"/>
          <w:lang w:val="en-US" w:eastAsia="zh-CN"/>
        </w:rPr>
        <w:t>电化学</w:t>
      </w:r>
      <w:r>
        <w:rPr>
          <w:rFonts w:hint="eastAsia" w:ascii="宋体" w:hAnsi="宋体" w:eastAsia="宋体" w:cs="宋体"/>
          <w:kern w:val="0"/>
          <w:sz w:val="28"/>
          <w:szCs w:val="28"/>
        </w:rPr>
        <w:t>储能电站的项目，基准线情景即为原有调度方式的</w:t>
      </w:r>
      <w:r>
        <w:rPr>
          <w:rFonts w:hint="eastAsia" w:ascii="宋体" w:hAnsi="宋体" w:eastAsia="宋体" w:cs="宋体"/>
          <w:kern w:val="0"/>
          <w:sz w:val="28"/>
          <w:szCs w:val="28"/>
          <w:lang w:val="en-US" w:eastAsia="zh-CN"/>
        </w:rPr>
        <w:t>情景</w:t>
      </w:r>
      <w:r>
        <w:rPr>
          <w:rFonts w:hint="eastAsia" w:ascii="宋体" w:hAnsi="宋体" w:eastAsia="宋体" w:cs="宋体"/>
          <w:kern w:val="0"/>
          <w:sz w:val="28"/>
          <w:szCs w:val="28"/>
        </w:rPr>
        <w:t>。</w:t>
      </w:r>
    </w:p>
    <w:p w14:paraId="6DCF923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13" w:name="_Toc170134108"/>
      <w:r>
        <w:rPr>
          <w:rFonts w:hint="eastAsia" w:cs="宋体"/>
          <w:b w:val="0"/>
          <w:bCs/>
          <w:spacing w:val="-5"/>
          <w:sz w:val="28"/>
          <w:szCs w:val="28"/>
          <w:lang w:val="en-US" w:eastAsia="zh-CN"/>
        </w:rPr>
        <w:t>7.2 额外性</w:t>
      </w:r>
      <w:bookmarkEnd w:id="13"/>
      <w:r>
        <w:rPr>
          <w:rFonts w:hint="eastAsia" w:cs="宋体"/>
          <w:b w:val="0"/>
          <w:bCs/>
          <w:spacing w:val="-5"/>
          <w:sz w:val="28"/>
          <w:szCs w:val="28"/>
          <w:lang w:val="en-US" w:eastAsia="zh-CN"/>
        </w:rPr>
        <w:t>论证</w:t>
      </w:r>
    </w:p>
    <w:p w14:paraId="47D4E9F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bookmarkStart w:id="14" w:name="_Toc170134109"/>
      <w:bookmarkStart w:id="15" w:name="_Hlk170131968"/>
      <w:r>
        <w:rPr>
          <w:rFonts w:hint="eastAsia" w:ascii="宋体" w:hAnsi="宋体" w:eastAsia="宋体" w:cs="宋体"/>
          <w:kern w:val="0"/>
          <w:sz w:val="28"/>
          <w:szCs w:val="28"/>
          <w:lang w:val="en-US" w:eastAsia="zh-CN"/>
        </w:rPr>
        <w:t>从经济额外性角度，电化学储能电站项目具有初始投资大、收益模式依赖市场化机制（如峰谷价差、辅助服务补偿）且目前难以完全覆盖成本的特点。项目业主对充放电策略的自主决策权受电网调度指令制约，碳减排收益是提升项目经济性的重要补充。本方法学旨在有效激励储能电站参与电网削峰填谷，通过储能在低谷时段充电（对应较低的分时分区电碳因子）、高峰时段放电（对应较高的分时分区电碳因子），实现真正意义上的“时空转移降碳”</w:t>
      </w:r>
      <w:r>
        <w:rPr>
          <w:rFonts w:hint="default" w:ascii="宋体" w:hAnsi="宋体" w:eastAsia="宋体" w:cs="宋体"/>
          <w:kern w:val="0"/>
          <w:sz w:val="28"/>
          <w:szCs w:val="28"/>
          <w:lang w:val="en-US" w:eastAsia="zh-CN"/>
        </w:rPr>
        <w:t>——</w:t>
      </w:r>
      <w:r>
        <w:rPr>
          <w:rFonts w:hint="eastAsia" w:ascii="宋体" w:hAnsi="宋体" w:eastAsia="宋体" w:cs="宋体"/>
          <w:kern w:val="0"/>
          <w:sz w:val="28"/>
          <w:szCs w:val="28"/>
          <w:lang w:val="en-US" w:eastAsia="zh-CN"/>
        </w:rPr>
        <w:t>充电时从电网吸收的单位电量碳排放较低，放电时替代的单位电量碳排放较高，从而产生可量化的净碳减排效益。这一过程同时有利于新能源消纳和电力系统</w:t>
      </w:r>
      <w:r>
        <w:rPr>
          <w:rFonts w:hint="eastAsia" w:ascii="宋体" w:hAnsi="宋体" w:eastAsia="宋体" w:cs="宋体"/>
          <w:kern w:val="0"/>
          <w:sz w:val="28"/>
          <w:szCs w:val="28"/>
        </w:rPr>
        <w:t>安全稳定运行。符合本方法学适用条件的电化学储能项目，其额外性免予论证。</w:t>
      </w:r>
    </w:p>
    <w:p w14:paraId="2ACC9E2C">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7.3 基准线排放计算</w:t>
      </w:r>
      <w:bookmarkEnd w:id="14"/>
    </w:p>
    <w:bookmarkEnd w:id="15"/>
    <w:p w14:paraId="57794A8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bookmarkStart w:id="16" w:name="_Toc170134110"/>
      <w:r>
        <w:rPr>
          <w:rFonts w:hint="eastAsia" w:ascii="宋体" w:hAnsi="宋体" w:eastAsia="宋体" w:cs="宋体"/>
          <w:kern w:val="0"/>
          <w:sz w:val="28"/>
          <w:szCs w:val="28"/>
          <w:lang w:val="en-US" w:eastAsia="zh-CN"/>
        </w:rPr>
        <w:t>在基准线无储能电站运行情景下，电网高峰负荷缺口依靠传统化石能源机组供电调峰，储能电站高峰放电可替代该部分常规火电发电量，由此产生对应的基准线碳排放，基准线排放量计算公式如下：</w:t>
      </w:r>
    </w:p>
    <w:p w14:paraId="4BD766E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right"/>
        <w:textAlignment w:val="auto"/>
        <w:rPr>
          <w:rFonts w:hint="default" w:ascii="Times New Roman" w:hAnsi="Times New Roman" w:eastAsia="宋体" w:cs="Times New Roman"/>
          <w:i/>
          <w:sz w:val="28"/>
          <w:vertAlign w:val="baseline"/>
          <w:lang w:val="en-US" w:eastAsia="zh-CN"/>
        </w:rPr>
      </w:pPr>
      <w:r>
        <w:rPr>
          <w:rFonts w:hint="default" w:ascii="Times New Roman" w:hAnsi="Times New Roman" w:eastAsia="Cambria Math" w:cs="Times New Roman"/>
          <w:i/>
          <w:iCs w:val="0"/>
          <w:sz w:val="28"/>
        </w:rPr>
        <w:t>BE</w:t>
      </w:r>
      <w:r>
        <w:rPr>
          <w:rFonts w:hint="default" w:ascii="Times New Roman" w:hAnsi="Times New Roman" w:eastAsia="Cambria Math" w:cs="Times New Roman"/>
          <w:i/>
          <w:iCs w:val="0"/>
          <w:sz w:val="28"/>
          <w:vertAlign w:val="subscript"/>
        </w:rPr>
        <w:t>y</w:t>
      </w:r>
      <w:r>
        <w:rPr>
          <w:rFonts w:hint="default" w:ascii="Times New Roman" w:hAnsi="Times New Roman" w:eastAsia="宋体" w:cs="Times New Roman"/>
          <w:i/>
          <w:iCs w:val="0"/>
          <w:sz w:val="28"/>
          <w:lang w:val="en-US" w:eastAsia="zh-CN"/>
        </w:rPr>
        <w:t>=</w:t>
      </w:r>
      <w:r>
        <w:rPr>
          <w:rFonts w:hint="default" w:ascii="Times New Roman" w:hAnsi="Times New Roman" w:eastAsia="Cambria Math" w:cs="Times New Roman"/>
          <w:i/>
          <w:iCs w:val="0"/>
          <w:sz w:val="28"/>
        </w:rPr>
        <w:t>EG</w:t>
      </w:r>
      <w:r>
        <w:rPr>
          <w:rFonts w:hint="default" w:ascii="Times New Roman" w:hAnsi="Times New Roman" w:eastAsia="宋体" w:cs="Times New Roman"/>
          <w:i/>
          <w:iCs w:val="0"/>
          <w:sz w:val="28"/>
          <w:vertAlign w:val="subscript"/>
          <w:lang w:val="en-US" w:eastAsia="zh-CN"/>
        </w:rPr>
        <w:t>d</w:t>
      </w:r>
      <w:r>
        <w:rPr>
          <w:rFonts w:hint="default" w:ascii="Times New Roman" w:hAnsi="Times New Roman" w:eastAsia="Cambria Math" w:cs="Times New Roman"/>
          <w:i/>
          <w:iCs w:val="0"/>
          <w:sz w:val="28"/>
          <w:vertAlign w:val="subscript"/>
        </w:rPr>
        <w:t>,y</w:t>
      </w:r>
      <w:r>
        <w:rPr>
          <w:rFonts w:hint="default" w:ascii="Times New Roman" w:hAnsi="Times New Roman" w:eastAsia="宋体" w:cs="Times New Roman"/>
          <w:i/>
          <w:iCs w:val="0"/>
          <w:sz w:val="28"/>
          <w:vertAlign w:val="subscript"/>
          <w:lang w:val="en-US" w:eastAsia="zh-CN"/>
        </w:rPr>
        <w:t xml:space="preserve"> </w:t>
      </w:r>
      <m:oMath>
        <m:r>
          <m:rPr>
            <m:nor/>
          </m:rPr>
          <w:rPr>
            <w:rFonts w:hint="default" w:ascii="Times New Roman" w:hAnsi="Times New Roman" w:eastAsia="Cambria Math" w:cs="Times New Roman"/>
            <w:i/>
            <w:iCs w:val="0"/>
            <w:sz w:val="28"/>
          </w:rPr>
          <m:t>×</m:t>
        </m:r>
      </m:oMath>
      <w:r>
        <w:rPr>
          <w:rFonts w:hint="default" w:ascii="Times New Roman" w:hAnsi="Times New Roman" w:eastAsia="宋体" w:cs="Times New Roman"/>
          <w:i/>
          <w:iCs w:val="0"/>
          <w:sz w:val="28"/>
          <w:vertAlign w:val="subscript"/>
          <w:lang w:val="en-US" w:eastAsia="zh-CN"/>
        </w:rPr>
        <w:t xml:space="preserve"> </w:t>
      </w:r>
      <w:r>
        <w:rPr>
          <w:rFonts w:hint="default" w:ascii="Times New Roman" w:hAnsi="Times New Roman" w:eastAsia="Cambria Math" w:cs="Times New Roman"/>
          <w:i/>
          <w:iCs w:val="0"/>
          <w:sz w:val="28"/>
        </w:rPr>
        <w:t>EF</w:t>
      </w:r>
      <w:r>
        <w:rPr>
          <w:rFonts w:hint="default" w:ascii="Times New Roman" w:hAnsi="Times New Roman" w:eastAsia="Cambria Math" w:cs="Times New Roman"/>
          <w:i/>
          <w:iCs w:val="0"/>
          <w:sz w:val="28"/>
          <w:vertAlign w:val="subscript"/>
        </w:rPr>
        <w:t>grid</w:t>
      </w:r>
      <w:r>
        <w:rPr>
          <w:rFonts w:hint="default" w:ascii="Times New Roman" w:hAnsi="Times New Roman" w:eastAsia="宋体" w:cs="Times New Roman"/>
          <w:i/>
          <w:iCs w:val="0"/>
          <w:sz w:val="28"/>
          <w:vertAlign w:val="subscript"/>
          <w:lang w:val="en-US" w:eastAsia="zh-CN"/>
        </w:rPr>
        <w:t>,y</w:t>
      </w:r>
      <w:r>
        <w:rPr>
          <w:rFonts w:hint="default" w:ascii="Times New Roman" w:hAnsi="Times New Roman" w:eastAsia="宋体" w:cs="Times New Roman"/>
          <w:i w:val="0"/>
          <w:iCs/>
          <w:sz w:val="28"/>
          <w:vertAlign w:val="baseline"/>
          <w:lang w:val="en-US" w:eastAsia="zh-CN"/>
        </w:rPr>
        <w:t xml:space="preserve">                </w:t>
      </w:r>
      <w:r>
        <w:rPr>
          <w:rFonts w:hint="eastAsia" w:ascii="Times New Roman" w:hAnsi="Times New Roman" w:eastAsia="宋体" w:cs="Times New Roman"/>
          <w:i w:val="0"/>
          <w:iCs/>
          <w:sz w:val="28"/>
          <w:vertAlign w:val="baseline"/>
          <w:lang w:val="en-US" w:eastAsia="zh-CN"/>
        </w:rPr>
        <w:t>(</w:t>
      </w:r>
      <w:r>
        <w:rPr>
          <w:rFonts w:hint="default" w:ascii="Times New Roman" w:hAnsi="Times New Roman" w:eastAsia="宋体" w:cs="Times New Roman"/>
          <w:i w:val="0"/>
          <w:iCs/>
          <w:sz w:val="28"/>
          <w:vertAlign w:val="baseline"/>
          <w:lang w:val="en-US" w:eastAsia="zh-CN"/>
        </w:rPr>
        <w:t>1</w:t>
      </w:r>
      <w:r>
        <w:rPr>
          <w:rFonts w:hint="eastAsia" w:ascii="Times New Roman" w:hAnsi="Times New Roman" w:eastAsia="宋体" w:cs="Times New Roman"/>
          <w:i w:val="0"/>
          <w:iCs/>
          <w:sz w:val="28"/>
          <w:vertAlign w:val="baseline"/>
          <w:lang w:val="en-US" w:eastAsia="zh-CN"/>
        </w:rPr>
        <w:t>)</w:t>
      </w:r>
    </w:p>
    <w:p w14:paraId="1439760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eastAsia" w:ascii="Times New Roman" w:hAnsi="Times New Roman" w:eastAsia="宋体" w:cs="Times New Roman"/>
          <w:i w:val="0"/>
          <w:iCs/>
          <w:position w:val="-2"/>
          <w:sz w:val="28"/>
          <w:szCs w:val="14"/>
          <w:lang w:val="en-US" w:eastAsia="zh-CN"/>
        </w:rPr>
      </w:pPr>
      <w:r>
        <w:rPr>
          <w:rFonts w:hint="eastAsia" w:ascii="Times New Roman" w:hAnsi="Times New Roman" w:eastAsia="宋体" w:cs="Times New Roman"/>
          <w:i w:val="0"/>
          <w:iCs/>
          <w:position w:val="-2"/>
          <w:sz w:val="28"/>
          <w:szCs w:val="14"/>
          <w:lang w:val="en-US" w:eastAsia="zh-CN"/>
        </w:rPr>
        <w:t>式中：</w:t>
      </w:r>
    </w:p>
    <w:p w14:paraId="7145835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iCs w:val="0"/>
          <w:sz w:val="28"/>
        </w:rPr>
        <w:t>BE</w:t>
      </w:r>
      <w:r>
        <w:rPr>
          <w:rFonts w:hint="default" w:ascii="Times New Roman" w:hAnsi="Times New Roman" w:eastAsia="Cambria Math" w:cs="Times New Roman"/>
          <w:i/>
          <w:iCs w:val="0"/>
          <w:sz w:val="28"/>
          <w:vertAlign w:val="subscript"/>
          <w:lang w:val="en-US" w:eastAsia="zh-CN"/>
        </w:rPr>
        <w:t>y</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基准线排放量</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1D3D49C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iCs w:val="0"/>
          <w:sz w:val="28"/>
        </w:rPr>
        <w:t>EG</w:t>
      </w:r>
      <w:r>
        <w:rPr>
          <w:rFonts w:hint="default" w:ascii="Times New Roman" w:hAnsi="Times New Roman" w:eastAsia="Cambria Math" w:cs="Times New Roman"/>
          <w:i/>
          <w:iCs w:val="0"/>
          <w:sz w:val="28"/>
          <w:vertAlign w:val="subscript"/>
          <w:lang w:val="en-US" w:eastAsia="zh-CN"/>
        </w:rPr>
        <w:t>d,y</w:t>
      </w:r>
      <w:r>
        <w:rPr>
          <w:rFonts w:hint="default" w:ascii="Times New Roman" w:hAnsi="Times New Roman" w:eastAsia="Cambria Math" w:cs="Times New Roman"/>
          <w:i w:val="0"/>
          <w:iCs/>
          <w:sz w:val="28"/>
          <w:vertAlign w:val="subscript"/>
        </w:rPr>
        <w:t xml:space="preserve"> </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w:t>
      </w:r>
      <w:r>
        <w:rPr>
          <w:rFonts w:hint="default" w:ascii="Times New Roman" w:hAnsi="Times New Roman" w:eastAsia="宋体" w:cs="Times New Roman"/>
          <w:i w:val="0"/>
          <w:iCs/>
          <w:sz w:val="28"/>
          <w:lang w:val="en-US" w:eastAsia="zh-CN"/>
        </w:rPr>
        <w:t>储能电站的放电电量</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MWh</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7939BD5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lang w:val="en-US"/>
        </w:rPr>
      </w:pPr>
      <w:r>
        <w:rPr>
          <w:rFonts w:hint="default" w:ascii="Times New Roman" w:hAnsi="Times New Roman" w:eastAsia="Cambria Math" w:cs="Times New Roman"/>
          <w:i/>
          <w:iCs w:val="0"/>
          <w:sz w:val="28"/>
        </w:rPr>
        <w:t>EF</w:t>
      </w:r>
      <w:r>
        <w:rPr>
          <w:rFonts w:hint="default" w:ascii="Times New Roman" w:hAnsi="Times New Roman" w:eastAsia="Cambria Math" w:cs="Times New Roman"/>
          <w:i/>
          <w:iCs w:val="0"/>
          <w:sz w:val="28"/>
          <w:vertAlign w:val="subscript"/>
          <w:lang w:val="en-US" w:eastAsia="zh-CN"/>
        </w:rPr>
        <w:t>grid,y</w:t>
      </w:r>
      <w:r>
        <w:rPr>
          <w:rFonts w:hint="default" w:ascii="Times New Roman" w:hAnsi="Times New Roman" w:eastAsia="Cambria Math" w:cs="Times New Roman"/>
          <w:i/>
          <w:iCs w:val="0"/>
          <w:sz w:val="28"/>
        </w:rPr>
        <w:t xml:space="preserve"> </w:t>
      </w:r>
      <w:r>
        <w:rPr>
          <w:rFonts w:hint="default" w:ascii="Times New Roman" w:hAnsi="Times New Roman" w:eastAsia="Cambria Math" w:cs="Times New Roman"/>
          <w:i w:val="0"/>
          <w:iCs/>
          <w:sz w:val="28"/>
        </w:rPr>
        <w:t xml:space="preserve">—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时段，电网分时分区电碳因子值（</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default" w:ascii="Times New Roman" w:hAnsi="Times New Roman" w:eastAsia="宋体" w:cs="Times New Roman"/>
          <w:i w:val="0"/>
          <w:iCs/>
          <w:sz w:val="28"/>
          <w:lang w:val="en-US" w:eastAsia="zh-CN"/>
        </w:rPr>
        <w:t>/</w:t>
      </w:r>
      <w:r>
        <w:rPr>
          <w:rFonts w:hint="default" w:ascii="Times New Roman" w:hAnsi="Times New Roman" w:eastAsia="Cambria Math" w:cs="Times New Roman"/>
          <w:i w:val="0"/>
          <w:iCs/>
          <w:sz w:val="28"/>
        </w:rPr>
        <w:t>MWh</w:t>
      </w:r>
      <w:r>
        <w:rPr>
          <w:rFonts w:hint="default" w:ascii="Times New Roman" w:hAnsi="Times New Roman" w:eastAsia="宋体" w:cs="Times New Roman"/>
          <w:i w:val="0"/>
          <w:iCs/>
          <w:sz w:val="28"/>
          <w:lang w:val="en-US" w:eastAsia="zh-CN"/>
        </w:rPr>
        <w:t>）</w:t>
      </w:r>
      <w:r>
        <w:rPr>
          <w:rFonts w:hint="eastAsia" w:ascii="Times New Roman" w:hAnsi="Times New Roman" w:eastAsia="宋体" w:cs="Times New Roman"/>
          <w:i w:val="0"/>
          <w:iCs/>
          <w:sz w:val="28"/>
          <w:lang w:val="en-US" w:eastAsia="zh-CN"/>
        </w:rPr>
        <w:t>。</w:t>
      </w:r>
    </w:p>
    <w:p w14:paraId="37C0F0DD">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7.4 减排项目排放</w:t>
      </w:r>
      <w:bookmarkEnd w:id="16"/>
      <w:r>
        <w:rPr>
          <w:rFonts w:hint="eastAsia" w:cs="宋体"/>
          <w:b w:val="0"/>
          <w:bCs/>
          <w:spacing w:val="-5"/>
          <w:sz w:val="28"/>
          <w:szCs w:val="28"/>
          <w:lang w:val="en-US" w:eastAsia="zh-CN"/>
        </w:rPr>
        <w:t>计算</w:t>
      </w:r>
    </w:p>
    <w:p w14:paraId="5F1DA9D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default" w:ascii="宋体" w:hAnsi="宋体" w:eastAsia="宋体" w:cs="宋体"/>
          <w:kern w:val="0"/>
          <w:sz w:val="28"/>
          <w:szCs w:val="28"/>
          <w:lang w:val="en-US" w:eastAsia="zh-CN"/>
        </w:rPr>
        <w:t>项目排放量指在项目情景下，储能电站在充电过程中从电网取电所产生的碳排放</w:t>
      </w:r>
      <w:r>
        <w:rPr>
          <w:rFonts w:hint="eastAsia" w:ascii="宋体" w:hAnsi="宋体" w:eastAsia="宋体" w:cs="宋体"/>
          <w:kern w:val="0"/>
          <w:sz w:val="28"/>
          <w:szCs w:val="28"/>
          <w:lang w:val="en-US" w:eastAsia="zh-CN"/>
        </w:rPr>
        <w:t>、</w:t>
      </w:r>
      <w:r>
        <w:rPr>
          <w:rFonts w:hint="default" w:ascii="宋体" w:hAnsi="宋体" w:eastAsia="宋体" w:cs="宋体"/>
          <w:kern w:val="0"/>
          <w:sz w:val="28"/>
          <w:szCs w:val="28"/>
          <w:lang w:val="en-US" w:eastAsia="zh-CN"/>
        </w:rPr>
        <w:t>储能电站充电时从电网吸收的电量并非全部来自清洁能源，其中一部分由化石燃料发电提供，由此产生相</w:t>
      </w:r>
      <w:bookmarkStart w:id="21" w:name="_GoBack"/>
      <w:bookmarkEnd w:id="21"/>
      <w:r>
        <w:rPr>
          <w:rFonts w:hint="default" w:ascii="宋体" w:hAnsi="宋体" w:eastAsia="宋体" w:cs="宋体"/>
          <w:kern w:val="0"/>
          <w:sz w:val="28"/>
          <w:szCs w:val="28"/>
          <w:lang w:val="en-US" w:eastAsia="zh-CN"/>
        </w:rPr>
        <w:t>应的</w:t>
      </w:r>
      <w:r>
        <w:rPr>
          <w:rFonts w:hint="default" w:ascii="Times New Roman" w:hAnsi="Times New Roman" w:eastAsia="Cambria Math" w:cs="Times New Roman"/>
          <w:i w:val="0"/>
          <w:iCs/>
          <w:sz w:val="28"/>
        </w:rPr>
        <w:t>CO</w:t>
      </w:r>
      <w:r>
        <w:rPr>
          <w:rFonts w:hint="default" w:ascii="Times New Roman" w:hAnsi="Times New Roman" w:eastAsia="Cambria Math" w:cs="Times New Roman"/>
          <w:i w:val="0"/>
          <w:iCs/>
          <w:sz w:val="28"/>
          <w:vertAlign w:val="subscript"/>
        </w:rPr>
        <w:t>2</w:t>
      </w:r>
      <w:r>
        <w:rPr>
          <w:rFonts w:hint="default" w:ascii="宋体" w:hAnsi="宋体" w:eastAsia="宋体" w:cs="宋体"/>
          <w:kern w:val="0"/>
          <w:sz w:val="28"/>
          <w:szCs w:val="28"/>
          <w:lang w:val="en-US" w:eastAsia="zh-CN"/>
        </w:rPr>
        <w:t>排放。</w:t>
      </w:r>
    </w:p>
    <w:p w14:paraId="39D1F84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宋体" w:cs="Times New Roman"/>
          <w:kern w:val="0"/>
          <w:sz w:val="28"/>
          <w:szCs w:val="28"/>
          <w:lang w:val="en-US" w:eastAsia="zh-CN"/>
        </w:rPr>
      </w:pPr>
      <w:r>
        <w:rPr>
          <w:rFonts w:hint="default" w:ascii="宋体" w:hAnsi="宋体" w:eastAsia="宋体" w:cs="宋体"/>
          <w:kern w:val="0"/>
          <w:sz w:val="28"/>
          <w:szCs w:val="28"/>
          <w:lang w:val="en-US" w:eastAsia="zh-CN"/>
        </w:rPr>
        <w:t>项目排放的计</w:t>
      </w:r>
      <w:r>
        <w:rPr>
          <w:rFonts w:hint="default" w:ascii="Times New Roman" w:hAnsi="Times New Roman" w:eastAsia="宋体" w:cs="Times New Roman"/>
          <w:kern w:val="0"/>
          <w:sz w:val="28"/>
          <w:szCs w:val="28"/>
          <w:lang w:val="en-US" w:eastAsia="zh-CN"/>
        </w:rPr>
        <w:t>算公式为：</w:t>
      </w:r>
    </w:p>
    <w:p w14:paraId="2801B02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right"/>
        <w:textAlignment w:val="auto"/>
        <w:rPr>
          <w:rFonts w:hint="default" w:ascii="Times New Roman" w:hAnsi="Times New Roman" w:eastAsia="宋体" w:cs="Times New Roman"/>
          <w:i w:val="0"/>
          <w:iCs/>
          <w:sz w:val="28"/>
          <w:lang w:val="en-US" w:eastAsia="zh-CN"/>
        </w:rPr>
      </w:pPr>
      <w:bookmarkStart w:id="17" w:name="_Toc170134111"/>
      <w:r>
        <w:rPr>
          <w:rFonts w:hint="default" w:ascii="Times New Roman" w:hAnsi="Times New Roman" w:eastAsia="Cambria Math" w:cs="Times New Roman"/>
          <w:i/>
          <w:iCs w:val="0"/>
          <w:sz w:val="28"/>
        </w:rPr>
        <w:t>PE</w:t>
      </w:r>
      <w:r>
        <w:rPr>
          <w:rFonts w:hint="default" w:ascii="Times New Roman" w:hAnsi="Times New Roman" w:eastAsia="Cambria Math" w:cs="Times New Roman"/>
          <w:i/>
          <w:iCs w:val="0"/>
          <w:sz w:val="28"/>
          <w:vertAlign w:val="subscript"/>
        </w:rPr>
        <w:t>y</w:t>
      </w:r>
      <w:r>
        <w:rPr>
          <w:rFonts w:hint="default" w:ascii="Times New Roman" w:hAnsi="Times New Roman" w:eastAsia="Cambria Math" w:cs="Times New Roman"/>
          <w:i/>
          <w:iCs w:val="0"/>
          <w:sz w:val="28"/>
        </w:rPr>
        <w:t xml:space="preserve"> = EG</w:t>
      </w:r>
      <w:r>
        <w:rPr>
          <w:rFonts w:hint="default" w:ascii="Times New Roman" w:hAnsi="Times New Roman" w:eastAsia="Cambria Math" w:cs="Times New Roman"/>
          <w:i/>
          <w:iCs w:val="0"/>
          <w:sz w:val="28"/>
          <w:vertAlign w:val="subscript"/>
          <w:lang w:val="en-US" w:eastAsia="zh-CN"/>
        </w:rPr>
        <w:t>c</w:t>
      </w:r>
      <w:r>
        <w:rPr>
          <w:rFonts w:hint="default" w:ascii="Times New Roman" w:hAnsi="Times New Roman" w:eastAsia="Cambria Math" w:cs="Times New Roman"/>
          <w:i/>
          <w:iCs w:val="0"/>
          <w:sz w:val="28"/>
          <w:vertAlign w:val="subscript"/>
        </w:rPr>
        <w:t>,y</w:t>
      </w:r>
      <w:r>
        <w:rPr>
          <w:rFonts w:hint="default" w:ascii="Times New Roman" w:hAnsi="Times New Roman" w:eastAsia="Cambria Math" w:cs="Times New Roman"/>
          <w:i/>
          <w:iCs w:val="0"/>
          <w:sz w:val="28"/>
        </w:rPr>
        <w:t xml:space="preserve"> × EF</w:t>
      </w:r>
      <w:r>
        <w:rPr>
          <w:rFonts w:hint="default" w:ascii="Times New Roman" w:hAnsi="Times New Roman" w:eastAsia="Cambria Math" w:cs="Times New Roman"/>
          <w:i/>
          <w:iCs w:val="0"/>
          <w:sz w:val="28"/>
          <w:vertAlign w:val="subscript"/>
          <w:lang w:val="en-US" w:eastAsia="zh-CN"/>
        </w:rPr>
        <w:t>grid,y</w:t>
      </w:r>
      <w:r>
        <w:rPr>
          <w:rFonts w:hint="default" w:ascii="Times New Roman" w:hAnsi="Times New Roman" w:eastAsia="Cambria Math" w:cs="Times New Roman"/>
          <w:i/>
          <w:iCs w:val="0"/>
          <w:sz w:val="28"/>
          <w:lang w:val="en-US" w:eastAsia="zh-CN"/>
        </w:rPr>
        <w:t xml:space="preserve"> </w:t>
      </w:r>
      <w:r>
        <w:rPr>
          <w:rFonts w:hint="eastAsia" w:ascii="Times New Roman" w:hAnsi="Times New Roman" w:eastAsia="Cambria Math" w:cs="Times New Roman"/>
          <w:i/>
          <w:iCs w:val="0"/>
          <w:sz w:val="28"/>
          <w:lang w:val="en-US" w:eastAsia="zh-CN"/>
        </w:rPr>
        <w:t>+</w:t>
      </w:r>
      <w:r>
        <w:rPr>
          <w:rFonts w:hint="default" w:ascii="Times New Roman" w:hAnsi="Times New Roman" w:eastAsia="Cambria Math" w:cs="Times New Roman"/>
          <w:i/>
          <w:iCs w:val="0"/>
          <w:sz w:val="28"/>
        </w:rPr>
        <w:t>EG</w:t>
      </w:r>
      <w:r>
        <w:rPr>
          <w:rFonts w:hint="eastAsia" w:ascii="Times New Roman" w:hAnsi="Times New Roman" w:eastAsia="Cambria Math" w:cs="Times New Roman"/>
          <w:i/>
          <w:iCs w:val="0"/>
          <w:sz w:val="28"/>
          <w:vertAlign w:val="subscript"/>
          <w:lang w:val="en-US" w:eastAsia="zh-CN"/>
        </w:rPr>
        <w:t>oge</w:t>
      </w:r>
      <w:r>
        <w:rPr>
          <w:rFonts w:hint="default" w:ascii="Times New Roman" w:hAnsi="Times New Roman" w:eastAsia="Cambria Math" w:cs="Times New Roman"/>
          <w:i/>
          <w:iCs w:val="0"/>
          <w:sz w:val="28"/>
          <w:vertAlign w:val="subscript"/>
        </w:rPr>
        <w:t>,y</w:t>
      </w:r>
      <w:r>
        <w:rPr>
          <w:rFonts w:hint="default" w:ascii="Times New Roman" w:hAnsi="Times New Roman" w:eastAsia="Cambria Math" w:cs="Times New Roman"/>
          <w:i/>
          <w:iCs w:val="0"/>
          <w:sz w:val="28"/>
        </w:rPr>
        <w:t xml:space="preserve"> × EF</w:t>
      </w:r>
      <w:r>
        <w:rPr>
          <w:rFonts w:hint="default" w:ascii="Times New Roman" w:hAnsi="Times New Roman" w:eastAsia="Cambria Math" w:cs="Times New Roman"/>
          <w:i/>
          <w:iCs w:val="0"/>
          <w:sz w:val="28"/>
          <w:vertAlign w:val="subscript"/>
          <w:lang w:val="en-US" w:eastAsia="zh-CN"/>
        </w:rPr>
        <w:t>grid,y</w:t>
      </w:r>
      <w:r>
        <w:rPr>
          <w:rFonts w:hint="default" w:ascii="Times New Roman" w:hAnsi="Times New Roman" w:eastAsia="Cambria Math" w:cs="Times New Roman"/>
          <w:i/>
          <w:iCs w:val="0"/>
          <w:sz w:val="28"/>
          <w:lang w:val="en-US" w:eastAsia="zh-CN"/>
        </w:rPr>
        <w:t xml:space="preserve"> </w:t>
      </w:r>
      <w:r>
        <w:rPr>
          <w:rFonts w:hint="default" w:ascii="Times New Roman" w:hAnsi="Times New Roman" w:eastAsia="宋体" w:cs="Times New Roman"/>
          <w:i w:val="0"/>
          <w:iCs/>
          <w:sz w:val="28"/>
          <w:vertAlign w:val="baseline"/>
          <w:lang w:val="en-US" w:eastAsia="zh-CN"/>
        </w:rPr>
        <w:t xml:space="preserve">            </w:t>
      </w:r>
      <w:r>
        <w:rPr>
          <w:rFonts w:hint="eastAsia" w:ascii="Times New Roman" w:hAnsi="Times New Roman" w:eastAsia="宋体" w:cs="Times New Roman"/>
          <w:i w:val="0"/>
          <w:iCs/>
          <w:sz w:val="28"/>
          <w:vertAlign w:val="baseline"/>
          <w:lang w:val="en-US" w:eastAsia="zh-CN"/>
        </w:rPr>
        <w:t>(</w:t>
      </w:r>
      <w:r>
        <w:rPr>
          <w:rFonts w:hint="default" w:ascii="Times New Roman" w:hAnsi="Times New Roman" w:eastAsia="宋体" w:cs="Times New Roman"/>
          <w:i w:val="0"/>
          <w:iCs/>
          <w:sz w:val="28"/>
          <w:vertAlign w:val="baseline"/>
          <w:lang w:val="en-US" w:eastAsia="zh-CN"/>
        </w:rPr>
        <w:t>2</w:t>
      </w:r>
      <w:r>
        <w:rPr>
          <w:rFonts w:hint="eastAsia" w:ascii="Times New Roman" w:hAnsi="Times New Roman" w:eastAsia="宋体" w:cs="Times New Roman"/>
          <w:i w:val="0"/>
          <w:iCs/>
          <w:sz w:val="28"/>
          <w:vertAlign w:val="baseline"/>
          <w:lang w:val="en-US" w:eastAsia="zh-CN"/>
        </w:rPr>
        <w:t>)</w:t>
      </w:r>
    </w:p>
    <w:p w14:paraId="5C6112F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val="0"/>
          <w:iCs/>
          <w:sz w:val="28"/>
        </w:rPr>
        <w:t xml:space="preserve">式中：   </w:t>
      </w:r>
    </w:p>
    <w:p w14:paraId="5E79F2B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iCs w:val="0"/>
          <w:sz w:val="28"/>
        </w:rPr>
        <w:t>PE</w:t>
      </w:r>
      <w:r>
        <w:rPr>
          <w:rFonts w:hint="default" w:ascii="Times New Roman" w:hAnsi="Times New Roman" w:eastAsia="Cambria Math" w:cs="Times New Roman"/>
          <w:i/>
          <w:iCs w:val="0"/>
          <w:sz w:val="28"/>
          <w:vertAlign w:val="subscript"/>
          <w:lang w:val="en-US" w:eastAsia="zh-CN"/>
        </w:rPr>
        <w:t>y</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的项目排放</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default" w:ascii="Times New Roman" w:hAnsi="Times New Roman" w:eastAsia="Cambria Math" w:cs="Times New Roman"/>
          <w:i w:val="0"/>
          <w:iCs/>
          <w:sz w:val="28"/>
        </w:rPr>
        <w:t>/yr</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4C89D32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iCs w:val="0"/>
          <w:sz w:val="28"/>
        </w:rPr>
        <w:t>EG</w:t>
      </w:r>
      <w:r>
        <w:rPr>
          <w:rFonts w:hint="default" w:ascii="Times New Roman" w:hAnsi="Times New Roman" w:eastAsia="Cambria Math" w:cs="Times New Roman"/>
          <w:i/>
          <w:iCs w:val="0"/>
          <w:sz w:val="28"/>
          <w:vertAlign w:val="subscript"/>
          <w:lang w:val="en-US" w:eastAsia="zh-CN"/>
        </w:rPr>
        <w:t>c,y</w:t>
      </w:r>
      <w:r>
        <w:rPr>
          <w:rFonts w:hint="default" w:ascii="Times New Roman" w:hAnsi="Times New Roman" w:eastAsia="Cambria Math" w:cs="Times New Roman"/>
          <w:i/>
          <w:iCs w:val="0"/>
          <w:sz w:val="28"/>
        </w:rPr>
        <w:t xml:space="preserve"> </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，电化学储能电站</w:t>
      </w:r>
      <w:r>
        <w:rPr>
          <w:rFonts w:hint="default" w:ascii="Times New Roman" w:hAnsi="Times New Roman" w:eastAsia="宋体" w:cs="Times New Roman"/>
          <w:i w:val="0"/>
          <w:iCs/>
          <w:sz w:val="28"/>
          <w:lang w:val="en-US" w:eastAsia="zh-CN"/>
        </w:rPr>
        <w:t>充电电量</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MWh</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632FCF9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宋体" w:cs="Times New Roman"/>
          <w:i w:val="0"/>
          <w:iCs/>
          <w:sz w:val="28"/>
          <w:lang w:val="en-US" w:eastAsia="zh-CN"/>
        </w:rPr>
      </w:pPr>
      <w:r>
        <w:rPr>
          <w:rFonts w:hint="eastAsia" w:ascii="Times New Roman" w:hAnsi="Times New Roman" w:eastAsia="宋体" w:cs="Times New Roman"/>
          <w:i/>
          <w:iCs w:val="0"/>
          <w:sz w:val="28"/>
          <w:lang w:val="en-US" w:eastAsia="zh-CN"/>
        </w:rPr>
        <w:t>EG</w:t>
      </w:r>
      <w:r>
        <w:rPr>
          <w:rFonts w:hint="eastAsia" w:ascii="Times New Roman" w:hAnsi="Times New Roman" w:eastAsia="宋体" w:cs="Times New Roman"/>
          <w:i/>
          <w:iCs w:val="0"/>
          <w:sz w:val="28"/>
          <w:vertAlign w:val="subscript"/>
          <w:lang w:val="en-US" w:eastAsia="zh-CN"/>
        </w:rPr>
        <w:t>oge,y</w:t>
      </w:r>
      <w:r>
        <w:rPr>
          <w:rFonts w:hint="eastAsia" w:ascii="Times New Roman" w:hAnsi="Times New Roman" w:eastAsia="宋体" w:cs="Times New Roman"/>
          <w:i/>
          <w:iCs w:val="0"/>
          <w:sz w:val="28"/>
          <w:vertAlign w:val="baseline"/>
          <w:lang w:val="en-US" w:eastAsia="zh-CN"/>
        </w:rPr>
        <w:t xml:space="preserve"> </w:t>
      </w:r>
      <w:r>
        <w:rPr>
          <w:rFonts w:hint="eastAsia" w:ascii="Times New Roman" w:hAnsi="Times New Roman" w:eastAsia="宋体" w:cs="Times New Roman"/>
          <w:i w:val="0"/>
          <w:iCs/>
          <w:sz w:val="28"/>
          <w:lang w:val="en-US" w:eastAsia="zh-CN"/>
        </w:rPr>
        <w:t>— 在 y 时段，电化学储能电站厂用电，即储能电站照明、空调等运行的用电量</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MWh</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61B7413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lang w:val="en-US"/>
        </w:rPr>
      </w:pPr>
      <w:r>
        <w:rPr>
          <w:rFonts w:hint="default" w:ascii="Times New Roman" w:hAnsi="Times New Roman" w:eastAsia="Cambria Math" w:cs="Times New Roman"/>
          <w:i/>
          <w:iCs w:val="0"/>
          <w:sz w:val="28"/>
        </w:rPr>
        <w:t>EF</w:t>
      </w:r>
      <w:r>
        <w:rPr>
          <w:rFonts w:hint="default" w:ascii="Times New Roman" w:hAnsi="Times New Roman" w:eastAsia="Cambria Math" w:cs="Times New Roman"/>
          <w:i/>
          <w:iCs w:val="0"/>
          <w:sz w:val="28"/>
          <w:vertAlign w:val="subscript"/>
          <w:lang w:val="en-US" w:eastAsia="zh-CN"/>
        </w:rPr>
        <w:t>grid,y</w:t>
      </w:r>
      <w:r>
        <w:rPr>
          <w:rFonts w:hint="default" w:ascii="Times New Roman" w:hAnsi="Times New Roman" w:eastAsia="Cambria Math" w:cs="Times New Roman"/>
          <w:i/>
          <w:iCs w:val="0"/>
          <w:sz w:val="28"/>
        </w:rPr>
        <w:t xml:space="preserve"> </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时段，电网分时分区电碳因子值（</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default" w:ascii="Times New Roman" w:hAnsi="Times New Roman" w:eastAsia="宋体" w:cs="Times New Roman"/>
          <w:i w:val="0"/>
          <w:iCs/>
          <w:sz w:val="28"/>
          <w:lang w:val="en-US" w:eastAsia="zh-CN"/>
        </w:rPr>
        <w:t>/</w:t>
      </w:r>
      <w:r>
        <w:rPr>
          <w:rFonts w:hint="default" w:ascii="Times New Roman" w:hAnsi="Times New Roman" w:eastAsia="Cambria Math" w:cs="Times New Roman"/>
          <w:i w:val="0"/>
          <w:iCs/>
          <w:sz w:val="28"/>
        </w:rPr>
        <w:t>MWh</w:t>
      </w:r>
      <w:r>
        <w:rPr>
          <w:rFonts w:hint="default" w:ascii="Times New Roman" w:hAnsi="Times New Roman" w:eastAsia="宋体" w:cs="Times New Roman"/>
          <w:i w:val="0"/>
          <w:iCs/>
          <w:sz w:val="28"/>
          <w:lang w:val="en-US" w:eastAsia="zh-CN"/>
        </w:rPr>
        <w:t>）</w:t>
      </w:r>
    </w:p>
    <w:p w14:paraId="75757E3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7.5 泄漏计算</w:t>
      </w:r>
    </w:p>
    <w:p w14:paraId="5239202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本方法学不考虑泄漏。</w:t>
      </w:r>
    </w:p>
    <w:p w14:paraId="3991C040">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7.6 减排量核算</w:t>
      </w:r>
    </w:p>
    <w:p w14:paraId="278939A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根据基准线情景和项目排放计算充电行为碳排放，则减排量为：</w:t>
      </w:r>
    </w:p>
    <w:p w14:paraId="43486B29">
      <w:pPr>
        <w:tabs>
          <w:tab w:val="left" w:pos="1269"/>
          <w:tab w:val="left" w:pos="1270"/>
        </w:tabs>
        <w:autoSpaceDE w:val="0"/>
        <w:autoSpaceDN w:val="0"/>
        <w:snapToGrid w:val="0"/>
        <w:spacing w:line="360" w:lineRule="auto"/>
        <w:ind w:firstLine="560" w:firstLineChars="200"/>
        <w:jc w:val="right"/>
        <w:rPr>
          <w:rFonts w:hint="default" w:ascii="Cambria Math" w:hAnsi="Cambria Math" w:eastAsia="宋体"/>
          <w:i w:val="0"/>
          <w:iCs/>
          <w:sz w:val="28"/>
          <w:vertAlign w:val="subscript"/>
          <w:lang w:val="en-US" w:eastAsia="zh-CN"/>
        </w:rPr>
      </w:pPr>
      <w:r>
        <w:rPr>
          <w:rFonts w:hint="default" w:ascii="Cambria Math" w:hAnsi="Cambria Math" w:eastAsia="Cambria Math"/>
          <w:i/>
          <w:iCs w:val="0"/>
          <w:sz w:val="28"/>
        </w:rPr>
        <w:t>ER</w:t>
      </w:r>
      <w:r>
        <w:rPr>
          <w:rFonts w:hint="default" w:ascii="Cambria Math" w:hAnsi="Cambria Math" w:eastAsia="Cambria Math"/>
          <w:i/>
          <w:iCs w:val="0"/>
          <w:sz w:val="28"/>
          <w:vertAlign w:val="subscript"/>
        </w:rPr>
        <w:t>y</w:t>
      </w:r>
      <w:r>
        <w:rPr>
          <w:rFonts w:hint="default" w:ascii="Cambria Math" w:hAnsi="Cambria Math" w:eastAsia="Cambria Math"/>
          <w:i/>
          <w:iCs w:val="0"/>
          <w:sz w:val="28"/>
        </w:rPr>
        <w:t xml:space="preserve"> </w:t>
      </w:r>
      <w:r>
        <w:rPr>
          <w:rFonts w:hint="eastAsia" w:ascii="Cambria Math" w:hAnsi="Cambria Math" w:eastAsia="宋体"/>
          <w:i/>
          <w:iCs w:val="0"/>
          <w:sz w:val="28"/>
          <w:lang w:val="en-US" w:eastAsia="zh-CN"/>
        </w:rPr>
        <w:t>=</w:t>
      </w:r>
      <w:r>
        <w:rPr>
          <w:rFonts w:hint="default" w:ascii="Cambria Math" w:hAnsi="Cambria Math" w:eastAsia="Cambria Math"/>
          <w:i/>
          <w:iCs w:val="0"/>
          <w:sz w:val="28"/>
        </w:rPr>
        <w:t>BE</w:t>
      </w:r>
      <w:r>
        <w:rPr>
          <w:rFonts w:hint="default" w:ascii="Cambria Math" w:hAnsi="Cambria Math" w:eastAsia="Cambria Math"/>
          <w:i/>
          <w:iCs w:val="0"/>
          <w:sz w:val="28"/>
          <w:vertAlign w:val="subscript"/>
        </w:rPr>
        <w:t>y</w:t>
      </w:r>
      <w:r>
        <w:rPr>
          <w:rFonts w:hint="eastAsia" w:ascii="Cambria Math" w:hAnsi="Cambria Math" w:eastAsia="宋体"/>
          <w:i/>
          <w:iCs w:val="0"/>
          <w:sz w:val="28"/>
          <w:vertAlign w:val="subscript"/>
          <w:lang w:val="en-US" w:eastAsia="zh-CN"/>
        </w:rPr>
        <w:t xml:space="preserve"> </w:t>
      </w:r>
      <w:r>
        <w:rPr>
          <w:rFonts w:hint="eastAsia" w:ascii="Cambria Math" w:hAnsi="Cambria Math" w:eastAsia="宋体"/>
          <w:i/>
          <w:iCs w:val="0"/>
          <w:sz w:val="28"/>
          <w:vertAlign w:val="baseline"/>
          <w:lang w:val="en-US" w:eastAsia="zh-CN"/>
        </w:rPr>
        <w:t>-</w:t>
      </w:r>
      <w:r>
        <w:rPr>
          <w:rFonts w:hint="default" w:ascii="Cambria Math" w:hAnsi="Cambria Math" w:eastAsia="Cambria Math"/>
          <w:i/>
          <w:iCs w:val="0"/>
          <w:sz w:val="28"/>
        </w:rPr>
        <w:t>PE</w:t>
      </w:r>
      <w:r>
        <w:rPr>
          <w:rFonts w:hint="default" w:ascii="Cambria Math" w:hAnsi="Cambria Math" w:eastAsia="Cambria Math"/>
          <w:i/>
          <w:iCs w:val="0"/>
          <w:sz w:val="28"/>
          <w:vertAlign w:val="subscript"/>
        </w:rPr>
        <w:t>y</w:t>
      </w:r>
      <w:r>
        <w:rPr>
          <w:rFonts w:hint="eastAsia" w:ascii="Cambria Math" w:hAnsi="Cambria Math" w:eastAsia="宋体"/>
          <w:i/>
          <w:iCs w:val="0"/>
          <w:sz w:val="28"/>
          <w:vertAlign w:val="baseline"/>
          <w:lang w:val="en-US" w:eastAsia="zh-CN"/>
        </w:rPr>
        <w:t xml:space="preserve">   </w:t>
      </w:r>
      <w:r>
        <w:rPr>
          <w:rFonts w:hint="eastAsia" w:ascii="Cambria Math" w:hAnsi="Cambria Math" w:eastAsia="宋体"/>
          <w:i w:val="0"/>
          <w:iCs/>
          <w:sz w:val="28"/>
          <w:vertAlign w:val="baseline"/>
          <w:lang w:val="en-US" w:eastAsia="zh-CN"/>
        </w:rPr>
        <w:t xml:space="preserve">              （3）</w:t>
      </w:r>
    </w:p>
    <w:p w14:paraId="6BF0A7CD">
      <w:pPr>
        <w:tabs>
          <w:tab w:val="left" w:pos="1269"/>
          <w:tab w:val="left" w:pos="1270"/>
        </w:tabs>
        <w:autoSpaceDE w:val="0"/>
        <w:autoSpaceDN w:val="0"/>
        <w:snapToGrid w:val="0"/>
        <w:spacing w:line="360" w:lineRule="auto"/>
        <w:ind w:firstLine="560" w:firstLineChars="200"/>
        <w:jc w:val="left"/>
        <w:rPr>
          <w:rFonts w:hint="eastAsia" w:ascii="Cambria Math" w:hAnsi="Cambria Math" w:eastAsia="宋体"/>
          <w:i w:val="0"/>
          <w:iCs/>
          <w:sz w:val="28"/>
          <w:vertAlign w:val="baseline"/>
          <w:lang w:val="en-US" w:eastAsia="zh-CN"/>
        </w:rPr>
      </w:pPr>
      <w:r>
        <w:rPr>
          <w:rFonts w:hint="eastAsia" w:ascii="Cambria Math" w:hAnsi="Cambria Math" w:eastAsia="宋体"/>
          <w:i w:val="0"/>
          <w:iCs/>
          <w:sz w:val="28"/>
          <w:vertAlign w:val="baseline"/>
          <w:lang w:val="en-US" w:eastAsia="zh-CN"/>
        </w:rPr>
        <w:t>式中：</w:t>
      </w:r>
    </w:p>
    <w:p w14:paraId="7DB380C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Cambria Math" w:hAnsi="Cambria Math" w:eastAsia="Cambria Math"/>
          <w:i/>
          <w:iCs w:val="0"/>
          <w:sz w:val="28"/>
        </w:rPr>
        <w:t>ER</w:t>
      </w:r>
      <w:r>
        <w:rPr>
          <w:rFonts w:hint="default" w:ascii="Times New Roman" w:hAnsi="Times New Roman" w:eastAsia="Cambria Math" w:cs="Times New Roman"/>
          <w:i/>
          <w:iCs w:val="0"/>
          <w:sz w:val="28"/>
          <w:vertAlign w:val="subscript"/>
          <w:lang w:val="en-US" w:eastAsia="zh-CN"/>
        </w:rPr>
        <w:t>y</w:t>
      </w:r>
      <w:r>
        <w:rPr>
          <w:rFonts w:hint="default" w:ascii="Cambria Math" w:hAnsi="Cambria Math" w:eastAsia="Cambria Math"/>
          <w:i w:val="0"/>
          <w:iCs/>
          <w:sz w:val="28"/>
        </w:rPr>
        <w:t xml:space="preserve">  — 在 </w:t>
      </w:r>
      <w:r>
        <w:rPr>
          <w:rFonts w:hint="default" w:ascii="Cambria Math" w:hAnsi="Cambria Math" w:eastAsia="Cambria Math"/>
          <w:i/>
          <w:iCs w:val="0"/>
          <w:sz w:val="28"/>
        </w:rPr>
        <w:t xml:space="preserve">y </w:t>
      </w:r>
      <w:r>
        <w:rPr>
          <w:rFonts w:hint="eastAsia" w:ascii="Cambria Math" w:hAnsi="Cambria Math" w:eastAsia="宋体"/>
          <w:i w:val="0"/>
          <w:iCs/>
          <w:sz w:val="28"/>
          <w:lang w:val="en-US" w:eastAsia="zh-CN"/>
        </w:rPr>
        <w:t>时</w:t>
      </w:r>
      <w:r>
        <w:rPr>
          <w:rFonts w:hint="default" w:ascii="Times New Roman" w:hAnsi="Times New Roman" w:eastAsia="宋体" w:cs="Times New Roman"/>
          <w:i w:val="0"/>
          <w:iCs/>
          <w:sz w:val="28"/>
          <w:lang w:val="en-US" w:eastAsia="zh-CN"/>
        </w:rPr>
        <w:t>段</w:t>
      </w:r>
      <w:r>
        <w:rPr>
          <w:rFonts w:hint="default" w:ascii="Times New Roman" w:hAnsi="Times New Roman" w:eastAsia="Cambria Math" w:cs="Times New Roman"/>
          <w:i w:val="0"/>
          <w:iCs/>
          <w:sz w:val="28"/>
        </w:rPr>
        <w:t>的减排量</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eastAsia" w:ascii="Times New Roman" w:hAnsi="Times New Roman" w:eastAsia="宋体" w:cs="Times New Roman"/>
          <w:i w:val="0"/>
          <w:iCs/>
          <w:sz w:val="28"/>
          <w:vertAlign w:val="baseline"/>
          <w:lang w:eastAsia="zh-CN"/>
        </w:rPr>
        <w:t>）</w:t>
      </w:r>
      <w:r>
        <w:rPr>
          <w:rFonts w:hint="default" w:ascii="Times New Roman" w:hAnsi="Times New Roman" w:eastAsia="Cambria Math" w:cs="Times New Roman"/>
          <w:i w:val="0"/>
          <w:iCs/>
          <w:sz w:val="28"/>
        </w:rPr>
        <w:t>；</w:t>
      </w:r>
    </w:p>
    <w:p w14:paraId="19FB7F8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Cambria Math" w:cs="Times New Roman"/>
          <w:i w:val="0"/>
          <w:iCs/>
          <w:sz w:val="28"/>
        </w:rPr>
      </w:pPr>
      <w:r>
        <w:rPr>
          <w:rFonts w:hint="default" w:ascii="Times New Roman" w:hAnsi="Times New Roman" w:eastAsia="Cambria Math" w:cs="Times New Roman"/>
          <w:i/>
          <w:iCs w:val="0"/>
          <w:sz w:val="28"/>
        </w:rPr>
        <w:t>BE</w:t>
      </w:r>
      <w:r>
        <w:rPr>
          <w:rFonts w:hint="default" w:ascii="Times New Roman" w:hAnsi="Times New Roman" w:eastAsia="Cambria Math" w:cs="Times New Roman"/>
          <w:i/>
          <w:iCs w:val="0"/>
          <w:sz w:val="28"/>
          <w:vertAlign w:val="subscript"/>
        </w:rPr>
        <w:t>y</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的基准线排放</w:t>
      </w:r>
      <w:r>
        <w:rPr>
          <w:rFonts w:hint="eastAsia" w:ascii="Times New Roman" w:hAnsi="Times New Roman" w:eastAsia="宋体" w:cs="Times New Roman"/>
          <w:i w:val="0"/>
          <w:iCs/>
          <w:sz w:val="28"/>
          <w:lang w:eastAsia="zh-CN"/>
        </w:rPr>
        <w:t>（tCO</w:t>
      </w:r>
      <w:r>
        <w:rPr>
          <w:rFonts w:hint="eastAsia" w:ascii="Times New Roman" w:hAnsi="Times New Roman" w:eastAsia="宋体" w:cs="Times New Roman"/>
          <w:i w:val="0"/>
          <w:iCs/>
          <w:sz w:val="28"/>
          <w:vertAlign w:val="subscript"/>
          <w:lang w:val="en-US" w:eastAsia="zh-CN"/>
        </w:rPr>
        <w:t>2</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w:t>
      </w:r>
    </w:p>
    <w:p w14:paraId="7BD35B7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Cambria Math" w:hAnsi="Cambria Math" w:eastAsia="Cambria Math"/>
          <w:i w:val="0"/>
          <w:iCs/>
          <w:sz w:val="28"/>
        </w:rPr>
      </w:pPr>
      <w:r>
        <w:rPr>
          <w:rFonts w:hint="default" w:ascii="Times New Roman" w:hAnsi="Times New Roman" w:eastAsia="Cambria Math" w:cs="Times New Roman"/>
          <w:i/>
          <w:iCs w:val="0"/>
          <w:sz w:val="28"/>
        </w:rPr>
        <w:t>PE</w:t>
      </w:r>
      <w:r>
        <w:rPr>
          <w:rFonts w:hint="default" w:ascii="Times New Roman" w:hAnsi="Times New Roman" w:eastAsia="Cambria Math" w:cs="Times New Roman"/>
          <w:i/>
          <w:iCs w:val="0"/>
          <w:sz w:val="28"/>
          <w:vertAlign w:val="subscript"/>
        </w:rPr>
        <w:t>y</w:t>
      </w:r>
      <w:r>
        <w:rPr>
          <w:rFonts w:hint="default" w:ascii="Times New Roman" w:hAnsi="Times New Roman" w:eastAsia="Cambria Math" w:cs="Times New Roman"/>
          <w:i w:val="0"/>
          <w:iCs/>
          <w:sz w:val="28"/>
        </w:rPr>
        <w:t xml:space="preserve">  — 在 </w:t>
      </w:r>
      <w:r>
        <w:rPr>
          <w:rFonts w:hint="default" w:ascii="Times New Roman" w:hAnsi="Times New Roman" w:eastAsia="Cambria Math" w:cs="Times New Roman"/>
          <w:i/>
          <w:iCs w:val="0"/>
          <w:sz w:val="28"/>
        </w:rPr>
        <w:t>y</w:t>
      </w:r>
      <w:r>
        <w:rPr>
          <w:rFonts w:hint="default" w:ascii="Times New Roman" w:hAnsi="Times New Roman" w:eastAsia="Cambria Math" w:cs="Times New Roman"/>
          <w:i w:val="0"/>
          <w:iCs/>
          <w:sz w:val="28"/>
        </w:rPr>
        <w:t xml:space="preserve"> </w:t>
      </w:r>
      <w:r>
        <w:rPr>
          <w:rFonts w:hint="default" w:ascii="Times New Roman" w:hAnsi="Times New Roman" w:eastAsia="宋体" w:cs="Times New Roman"/>
          <w:i w:val="0"/>
          <w:iCs/>
          <w:sz w:val="28"/>
          <w:lang w:val="en-US" w:eastAsia="zh-CN"/>
        </w:rPr>
        <w:t>时段</w:t>
      </w:r>
      <w:r>
        <w:rPr>
          <w:rFonts w:hint="default" w:ascii="Times New Roman" w:hAnsi="Times New Roman" w:eastAsia="Cambria Math" w:cs="Times New Roman"/>
          <w:i w:val="0"/>
          <w:iCs/>
          <w:sz w:val="28"/>
        </w:rPr>
        <w:t>的项目排放</w:t>
      </w:r>
      <w:r>
        <w:rPr>
          <w:rFonts w:hint="eastAsia" w:ascii="Times New Roman" w:hAnsi="Times New Roman" w:eastAsia="宋体" w:cs="Times New Roman"/>
          <w:i w:val="0"/>
          <w:iCs/>
          <w:sz w:val="28"/>
          <w:lang w:eastAsia="zh-CN"/>
        </w:rPr>
        <w:t>（</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default" w:ascii="Times New Roman" w:hAnsi="Times New Roman" w:eastAsia="宋体" w:cs="Times New Roman"/>
          <w:i w:val="0"/>
          <w:iCs/>
          <w:sz w:val="28"/>
          <w:lang w:eastAsia="zh-CN"/>
        </w:rPr>
        <w:t>）</w:t>
      </w:r>
      <w:r>
        <w:rPr>
          <w:rFonts w:hint="default" w:ascii="Cambria Math" w:hAnsi="Cambria Math" w:eastAsia="Cambria Math"/>
          <w:i w:val="0"/>
          <w:iCs/>
          <w:sz w:val="28"/>
        </w:rPr>
        <w:t>。</w:t>
      </w:r>
    </w:p>
    <w:bookmarkEnd w:id="17"/>
    <w:p w14:paraId="788AE6EA">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8" w:name="_Toc26042"/>
      <w:bookmarkStart w:id="19" w:name="_Toc170134112"/>
      <w:r>
        <w:rPr>
          <w:rFonts w:hint="eastAsia" w:ascii="黑体" w:hAnsi="黑体" w:eastAsia="黑体" w:cs="黑体"/>
          <w:b w:val="0"/>
          <w:bCs w:val="0"/>
          <w:spacing w:val="-2"/>
          <w:w w:val="95"/>
          <w:kern w:val="0"/>
          <w:sz w:val="28"/>
          <w:szCs w:val="28"/>
          <w:lang w:val="en-US" w:eastAsia="zh-CN"/>
        </w:rPr>
        <w:t>数据来源监测</w:t>
      </w:r>
      <w:bookmarkEnd w:id="18"/>
      <w:bookmarkEnd w:id="19"/>
    </w:p>
    <w:p w14:paraId="03C9A3A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8.1 减排项目设计阶段确定的参数和数据</w:t>
      </w:r>
    </w:p>
    <w:p w14:paraId="5B068F8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项目设计阶段需确定的参数和数据的技术内容和确定方法见表2。</w:t>
      </w:r>
    </w:p>
    <w:p w14:paraId="747025C0">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表2  </w:t>
      </w:r>
      <w:r>
        <w:rPr>
          <w:rFonts w:hint="default" w:ascii="Cambria Math" w:hAnsi="Cambria Math" w:eastAsia="Cambria Math"/>
          <w:i/>
          <w:iCs w:val="0"/>
          <w:sz w:val="28"/>
        </w:rPr>
        <w:t>EF</w:t>
      </w:r>
      <w:r>
        <w:rPr>
          <w:rFonts w:hint="default" w:ascii="Cambria Math" w:hAnsi="Cambria Math" w:eastAsia="Cambria Math"/>
          <w:i/>
          <w:iCs w:val="0"/>
          <w:sz w:val="28"/>
          <w:vertAlign w:val="subscript"/>
        </w:rPr>
        <w:t>grid,y</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AE9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9FD55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43C76D0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Cambria Math" w:hAnsi="Cambria Math" w:eastAsia="Cambria Math"/>
                <w:i/>
                <w:iCs w:val="0"/>
                <w:sz w:val="28"/>
              </w:rPr>
              <w:t>EF</w:t>
            </w:r>
            <w:r>
              <w:rPr>
                <w:rFonts w:hint="default" w:ascii="Cambria Math" w:hAnsi="Cambria Math" w:eastAsia="Cambria Math"/>
                <w:i/>
                <w:iCs w:val="0"/>
                <w:sz w:val="28"/>
                <w:vertAlign w:val="subscript"/>
              </w:rPr>
              <w:t>grid,y</w:t>
            </w:r>
          </w:p>
        </w:tc>
      </w:tr>
      <w:tr w14:paraId="3515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15448B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3C4649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4C9C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49EEB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75E6C934">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电网分时分区电碳因子</w:t>
            </w:r>
          </w:p>
        </w:tc>
      </w:tr>
      <w:tr w14:paraId="6F74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A6ACEA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4F94010D">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rPr>
              <w:t>kgCO</w:t>
            </w:r>
            <w:r>
              <w:rPr>
                <w:rFonts w:hint="default" w:ascii="Times New Roman" w:hAnsi="Times New Roman" w:eastAsia="宋体" w:cs="Times New Roman"/>
                <w:kern w:val="0"/>
                <w:sz w:val="24"/>
                <w:szCs w:val="24"/>
                <w:vertAlign w:val="subscript"/>
              </w:rPr>
              <w:t>2</w:t>
            </w:r>
            <w:r>
              <w:rPr>
                <w:rFonts w:hint="default" w:ascii="Times New Roman" w:hAnsi="Times New Roman" w:eastAsia="宋体" w:cs="Times New Roman"/>
                <w:kern w:val="0"/>
                <w:sz w:val="24"/>
                <w:szCs w:val="24"/>
              </w:rPr>
              <w:t>/kWh</w:t>
            </w:r>
            <w:r>
              <w:rPr>
                <w:rFonts w:hint="default" w:ascii="Times New Roman" w:hAnsi="Times New Roman" w:eastAsia="宋体" w:cs="Times New Roman"/>
                <w:kern w:val="0"/>
                <w:sz w:val="24"/>
                <w:szCs w:val="24"/>
                <w:lang w:val="en-US" w:eastAsia="zh-CN"/>
              </w:rPr>
              <w:t>或者</w:t>
            </w:r>
            <w:r>
              <w:rPr>
                <w:rFonts w:hint="default" w:ascii="Times New Roman" w:hAnsi="Times New Roman" w:eastAsia="Cambria Math" w:cs="Times New Roman"/>
                <w:i w:val="0"/>
                <w:iCs/>
                <w:sz w:val="28"/>
              </w:rPr>
              <w:t>tCO</w:t>
            </w:r>
            <w:r>
              <w:rPr>
                <w:rFonts w:hint="default" w:ascii="Times New Roman" w:hAnsi="Times New Roman" w:eastAsia="Cambria Math" w:cs="Times New Roman"/>
                <w:i w:val="0"/>
                <w:iCs/>
                <w:sz w:val="28"/>
                <w:vertAlign w:val="subscript"/>
              </w:rPr>
              <w:t>2e</w:t>
            </w:r>
            <w:r>
              <w:rPr>
                <w:rFonts w:hint="default" w:ascii="Times New Roman" w:hAnsi="Times New Roman" w:eastAsia="宋体" w:cs="Times New Roman"/>
                <w:i w:val="0"/>
                <w:iCs/>
                <w:sz w:val="28"/>
                <w:lang w:val="en-US" w:eastAsia="zh-CN"/>
              </w:rPr>
              <w:t>/</w:t>
            </w:r>
            <w:r>
              <w:rPr>
                <w:rFonts w:hint="default" w:ascii="Times New Roman" w:hAnsi="Times New Roman" w:eastAsia="Cambria Math" w:cs="Times New Roman"/>
                <w:i w:val="0"/>
                <w:iCs/>
                <w:sz w:val="28"/>
              </w:rPr>
              <w:t>MWh</w:t>
            </w:r>
          </w:p>
        </w:tc>
      </w:tr>
      <w:tr w14:paraId="0776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2F3C45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79BD4BD1">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江苏分时分区电碳因子</w:t>
            </w:r>
            <w:r>
              <w:rPr>
                <w:rFonts w:hint="default" w:ascii="Times New Roman" w:hAnsi="Times New Roman" w:eastAsia="宋体" w:cs="Times New Roman"/>
                <w:kern w:val="0"/>
                <w:sz w:val="24"/>
                <w:szCs w:val="24"/>
                <w:lang w:val="en-US" w:eastAsia="zh-CN"/>
              </w:rPr>
              <w:t>数据库</w:t>
            </w:r>
            <w:r>
              <w:rPr>
                <w:rFonts w:hint="default" w:ascii="Times New Roman" w:hAnsi="Times New Roman" w:eastAsia="宋体" w:cs="Times New Roman"/>
                <w:kern w:val="0"/>
                <w:sz w:val="24"/>
                <w:szCs w:val="24"/>
              </w:rPr>
              <w:t>中对应南京区域的</w:t>
            </w:r>
            <w:r>
              <w:rPr>
                <w:rFonts w:hint="default" w:ascii="Times New Roman" w:hAnsi="Times New Roman" w:eastAsia="宋体" w:cs="Times New Roman"/>
                <w:kern w:val="0"/>
                <w:sz w:val="24"/>
                <w:szCs w:val="24"/>
                <w:lang w:val="en-US" w:eastAsia="zh-CN"/>
              </w:rPr>
              <w:t>分时电碳因子</w:t>
            </w:r>
          </w:p>
        </w:tc>
      </w:tr>
    </w:tbl>
    <w:p w14:paraId="49AAA0C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8.2 减排项目实施阶段需要监测的参数和数据</w:t>
      </w:r>
    </w:p>
    <w:p w14:paraId="6D7EBDD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减排项目需监测的参数的技术内容和确定方法见</w:t>
      </w:r>
      <w:r>
        <w:rPr>
          <w:rFonts w:hint="eastAsia" w:ascii="宋体" w:hAnsi="宋体" w:eastAsia="宋体" w:cs="宋体"/>
          <w:kern w:val="0"/>
          <w:sz w:val="28"/>
          <w:szCs w:val="28"/>
          <w:highlight w:val="none"/>
          <w:lang w:val="en-US" w:eastAsia="zh-CN"/>
        </w:rPr>
        <w:t>表3—表5</w:t>
      </w:r>
      <w:r>
        <w:rPr>
          <w:rFonts w:hint="eastAsia" w:ascii="宋体" w:hAnsi="宋体" w:eastAsia="宋体" w:cs="宋体"/>
          <w:kern w:val="0"/>
          <w:sz w:val="28"/>
          <w:szCs w:val="28"/>
          <w:lang w:val="en-US" w:eastAsia="zh-CN"/>
        </w:rPr>
        <w:t>。</w:t>
      </w:r>
    </w:p>
    <w:p w14:paraId="01724F76">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表3 </w:t>
      </w: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d</w:t>
      </w:r>
      <w:r>
        <w:rPr>
          <w:rFonts w:hint="default" w:ascii="Cambria Math" w:hAnsi="Cambria Math" w:eastAsia="Cambria Math"/>
          <w:i/>
          <w:iCs w:val="0"/>
          <w:sz w:val="28"/>
          <w:vertAlign w:val="subscript"/>
        </w:rPr>
        <w:t xml:space="preserve">,y </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9C7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1E62BD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662D7AA6">
            <w:pPr>
              <w:tabs>
                <w:tab w:val="left" w:pos="1269"/>
                <w:tab w:val="left" w:pos="1270"/>
              </w:tabs>
              <w:autoSpaceDE w:val="0"/>
              <w:autoSpaceDN w:val="0"/>
              <w:snapToGrid w:val="0"/>
              <w:spacing w:line="276" w:lineRule="auto"/>
              <w:rPr>
                <w:rFonts w:ascii="Times New Roman" w:hAnsi="Times New Roman" w:eastAsia="宋体" w:cs="Times New Roman"/>
                <w:i/>
                <w:iCs w:val="0"/>
                <w:kern w:val="0"/>
                <w:sz w:val="24"/>
                <w:szCs w:val="24"/>
              </w:rPr>
            </w:pP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d</w:t>
            </w:r>
            <w:r>
              <w:rPr>
                <w:rFonts w:hint="default" w:ascii="Cambria Math" w:hAnsi="Cambria Math" w:eastAsia="Cambria Math"/>
                <w:i/>
                <w:iCs w:val="0"/>
                <w:sz w:val="28"/>
                <w:vertAlign w:val="subscript"/>
              </w:rPr>
              <w:t xml:space="preserve">,y </w:t>
            </w:r>
            <w:r>
              <w:rPr>
                <w:rFonts w:hint="eastAsia" w:ascii="黑体" w:hAnsi="黑体" w:eastAsia="黑体" w:cs="黑体"/>
                <w:i/>
                <w:iCs w:val="0"/>
                <w:kern w:val="0"/>
                <w:sz w:val="24"/>
                <w:szCs w:val="24"/>
                <w:lang w:val="en-US" w:eastAsia="zh-CN"/>
              </w:rPr>
              <w:t xml:space="preserve"> </w:t>
            </w:r>
          </w:p>
        </w:tc>
      </w:tr>
      <w:tr w14:paraId="009D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88DA68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1D3B22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18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EC7771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052FDFE2">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电化学储能电站放电电量</w:t>
            </w:r>
          </w:p>
        </w:tc>
      </w:tr>
      <w:tr w14:paraId="3175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95B0F6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6D46B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3A3D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292C37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362A41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现场测量</w:t>
            </w:r>
          </w:p>
        </w:tc>
      </w:tr>
      <w:tr w14:paraId="2F4F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56B0F3A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69" w:type="dxa"/>
            <w:vAlign w:val="center"/>
          </w:tcPr>
          <w:p w14:paraId="5D80BFE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项目活动的充</w:t>
            </w:r>
            <w:r>
              <w:rPr>
                <w:rFonts w:hint="eastAsia" w:ascii="Times New Roman" w:hAnsi="Times New Roman" w:eastAsia="宋体" w:cs="Times New Roman"/>
                <w:kern w:val="0"/>
                <w:sz w:val="24"/>
                <w:szCs w:val="24"/>
                <w:lang w:val="en-US" w:eastAsia="zh-CN"/>
              </w:rPr>
              <w:t>放</w:t>
            </w:r>
            <w:r>
              <w:rPr>
                <w:rFonts w:hint="eastAsia" w:ascii="Times New Roman" w:hAnsi="Times New Roman" w:eastAsia="宋体" w:cs="Times New Roman"/>
                <w:kern w:val="0"/>
                <w:sz w:val="24"/>
                <w:szCs w:val="24"/>
              </w:rPr>
              <w:t>电监测系统进行测量。</w:t>
            </w:r>
          </w:p>
        </w:tc>
      </w:tr>
      <w:tr w14:paraId="1109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0C11E18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监测频率</w:t>
            </w:r>
          </w:p>
        </w:tc>
        <w:tc>
          <w:tcPr>
            <w:tcW w:w="6369" w:type="dxa"/>
            <w:vAlign w:val="center"/>
          </w:tcPr>
          <w:p w14:paraId="2506CD91">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w:t>
            </w:r>
          </w:p>
        </w:tc>
      </w:tr>
      <w:tr w14:paraId="0730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927" w:type="dxa"/>
            <w:vAlign w:val="center"/>
          </w:tcPr>
          <w:p w14:paraId="22DF980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76D93E1B">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w:t>
            </w:r>
            <w:r>
              <w:rPr>
                <w:rFonts w:hint="eastAsia" w:ascii="Times New Roman" w:hAnsi="Times New Roman" w:eastAsia="宋体" w:cs="Times New Roman"/>
                <w:kern w:val="0"/>
                <w:sz w:val="24"/>
                <w:szCs w:val="24"/>
                <w:lang w:val="en-US" w:eastAsia="zh-CN"/>
              </w:rPr>
              <w:t>放</w:t>
            </w:r>
            <w:r>
              <w:rPr>
                <w:rFonts w:hint="eastAsia" w:ascii="Times New Roman" w:hAnsi="Times New Roman" w:eastAsia="宋体" w:cs="Times New Roman"/>
                <w:kern w:val="0"/>
                <w:sz w:val="24"/>
                <w:szCs w:val="24"/>
              </w:rPr>
              <w:t>电监测系统测量数据将</w:t>
            </w:r>
            <w:r>
              <w:rPr>
                <w:rFonts w:hint="eastAsia" w:ascii="Times New Roman" w:hAnsi="Times New Roman" w:eastAsia="宋体" w:cs="Times New Roman"/>
                <w:kern w:val="0"/>
                <w:sz w:val="24"/>
                <w:szCs w:val="24"/>
                <w:lang w:val="en-US" w:eastAsia="zh-CN"/>
              </w:rPr>
              <w:t>与</w:t>
            </w:r>
            <w:r>
              <w:rPr>
                <w:rFonts w:hint="eastAsia" w:ascii="Times New Roman" w:hAnsi="Times New Roman" w:eastAsia="宋体" w:cs="Times New Roman"/>
                <w:kern w:val="0"/>
                <w:sz w:val="24"/>
                <w:szCs w:val="24"/>
              </w:rPr>
              <w:t>提供</w:t>
            </w:r>
            <w:r>
              <w:rPr>
                <w:rFonts w:hint="eastAsia" w:ascii="Times New Roman" w:hAnsi="Times New Roman" w:eastAsia="宋体" w:cs="Times New Roman"/>
                <w:kern w:val="0"/>
                <w:sz w:val="24"/>
                <w:szCs w:val="24"/>
                <w:lang w:val="en-US" w:eastAsia="zh-CN"/>
              </w:rPr>
              <w:t>的</w:t>
            </w:r>
            <w:r>
              <w:rPr>
                <w:rFonts w:hint="eastAsia" w:ascii="Times New Roman" w:hAnsi="Times New Roman" w:eastAsia="宋体" w:cs="Times New Roman"/>
                <w:kern w:val="0"/>
                <w:sz w:val="24"/>
                <w:szCs w:val="24"/>
              </w:rPr>
              <w:t>结算单进行交叉检查。</w:t>
            </w:r>
          </w:p>
        </w:tc>
      </w:tr>
    </w:tbl>
    <w:p w14:paraId="54E30925">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表4 </w:t>
      </w: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c</w:t>
      </w:r>
      <w:r>
        <w:rPr>
          <w:rFonts w:hint="default" w:ascii="Cambria Math" w:hAnsi="Cambria Math" w:eastAsia="Cambria Math"/>
          <w:i/>
          <w:iCs w:val="0"/>
          <w:sz w:val="28"/>
          <w:vertAlign w:val="subscript"/>
        </w:rPr>
        <w:t>,y</w:t>
      </w:r>
      <w:r>
        <w:rPr>
          <w:rFonts w:hint="default" w:ascii="Cambria Math" w:hAnsi="Cambria Math" w:eastAsia="Cambria Math"/>
          <w:i/>
          <w:iCs w:val="0"/>
          <w:sz w:val="28"/>
        </w:rPr>
        <w:t xml:space="preserve"> </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34D1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3E8256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22FDBCA1">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c</w:t>
            </w:r>
            <w:r>
              <w:rPr>
                <w:rFonts w:hint="default" w:ascii="Cambria Math" w:hAnsi="Cambria Math" w:eastAsia="Cambria Math"/>
                <w:i/>
                <w:iCs w:val="0"/>
                <w:sz w:val="28"/>
                <w:vertAlign w:val="subscript"/>
              </w:rPr>
              <w:t>,y</w:t>
            </w:r>
          </w:p>
        </w:tc>
      </w:tr>
      <w:tr w14:paraId="7C91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2104B3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55961E4F">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7DD3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EFC51E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0CB0AECD">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电化学储能电站充电电量</w:t>
            </w:r>
          </w:p>
        </w:tc>
      </w:tr>
      <w:tr w14:paraId="2A70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5A1CBDB7">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2BEB70D8">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6AE0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1D317D77">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669FD355">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现场测量</w:t>
            </w:r>
          </w:p>
        </w:tc>
      </w:tr>
      <w:tr w14:paraId="6AA4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26FD97F7">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69" w:type="dxa"/>
            <w:vAlign w:val="center"/>
          </w:tcPr>
          <w:p w14:paraId="7C4298F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项目活动的充</w:t>
            </w:r>
            <w:r>
              <w:rPr>
                <w:rFonts w:hint="eastAsia" w:ascii="Times New Roman" w:hAnsi="Times New Roman" w:eastAsia="宋体" w:cs="Times New Roman"/>
                <w:kern w:val="0"/>
                <w:sz w:val="24"/>
                <w:szCs w:val="24"/>
                <w:lang w:val="en-US" w:eastAsia="zh-CN"/>
              </w:rPr>
              <w:t>放</w:t>
            </w:r>
            <w:r>
              <w:rPr>
                <w:rFonts w:hint="eastAsia" w:ascii="Times New Roman" w:hAnsi="Times New Roman" w:eastAsia="宋体" w:cs="Times New Roman"/>
                <w:kern w:val="0"/>
                <w:sz w:val="24"/>
                <w:szCs w:val="24"/>
              </w:rPr>
              <w:t>电监测系统进行测量。</w:t>
            </w:r>
          </w:p>
        </w:tc>
      </w:tr>
      <w:tr w14:paraId="3436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5E3F354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监测频率</w:t>
            </w:r>
          </w:p>
        </w:tc>
        <w:tc>
          <w:tcPr>
            <w:tcW w:w="6369" w:type="dxa"/>
            <w:vAlign w:val="center"/>
          </w:tcPr>
          <w:p w14:paraId="27BEFE3F">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w:t>
            </w:r>
          </w:p>
        </w:tc>
      </w:tr>
      <w:tr w14:paraId="0A4D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927" w:type="dxa"/>
            <w:vAlign w:val="center"/>
          </w:tcPr>
          <w:p w14:paraId="5DC5AD8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7D703E3C">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w:t>
            </w:r>
            <w:r>
              <w:rPr>
                <w:rFonts w:hint="eastAsia" w:ascii="Times New Roman" w:hAnsi="Times New Roman" w:eastAsia="宋体" w:cs="Times New Roman"/>
                <w:kern w:val="0"/>
                <w:sz w:val="24"/>
                <w:szCs w:val="24"/>
                <w:lang w:val="en-US" w:eastAsia="zh-CN"/>
              </w:rPr>
              <w:t>放</w:t>
            </w:r>
            <w:r>
              <w:rPr>
                <w:rFonts w:hint="eastAsia" w:ascii="Times New Roman" w:hAnsi="Times New Roman" w:eastAsia="宋体" w:cs="Times New Roman"/>
                <w:kern w:val="0"/>
                <w:sz w:val="24"/>
                <w:szCs w:val="24"/>
              </w:rPr>
              <w:t>电监测系统测量数据将</w:t>
            </w:r>
            <w:r>
              <w:rPr>
                <w:rFonts w:hint="eastAsia" w:ascii="Times New Roman" w:hAnsi="Times New Roman" w:eastAsia="宋体" w:cs="Times New Roman"/>
                <w:kern w:val="0"/>
                <w:sz w:val="24"/>
                <w:szCs w:val="24"/>
                <w:lang w:val="en-US" w:eastAsia="zh-CN"/>
              </w:rPr>
              <w:t>与</w:t>
            </w:r>
            <w:r>
              <w:rPr>
                <w:rFonts w:hint="eastAsia" w:ascii="Times New Roman" w:hAnsi="Times New Roman" w:eastAsia="宋体" w:cs="Times New Roman"/>
                <w:kern w:val="0"/>
                <w:sz w:val="24"/>
                <w:szCs w:val="24"/>
              </w:rPr>
              <w:t>提供</w:t>
            </w:r>
            <w:r>
              <w:rPr>
                <w:rFonts w:hint="eastAsia" w:ascii="Times New Roman" w:hAnsi="Times New Roman" w:eastAsia="宋体" w:cs="Times New Roman"/>
                <w:kern w:val="0"/>
                <w:sz w:val="24"/>
                <w:szCs w:val="24"/>
                <w:lang w:val="en-US" w:eastAsia="zh-CN"/>
              </w:rPr>
              <w:t>的</w:t>
            </w:r>
            <w:r>
              <w:rPr>
                <w:rFonts w:hint="eastAsia" w:ascii="Times New Roman" w:hAnsi="Times New Roman" w:eastAsia="宋体" w:cs="Times New Roman"/>
                <w:kern w:val="0"/>
                <w:sz w:val="24"/>
                <w:szCs w:val="24"/>
              </w:rPr>
              <w:t>结算单进行交叉检查。</w:t>
            </w:r>
          </w:p>
        </w:tc>
      </w:tr>
    </w:tbl>
    <w:p w14:paraId="56C847F8">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bookmarkStart w:id="20" w:name="_Toc4058"/>
      <w:r>
        <w:rPr>
          <w:rFonts w:hint="eastAsia" w:ascii="黑体" w:hAnsi="黑体" w:eastAsia="黑体" w:cs="黑体"/>
          <w:kern w:val="0"/>
          <w:sz w:val="24"/>
          <w:szCs w:val="24"/>
          <w:lang w:val="en-US" w:eastAsia="zh-CN"/>
        </w:rPr>
        <w:t xml:space="preserve">表5 </w:t>
      </w: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oge</w:t>
      </w:r>
      <w:r>
        <w:rPr>
          <w:rFonts w:hint="default" w:ascii="Cambria Math" w:hAnsi="Cambria Math" w:eastAsia="Cambria Math"/>
          <w:i/>
          <w:iCs w:val="0"/>
          <w:sz w:val="28"/>
          <w:vertAlign w:val="subscript"/>
        </w:rPr>
        <w:t>,y</w:t>
      </w:r>
      <w:r>
        <w:rPr>
          <w:rFonts w:hint="default" w:ascii="Cambria Math" w:hAnsi="Cambria Math" w:eastAsia="Cambria Math"/>
          <w:i/>
          <w:iCs w:val="0"/>
          <w:sz w:val="28"/>
        </w:rPr>
        <w:t xml:space="preserve"> </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0222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614715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172FFD3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Cambria Math" w:hAnsi="Cambria Math" w:eastAsia="Cambria Math"/>
                <w:i/>
                <w:iCs w:val="0"/>
                <w:sz w:val="28"/>
              </w:rPr>
              <w:t>EG</w:t>
            </w:r>
            <w:r>
              <w:rPr>
                <w:rFonts w:hint="eastAsia" w:ascii="Cambria Math" w:hAnsi="Cambria Math" w:eastAsia="宋体"/>
                <w:i/>
                <w:iCs w:val="0"/>
                <w:sz w:val="28"/>
                <w:vertAlign w:val="subscript"/>
                <w:lang w:val="en-US" w:eastAsia="zh-CN"/>
              </w:rPr>
              <w:t>oge</w:t>
            </w:r>
            <w:r>
              <w:rPr>
                <w:rFonts w:hint="default" w:ascii="Cambria Math" w:hAnsi="Cambria Math" w:eastAsia="Cambria Math"/>
                <w:i/>
                <w:iCs w:val="0"/>
                <w:sz w:val="28"/>
                <w:vertAlign w:val="subscript"/>
              </w:rPr>
              <w:t>,y</w:t>
            </w:r>
          </w:p>
        </w:tc>
      </w:tr>
      <w:tr w14:paraId="3740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F6D3F0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296DE7E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39A4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08D7E1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6A556836">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电化学储能电站厂用电量</w:t>
            </w:r>
          </w:p>
        </w:tc>
      </w:tr>
      <w:tr w14:paraId="25337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4C7EE3C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6686ADB4">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6DF2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26A3A2E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1884589D">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现场测量</w:t>
            </w:r>
          </w:p>
        </w:tc>
      </w:tr>
      <w:tr w14:paraId="3298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23BA3F5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69" w:type="dxa"/>
            <w:vAlign w:val="center"/>
          </w:tcPr>
          <w:p w14:paraId="32FA8F7D">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储能电站照明、空调等运行电表</w:t>
            </w:r>
            <w:r>
              <w:rPr>
                <w:rFonts w:hint="eastAsia" w:ascii="Times New Roman" w:hAnsi="Times New Roman" w:eastAsia="宋体" w:cs="Times New Roman"/>
                <w:kern w:val="0"/>
                <w:sz w:val="24"/>
                <w:szCs w:val="24"/>
              </w:rPr>
              <w:t>进行测量。</w:t>
            </w:r>
          </w:p>
        </w:tc>
      </w:tr>
      <w:tr w14:paraId="265A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062520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监测频率</w:t>
            </w:r>
          </w:p>
        </w:tc>
        <w:tc>
          <w:tcPr>
            <w:tcW w:w="6369" w:type="dxa"/>
            <w:vAlign w:val="center"/>
          </w:tcPr>
          <w:p w14:paraId="28963868">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w:t>
            </w:r>
          </w:p>
        </w:tc>
      </w:tr>
      <w:tr w14:paraId="7FD7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927" w:type="dxa"/>
            <w:vAlign w:val="center"/>
          </w:tcPr>
          <w:p w14:paraId="529C98A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3C491AC8">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数据将</w:t>
            </w:r>
            <w:r>
              <w:rPr>
                <w:rFonts w:hint="eastAsia" w:ascii="Times New Roman" w:hAnsi="Times New Roman" w:eastAsia="宋体" w:cs="Times New Roman"/>
                <w:kern w:val="0"/>
                <w:sz w:val="24"/>
                <w:szCs w:val="24"/>
                <w:lang w:val="en-US" w:eastAsia="zh-CN"/>
              </w:rPr>
              <w:t>与</w:t>
            </w:r>
            <w:r>
              <w:rPr>
                <w:rFonts w:hint="eastAsia" w:ascii="Times New Roman" w:hAnsi="Times New Roman" w:eastAsia="宋体" w:cs="Times New Roman"/>
                <w:kern w:val="0"/>
                <w:sz w:val="24"/>
                <w:szCs w:val="24"/>
              </w:rPr>
              <w:t>提供</w:t>
            </w:r>
            <w:r>
              <w:rPr>
                <w:rFonts w:hint="eastAsia" w:ascii="Times New Roman" w:hAnsi="Times New Roman" w:eastAsia="宋体" w:cs="Times New Roman"/>
                <w:kern w:val="0"/>
                <w:sz w:val="24"/>
                <w:szCs w:val="24"/>
                <w:lang w:val="en-US" w:eastAsia="zh-CN"/>
              </w:rPr>
              <w:t>的</w:t>
            </w:r>
            <w:r>
              <w:rPr>
                <w:rFonts w:hint="eastAsia" w:ascii="Times New Roman" w:hAnsi="Times New Roman" w:eastAsia="宋体" w:cs="Times New Roman"/>
                <w:kern w:val="0"/>
                <w:sz w:val="24"/>
                <w:szCs w:val="24"/>
              </w:rPr>
              <w:t>结算单进行交叉检查。</w:t>
            </w:r>
          </w:p>
        </w:tc>
      </w:tr>
    </w:tbl>
    <w:p w14:paraId="0C8D9887">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8.3减排项目实施及监测的数据管理要求</w:t>
      </w:r>
    </w:p>
    <w:p w14:paraId="3B2DC6F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（1）充放电电量、站内辅机用电数据以调度时段为最小单元不间断连续采集，配套计量设备需按期完成检定校准并留存校准证明文件。</w:t>
      </w:r>
    </w:p>
    <w:p w14:paraId="7B7349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（2）每日对电表原始读数、电网电费结算单、电站运行记录开展交叉核验，出现数据异常时完整记录溯源、整改全过程并建立专项台账。</w:t>
      </w:r>
    </w:p>
    <w:p w14:paraId="4183017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（3）全部原始监测数据、核算参数与支撑凭证分类归档长期留存，保存期限满足碳普惠审定、年度核查与监管审计追溯要求。</w:t>
      </w:r>
    </w:p>
    <w:p w14:paraId="2299C82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（4）项目接入市级碳普惠平台后监测数据实时上传并完成区块链存证，保障从现场计量到减排核算结果全链路可追溯。</w:t>
      </w:r>
    </w:p>
    <w:p w14:paraId="7B622AEF">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（5）建立分级数据权限管控机制，数据采集、传输、存储全流程严格遵循数据安全法律法规，杜绝数据泄露、篡改等违规行为。</w:t>
      </w:r>
    </w:p>
    <w:p w14:paraId="6B909B28">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highlight w:val="none"/>
          <w:lang w:val="en-US" w:eastAsia="zh-CN"/>
        </w:rPr>
      </w:pPr>
      <w:r>
        <w:rPr>
          <w:rFonts w:hint="eastAsia" w:ascii="黑体" w:hAnsi="黑体" w:eastAsia="黑体" w:cs="黑体"/>
          <w:b w:val="0"/>
          <w:bCs w:val="0"/>
          <w:spacing w:val="-2"/>
          <w:w w:val="95"/>
          <w:kern w:val="0"/>
          <w:sz w:val="28"/>
          <w:szCs w:val="28"/>
          <w:highlight w:val="none"/>
          <w:lang w:val="en-US" w:eastAsia="zh-CN"/>
        </w:rPr>
        <w:t>项目审定与核查要点</w:t>
      </w:r>
      <w:bookmarkEnd w:id="20"/>
    </w:p>
    <w:p w14:paraId="6EBE0AB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9.1 项目适用条件审定与核查要点</w:t>
      </w:r>
    </w:p>
    <w:p w14:paraId="03D37EE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（1）核查项目坐落于南京市行政区域内，电站具备独立备案、立项、并网批复文件，电站主体已在南京市碳普惠平台完成注册备案，参与碳普惠减排核算为运营方自愿行为。</w:t>
      </w:r>
    </w:p>
    <w:p w14:paraId="0C12DC6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（2）核查电化学储能电站具备独立集电线路、独立关口计量装置，充放电电量可单独精准计量，权属清晰、并网手续完备，不属于转供电、挂靠运营、违规并网等不合规项目。</w:t>
      </w:r>
    </w:p>
    <w:p w14:paraId="65D4250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（3）核查电站类型为电网侧/用户侧/工商业电化学储能电站，采用电化学电池为储能主体，符合行业建设标准，排除机械储能、抽水蓄能等非本方法学适用储能类型。</w:t>
      </w:r>
    </w:p>
    <w:p w14:paraId="1DF7ECA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（4）审核项目运行模式具备明确削峰填谷、新能源消纳服务功能，可替代常规火电调峰资源，符合本方法学适用范围及国家、江苏省、南京市电力与碳普惠相关法规、行业标准要求。</w:t>
      </w:r>
    </w:p>
    <w:p w14:paraId="53A815D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（5）严格核查项目重复申报情况，确认本储能电站同一时段充放电减排量未在全国CCER、其他省市碳普惠、电力碳交易等机制中重复核算、重复申领碳普惠权益。</w:t>
      </w:r>
    </w:p>
    <w:p w14:paraId="2722830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（6）核查项目设计使用寿命、装机容量、额定储能容量、能量效率等核心参数符合设计文件及行业规范，无虚标容量、虚假运行等情形。</w:t>
      </w:r>
    </w:p>
    <w:p w14:paraId="30CE99C1">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9.2 项目核算边界与排放源审定与核查要点</w:t>
      </w:r>
    </w:p>
    <w:p w14:paraId="092B77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（1）依据项目备案文件、并网方案、电气一次图纸，核定项目空间边界：包含电化学储能本体、接入电网专用线缆、关口计量表计、站内配套辅机系统，边界限定于南京行政区域电网接入范围内。</w:t>
      </w:r>
    </w:p>
    <w:p w14:paraId="2C1658C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（2）核查项目边界未擅自扩大或缩小，未将无关厂区建筑、非配套用电设施、外部其他电源纳入核算边界，边界界定清晰、可落地、可复核。</w:t>
      </w:r>
    </w:p>
    <w:p w14:paraId="3FB09ED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（3）核查边界内核算数据唯一性，不存在同一电量、同一减排量跨平台、跨项目拆分重复核算的问题。</w:t>
      </w:r>
    </w:p>
    <w:p w14:paraId="55AA3E1E">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9.3 监测计划与数据质量审定与核查要点</w:t>
      </w:r>
    </w:p>
    <w:p w14:paraId="64D8EA5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（1）核查电站充放电在线监测系统、关口智能电表具备计量检定证书、定期校准记录，设备精度、安装位置、采样频率满足连续计量要求，充放电电量实现全天候连续采集。</w:t>
      </w:r>
    </w:p>
    <w:p w14:paraId="2E4CD3E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（2）审核监测数据留存规则，以自然日/调度时段为最小记录单元，充放电电量、时段电碳因子、运行工况数据完整连续，无断档、人为补录、篡改、删改日志等失真情形。</w:t>
      </w:r>
    </w:p>
    <w:p w14:paraId="691D029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（3）核查监测数据与电网结算单、调度运行记录、电站 EMS 能量管理系统数据交叉校验，偏差在行业允许合理范围内，数据溯源链条完整可追溯。</w:t>
      </w:r>
    </w:p>
    <w:p w14:paraId="6E02FC8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（4）核查项目数据及运营主体信息采集、存储、传输符合隐私与信息安全合规要求，项目审定核查档案、监测原始数据、核算报表按监管要求长期留存归档。</w:t>
      </w:r>
    </w:p>
    <w:p w14:paraId="303FBFEE">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9.4 减排量核算与额外性审定与核查要点</w:t>
      </w:r>
    </w:p>
    <w:p w14:paraId="35823C3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（1）核查基准线情景设定合规，调峰服务、备用容量、新能源消纳能力与项目情景具备可比性。</w:t>
      </w:r>
    </w:p>
    <w:p w14:paraId="44CA9E0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（2）核查电化学储能项目额外性适用豁免条件，核实项目初始投资大、单纯峰谷价差及辅助服务收益难以覆盖成本，碳普惠减排收益具备经济补充性，符合时空转移降碳逻辑。</w:t>
      </w:r>
    </w:p>
    <w:p w14:paraId="5E3DFF8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jc w:val="both"/>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9.5 项目运营与合规性核查要点</w:t>
      </w:r>
    </w:p>
    <w:p w14:paraId="11D7385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（1）核查储能电站实际运行策略符合电网调度指令，低谷充电、高峰放电，真实参与削峰填谷与新能源消纳，无虚假充放电、空转刷量行为。</w:t>
      </w:r>
    </w:p>
    <w:p w14:paraId="26E45A1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（2）核查项目运营过程合规，未违反电力并网、储能安全、生态环保及碳普惠管理相关规定，无重大安全事故、环保违规、并网违约等不良记录。</w:t>
      </w:r>
    </w:p>
    <w:p w14:paraId="4DEC25F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（3）核查碳普惠减排量归属清晰，第一获益人为储能电站运营方或资产权属方，减排权益分配、使用、转让符合南京市碳普惠管理规则。</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A1B3">
    <w:pPr>
      <w:pStyle w:val="5"/>
      <w:jc w:val="center"/>
      <w:rPr>
        <w:rFonts w:hint="eastAsia"/>
      </w:rPr>
    </w:pPr>
  </w:p>
  <w:p w14:paraId="2058FF4F">
    <w:pPr>
      <w:pStyle w:val="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6047">
    <w:pPr>
      <w:pStyle w:val="5"/>
      <w:jc w:val="center"/>
      <w:rPr>
        <w:rFonts w:hint="eastAsia"/>
      </w:rPr>
    </w:pPr>
  </w:p>
  <w:p w14:paraId="394889C4">
    <w:pPr>
      <w:pStyle w:val="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64CAB">
    <w:pPr>
      <w:pStyle w:val="5"/>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6665"/>
                          </w:sdtPr>
                          <w:sdtContent>
                            <w:p w14:paraId="7C6A7C32">
                              <w:pPr>
                                <w:pStyle w:val="5"/>
                                <w:jc w:val="cente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731ED35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66665"/>
                    </w:sdtPr>
                    <w:sdtContent>
                      <w:p w14:paraId="7C6A7C32">
                        <w:pPr>
                          <w:pStyle w:val="5"/>
                          <w:jc w:val="cente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731ED352"/>
                </w:txbxContent>
              </v:textbox>
            </v:shape>
          </w:pict>
        </mc:Fallback>
      </mc:AlternateContent>
    </w:r>
  </w:p>
  <w:p w14:paraId="58D82731">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D35FEC"/>
    <w:multiLevelType w:val="multilevel"/>
    <w:tmpl w:val="21D35FEC"/>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val="0"/>
        <w:bCs w:val="0"/>
        <w:i w:val="0"/>
        <w:iCs w:val="0"/>
        <w:w w:val="98"/>
        <w:sz w:val="28"/>
        <w:szCs w:val="28"/>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8"/>
        <w:szCs w:val="28"/>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1">
    <w:nsid w:val="4BFB2C8D"/>
    <w:multiLevelType w:val="multilevel"/>
    <w:tmpl w:val="4BFB2C8D"/>
    <w:lvl w:ilvl="0" w:tentative="0">
      <w:start w:val="1"/>
      <w:numFmt w:val="japaneseCounting"/>
      <w:lvlText w:val="%1、"/>
      <w:lvlJc w:val="left"/>
      <w:pPr>
        <w:ind w:left="1997" w:hanging="720"/>
      </w:pPr>
    </w:lvl>
    <w:lvl w:ilvl="1" w:tentative="0">
      <w:start w:val="1"/>
      <w:numFmt w:val="lowerLetter"/>
      <w:pStyle w:val="25"/>
      <w:lvlText w:val="%2)"/>
      <w:lvlJc w:val="left"/>
      <w:pPr>
        <w:ind w:left="2157" w:hanging="440"/>
      </w:pPr>
    </w:lvl>
    <w:lvl w:ilvl="2" w:tentative="0">
      <w:start w:val="1"/>
      <w:numFmt w:val="lowerRoman"/>
      <w:lvlText w:val="%3."/>
      <w:lvlJc w:val="right"/>
      <w:pPr>
        <w:ind w:left="2597" w:hanging="440"/>
      </w:pPr>
    </w:lvl>
    <w:lvl w:ilvl="3" w:tentative="0">
      <w:start w:val="1"/>
      <w:numFmt w:val="decimal"/>
      <w:lvlText w:val="%4."/>
      <w:lvlJc w:val="left"/>
      <w:pPr>
        <w:ind w:left="3037" w:hanging="440"/>
      </w:pPr>
    </w:lvl>
    <w:lvl w:ilvl="4" w:tentative="0">
      <w:start w:val="1"/>
      <w:numFmt w:val="lowerLetter"/>
      <w:lvlText w:val="%5)"/>
      <w:lvlJc w:val="left"/>
      <w:pPr>
        <w:ind w:left="3477" w:hanging="440"/>
      </w:pPr>
    </w:lvl>
    <w:lvl w:ilvl="5" w:tentative="0">
      <w:start w:val="1"/>
      <w:numFmt w:val="lowerRoman"/>
      <w:lvlText w:val="%6."/>
      <w:lvlJc w:val="right"/>
      <w:pPr>
        <w:ind w:left="3917" w:hanging="440"/>
      </w:pPr>
    </w:lvl>
    <w:lvl w:ilvl="6" w:tentative="0">
      <w:start w:val="1"/>
      <w:numFmt w:val="decimal"/>
      <w:lvlText w:val="%7."/>
      <w:lvlJc w:val="left"/>
      <w:pPr>
        <w:ind w:left="4357" w:hanging="440"/>
      </w:pPr>
    </w:lvl>
    <w:lvl w:ilvl="7" w:tentative="0">
      <w:start w:val="1"/>
      <w:numFmt w:val="lowerLetter"/>
      <w:lvlText w:val="%8)"/>
      <w:lvlJc w:val="left"/>
      <w:pPr>
        <w:ind w:left="4797" w:hanging="440"/>
      </w:pPr>
    </w:lvl>
    <w:lvl w:ilvl="8" w:tentative="0">
      <w:start w:val="1"/>
      <w:numFmt w:val="lowerRoman"/>
      <w:lvlText w:val="%9."/>
      <w:lvlJc w:val="right"/>
      <w:pPr>
        <w:ind w:left="5237" w:hanging="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4MGFkYTkwNjZjODA3YTU3OGUyNDFjZDZiMjMyMWMifQ=="/>
  </w:docVars>
  <w:rsids>
    <w:rsidRoot w:val="00172A27"/>
    <w:rsid w:val="00033D01"/>
    <w:rsid w:val="00064323"/>
    <w:rsid w:val="00064630"/>
    <w:rsid w:val="00066DD6"/>
    <w:rsid w:val="0008299C"/>
    <w:rsid w:val="000E2DD6"/>
    <w:rsid w:val="000F4A9D"/>
    <w:rsid w:val="00107E28"/>
    <w:rsid w:val="00135E9E"/>
    <w:rsid w:val="0014492B"/>
    <w:rsid w:val="00144C16"/>
    <w:rsid w:val="00163A9B"/>
    <w:rsid w:val="00172A27"/>
    <w:rsid w:val="001E58B7"/>
    <w:rsid w:val="00247549"/>
    <w:rsid w:val="0027585E"/>
    <w:rsid w:val="00290C9D"/>
    <w:rsid w:val="0029106E"/>
    <w:rsid w:val="002A7502"/>
    <w:rsid w:val="002B3157"/>
    <w:rsid w:val="002C28C4"/>
    <w:rsid w:val="002C334A"/>
    <w:rsid w:val="002D39D2"/>
    <w:rsid w:val="002F256B"/>
    <w:rsid w:val="00315C0D"/>
    <w:rsid w:val="0032238C"/>
    <w:rsid w:val="00367C76"/>
    <w:rsid w:val="003B7581"/>
    <w:rsid w:val="003C6052"/>
    <w:rsid w:val="003D5151"/>
    <w:rsid w:val="003E1FB7"/>
    <w:rsid w:val="00405F7C"/>
    <w:rsid w:val="00411682"/>
    <w:rsid w:val="00420603"/>
    <w:rsid w:val="004331CC"/>
    <w:rsid w:val="0044372E"/>
    <w:rsid w:val="004627CA"/>
    <w:rsid w:val="004879EA"/>
    <w:rsid w:val="00487ED1"/>
    <w:rsid w:val="004C1E7B"/>
    <w:rsid w:val="005025A5"/>
    <w:rsid w:val="00514197"/>
    <w:rsid w:val="00526B85"/>
    <w:rsid w:val="00531926"/>
    <w:rsid w:val="0054019F"/>
    <w:rsid w:val="00553254"/>
    <w:rsid w:val="005557E4"/>
    <w:rsid w:val="00576390"/>
    <w:rsid w:val="0058308E"/>
    <w:rsid w:val="005B62B3"/>
    <w:rsid w:val="005F5DEE"/>
    <w:rsid w:val="00603B4D"/>
    <w:rsid w:val="006262FE"/>
    <w:rsid w:val="00663D09"/>
    <w:rsid w:val="00671107"/>
    <w:rsid w:val="006745C1"/>
    <w:rsid w:val="006C5CA6"/>
    <w:rsid w:val="00715AFC"/>
    <w:rsid w:val="00731022"/>
    <w:rsid w:val="00742278"/>
    <w:rsid w:val="00760281"/>
    <w:rsid w:val="007929FB"/>
    <w:rsid w:val="007B2FE0"/>
    <w:rsid w:val="007F1909"/>
    <w:rsid w:val="007F7C6C"/>
    <w:rsid w:val="008340AF"/>
    <w:rsid w:val="0083483E"/>
    <w:rsid w:val="00857266"/>
    <w:rsid w:val="00865293"/>
    <w:rsid w:val="008900DA"/>
    <w:rsid w:val="008A0076"/>
    <w:rsid w:val="008A1DE1"/>
    <w:rsid w:val="008A67A4"/>
    <w:rsid w:val="008E409E"/>
    <w:rsid w:val="008E657F"/>
    <w:rsid w:val="00972162"/>
    <w:rsid w:val="009836B7"/>
    <w:rsid w:val="00995495"/>
    <w:rsid w:val="009B23DF"/>
    <w:rsid w:val="009C021B"/>
    <w:rsid w:val="009C2FBF"/>
    <w:rsid w:val="00A00B65"/>
    <w:rsid w:val="00A02B66"/>
    <w:rsid w:val="00A064F3"/>
    <w:rsid w:val="00A14114"/>
    <w:rsid w:val="00A3478F"/>
    <w:rsid w:val="00A40BCE"/>
    <w:rsid w:val="00A472BD"/>
    <w:rsid w:val="00A47DA1"/>
    <w:rsid w:val="00A65C60"/>
    <w:rsid w:val="00A71C94"/>
    <w:rsid w:val="00AC63FB"/>
    <w:rsid w:val="00AD1A38"/>
    <w:rsid w:val="00B00489"/>
    <w:rsid w:val="00B06992"/>
    <w:rsid w:val="00B21CC0"/>
    <w:rsid w:val="00B97A70"/>
    <w:rsid w:val="00BD5ADF"/>
    <w:rsid w:val="00BF3B9F"/>
    <w:rsid w:val="00C2718A"/>
    <w:rsid w:val="00C3028D"/>
    <w:rsid w:val="00C53B88"/>
    <w:rsid w:val="00C84696"/>
    <w:rsid w:val="00CC185A"/>
    <w:rsid w:val="00CC3DF5"/>
    <w:rsid w:val="00CD1056"/>
    <w:rsid w:val="00CD3E20"/>
    <w:rsid w:val="00D0125A"/>
    <w:rsid w:val="00D0381A"/>
    <w:rsid w:val="00D63CCE"/>
    <w:rsid w:val="00D83922"/>
    <w:rsid w:val="00DB7805"/>
    <w:rsid w:val="00DD00F2"/>
    <w:rsid w:val="00E17F09"/>
    <w:rsid w:val="00E32D95"/>
    <w:rsid w:val="00E63848"/>
    <w:rsid w:val="00EB4D72"/>
    <w:rsid w:val="00EC73DC"/>
    <w:rsid w:val="00EF39F9"/>
    <w:rsid w:val="00F05BE5"/>
    <w:rsid w:val="00F11B25"/>
    <w:rsid w:val="00F36EBB"/>
    <w:rsid w:val="00F53BA2"/>
    <w:rsid w:val="00F86769"/>
    <w:rsid w:val="00FB2C67"/>
    <w:rsid w:val="00FB3896"/>
    <w:rsid w:val="00FF16D8"/>
    <w:rsid w:val="00FF51B1"/>
    <w:rsid w:val="02B32DB9"/>
    <w:rsid w:val="07A31A23"/>
    <w:rsid w:val="0EDC0C85"/>
    <w:rsid w:val="11C21DA6"/>
    <w:rsid w:val="11D372CF"/>
    <w:rsid w:val="126309CC"/>
    <w:rsid w:val="16626B95"/>
    <w:rsid w:val="19E86AEC"/>
    <w:rsid w:val="1C2A656D"/>
    <w:rsid w:val="1CCE6621"/>
    <w:rsid w:val="1EB27D37"/>
    <w:rsid w:val="214F0F8C"/>
    <w:rsid w:val="218A425E"/>
    <w:rsid w:val="2C020C08"/>
    <w:rsid w:val="32B44520"/>
    <w:rsid w:val="383E64EC"/>
    <w:rsid w:val="3C710F56"/>
    <w:rsid w:val="3FCA032D"/>
    <w:rsid w:val="45294D4A"/>
    <w:rsid w:val="46466B4D"/>
    <w:rsid w:val="4D845AB2"/>
    <w:rsid w:val="55317F50"/>
    <w:rsid w:val="56521C9D"/>
    <w:rsid w:val="5CF70D4F"/>
    <w:rsid w:val="5D132C59"/>
    <w:rsid w:val="5E715CC6"/>
    <w:rsid w:val="61797E9C"/>
    <w:rsid w:val="63181962"/>
    <w:rsid w:val="63320D03"/>
    <w:rsid w:val="71C14CD8"/>
    <w:rsid w:val="728C39FB"/>
    <w:rsid w:val="75567D69"/>
    <w:rsid w:val="76C21672"/>
    <w:rsid w:val="7BE41FBD"/>
    <w:rsid w:val="7CA74403"/>
    <w:rsid w:val="7F72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autoSpaceDE w:val="0"/>
      <w:autoSpaceDN w:val="0"/>
      <w:ind w:left="828" w:hanging="420"/>
      <w:jc w:val="left"/>
      <w:outlineLvl w:val="0"/>
    </w:pPr>
    <w:rPr>
      <w:rFonts w:ascii="黑体" w:hAnsi="黑体" w:eastAsia="黑体" w:cs="黑体"/>
      <w:b/>
      <w:bCs/>
      <w:kern w:val="0"/>
      <w:szCs w:val="21"/>
      <w:lang w:eastAsia="en-US"/>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9"/>
    <w:qFormat/>
    <w:uiPriority w:val="1"/>
    <w:pPr>
      <w:autoSpaceDE w:val="0"/>
      <w:autoSpaceDN w:val="0"/>
      <w:jc w:val="left"/>
    </w:pPr>
    <w:rPr>
      <w:rFonts w:ascii="宋体" w:hAnsi="宋体" w:eastAsia="宋体" w:cs="宋体"/>
      <w:kern w:val="0"/>
      <w:szCs w:val="21"/>
      <w:lang w:eastAsia="en-US"/>
    </w:rPr>
  </w:style>
  <w:style w:type="paragraph" w:styleId="4">
    <w:name w:val="toc 3"/>
    <w:basedOn w:val="1"/>
    <w:next w:val="1"/>
    <w:unhideWhenUsed/>
    <w:qFormat/>
    <w:uiPriority w:val="39"/>
    <w:pPr>
      <w:widowControl/>
      <w:spacing w:after="100" w:line="259" w:lineRule="auto"/>
      <w:ind w:left="440"/>
      <w:jc w:val="left"/>
    </w:pPr>
    <w:rPr>
      <w:rFonts w:cs="Times New Roman"/>
      <w:kern w:val="0"/>
      <w:sz w:val="22"/>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tabs>
        <w:tab w:val="center" w:pos="4153"/>
        <w:tab w:val="right" w:pos="8306"/>
      </w:tabs>
      <w:snapToGrid w:val="0"/>
      <w:jc w:val="center"/>
    </w:pPr>
    <w:rPr>
      <w:sz w:val="18"/>
      <w:szCs w:val="18"/>
    </w:rPr>
  </w:style>
  <w:style w:type="paragraph" w:styleId="7">
    <w:name w:val="toc 1"/>
    <w:basedOn w:val="1"/>
    <w:next w:val="1"/>
    <w:unhideWhenUsed/>
    <w:qFormat/>
    <w:uiPriority w:val="39"/>
    <w:pPr>
      <w:widowControl/>
      <w:snapToGrid w:val="0"/>
      <w:spacing w:line="480" w:lineRule="auto"/>
      <w:ind w:left="150" w:hanging="150" w:hangingChars="150"/>
      <w:jc w:val="left"/>
    </w:pPr>
    <w:rPr>
      <w:rFonts w:ascii="Times New Roman" w:hAnsi="Times New Roman" w:eastAsia="宋体" w:cs="Times New Roman"/>
      <w:kern w:val="0"/>
    </w:rPr>
  </w:style>
  <w:style w:type="paragraph" w:styleId="8">
    <w:name w:val="footnote text"/>
    <w:basedOn w:val="1"/>
    <w:link w:val="20"/>
    <w:semiHidden/>
    <w:unhideWhenUsed/>
    <w:qFormat/>
    <w:uiPriority w:val="99"/>
    <w:pPr>
      <w:autoSpaceDE w:val="0"/>
      <w:autoSpaceDN w:val="0"/>
      <w:snapToGrid w:val="0"/>
      <w:jc w:val="left"/>
    </w:pPr>
    <w:rPr>
      <w:rFonts w:ascii="宋体" w:hAnsi="宋体" w:eastAsia="宋体" w:cs="宋体"/>
      <w:kern w:val="0"/>
      <w:sz w:val="18"/>
      <w:szCs w:val="18"/>
      <w:lang w:eastAsia="en-US"/>
    </w:rPr>
  </w:style>
  <w:style w:type="paragraph" w:styleId="9">
    <w:name w:val="toc 2"/>
    <w:basedOn w:val="1"/>
    <w:next w:val="1"/>
    <w:unhideWhenUsed/>
    <w:qFormat/>
    <w:uiPriority w:val="39"/>
    <w:pPr>
      <w:widowControl/>
      <w:spacing w:after="100" w:line="259" w:lineRule="auto"/>
      <w:ind w:left="220"/>
      <w:jc w:val="left"/>
    </w:pPr>
    <w:rPr>
      <w:rFonts w:eastAsia="宋体" w:cs="Times New Roman"/>
      <w:kern w:val="0"/>
    </w:rPr>
  </w:style>
  <w:style w:type="paragraph" w:styleId="10">
    <w:name w:val="Normal (Web)"/>
    <w:basedOn w:val="1"/>
    <w:semiHidden/>
    <w:unhideWhenUsed/>
    <w:qFormat/>
    <w:uiPriority w:val="99"/>
    <w:rPr>
      <w:sz w:val="24"/>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footnote reference"/>
    <w:basedOn w:val="13"/>
    <w:semiHidden/>
    <w:unhideWhenUsed/>
    <w:qFormat/>
    <w:uiPriority w:val="99"/>
    <w:rPr>
      <w:vertAlign w:val="superscript"/>
    </w:rPr>
  </w:style>
  <w:style w:type="character" w:customStyle="1" w:styleId="16">
    <w:name w:val="页眉 字符"/>
    <w:basedOn w:val="13"/>
    <w:link w:val="6"/>
    <w:qFormat/>
    <w:uiPriority w:val="99"/>
    <w:rPr>
      <w:sz w:val="18"/>
      <w:szCs w:val="18"/>
    </w:rPr>
  </w:style>
  <w:style w:type="character" w:customStyle="1" w:styleId="17">
    <w:name w:val="页脚 字符"/>
    <w:basedOn w:val="13"/>
    <w:link w:val="5"/>
    <w:qFormat/>
    <w:uiPriority w:val="99"/>
    <w:rPr>
      <w:sz w:val="18"/>
      <w:szCs w:val="18"/>
    </w:rPr>
  </w:style>
  <w:style w:type="character" w:customStyle="1" w:styleId="18">
    <w:name w:val="标题 1 字符"/>
    <w:basedOn w:val="13"/>
    <w:link w:val="2"/>
    <w:qFormat/>
    <w:uiPriority w:val="9"/>
    <w:rPr>
      <w:rFonts w:ascii="黑体" w:hAnsi="黑体" w:eastAsia="黑体" w:cs="黑体"/>
      <w:b/>
      <w:bCs/>
      <w:kern w:val="0"/>
      <w:szCs w:val="21"/>
      <w:lang w:eastAsia="en-US"/>
    </w:rPr>
  </w:style>
  <w:style w:type="character" w:customStyle="1" w:styleId="19">
    <w:name w:val="正文文本 字符"/>
    <w:basedOn w:val="13"/>
    <w:link w:val="3"/>
    <w:qFormat/>
    <w:uiPriority w:val="1"/>
    <w:rPr>
      <w:rFonts w:ascii="宋体" w:hAnsi="宋体" w:eastAsia="宋体" w:cs="宋体"/>
      <w:kern w:val="0"/>
      <w:szCs w:val="21"/>
      <w:lang w:eastAsia="en-US"/>
    </w:rPr>
  </w:style>
  <w:style w:type="character" w:customStyle="1" w:styleId="20">
    <w:name w:val="脚注文本 字符"/>
    <w:basedOn w:val="13"/>
    <w:link w:val="8"/>
    <w:semiHidden/>
    <w:qFormat/>
    <w:uiPriority w:val="99"/>
    <w:rPr>
      <w:rFonts w:ascii="宋体" w:hAnsi="宋体" w:eastAsia="宋体" w:cs="宋体"/>
      <w:kern w:val="0"/>
      <w:sz w:val="18"/>
      <w:szCs w:val="18"/>
      <w:lang w:eastAsia="en-US"/>
    </w:rPr>
  </w:style>
  <w:style w:type="character" w:styleId="21">
    <w:name w:val="Placeholder Text"/>
    <w:basedOn w:val="13"/>
    <w:semiHidden/>
    <w:qFormat/>
    <w:uiPriority w:val="99"/>
    <w:rPr>
      <w:color w:val="666666"/>
    </w:rPr>
  </w:style>
  <w:style w:type="paragraph" w:customStyle="1" w:styleId="22">
    <w:name w:val="TOC 标题1"/>
    <w:basedOn w:val="2"/>
    <w:next w:val="1"/>
    <w:unhideWhenUsed/>
    <w:qFormat/>
    <w:uiPriority w:val="39"/>
    <w:pPr>
      <w:keepNext/>
      <w:keepLines/>
      <w:widowControl/>
      <w:autoSpaceDE/>
      <w:autoSpaceDN/>
      <w:spacing w:before="240" w:line="259" w:lineRule="auto"/>
      <w:ind w:left="0" w:firstLine="0"/>
      <w:outlineLvl w:val="9"/>
    </w:pPr>
    <w:rPr>
      <w:rFonts w:asciiTheme="majorHAnsi" w:hAnsiTheme="majorHAnsi" w:eastAsiaTheme="majorEastAsia" w:cstheme="majorBidi"/>
      <w:b w:val="0"/>
      <w:bCs w:val="0"/>
      <w:color w:val="2F5597" w:themeColor="accent1" w:themeShade="BF"/>
      <w:sz w:val="32"/>
      <w:szCs w:val="32"/>
      <w:lang w:eastAsia="zh-CN"/>
    </w:rPr>
  </w:style>
  <w:style w:type="paragraph" w:customStyle="1" w:styleId="23">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4">
    <w:name w:val="章标题 字符"/>
    <w:link w:val="25"/>
    <w:qFormat/>
    <w:uiPriority w:val="0"/>
    <w:rPr>
      <w:rFonts w:ascii="黑体" w:hAnsi="黑体" w:eastAsia="黑体" w:cs="黑体"/>
      <w:sz w:val="21"/>
      <w:szCs w:val="21"/>
    </w:rPr>
  </w:style>
  <w:style w:type="paragraph" w:customStyle="1" w:styleId="25">
    <w:name w:val="章标题"/>
    <w:basedOn w:val="1"/>
    <w:next w:val="1"/>
    <w:link w:val="24"/>
    <w:qFormat/>
    <w:uiPriority w:val="0"/>
    <w:pPr>
      <w:widowControl/>
      <w:numPr>
        <w:ilvl w:val="1"/>
        <w:numId w:val="1"/>
      </w:numPr>
      <w:spacing w:beforeLines="100" w:afterLines="100"/>
      <w:outlineLvl w:val="0"/>
    </w:pPr>
    <w:rPr>
      <w:rFonts w:ascii="黑体" w:hAnsi="黑体" w:eastAsia="黑体" w:cs="黑体"/>
      <w:kern w:val="0"/>
      <w:szCs w:val="21"/>
    </w:rPr>
  </w:style>
  <w:style w:type="paragraph" w:styleId="26">
    <w:name w:val="List Paragraph"/>
    <w:basedOn w:val="1"/>
    <w:unhideWhenUsed/>
    <w:qFormat/>
    <w:uiPriority w:val="99"/>
    <w:pPr>
      <w:ind w:firstLine="420" w:firstLineChars="200"/>
    </w:pPr>
  </w:style>
  <w:style w:type="paragraph" w:customStyle="1" w:styleId="27">
    <w:name w:val="Table Text"/>
    <w:basedOn w:val="1"/>
    <w:semiHidden/>
    <w:qFormat/>
    <w:uiPriority w:val="0"/>
    <w:rPr>
      <w:rFonts w:ascii="宋体" w:hAnsi="宋体" w:eastAsia="宋体" w:cs="宋体"/>
      <w:sz w:val="18"/>
      <w:szCs w:val="18"/>
      <w:lang w:val="en-US" w:eastAsia="en-US" w:bidi="ar-SA"/>
    </w:rPr>
  </w:style>
  <w:style w:type="table" w:customStyle="1" w:styleId="2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78d9c23b-d96f-473e-87be-e21318eea546</errorID>
      <errorWord>需具备</errorWord>
      <group>L1_Word</group>
      <groupName>字词问题</groupName>
      <ability>L2_Typo</ability>
      <abilityName>字词错误</abilityName>
      <candidateList>
        <item>须具备</item>
      </candidateList>
      <explain/>
      <paraID>49191DEC</paraID>
      <start>32</start>
      <end>35</end>
      <status>ignored</status>
      <modifiedWord/>
      <trackRevisions>false</trackRevisions>
    </reviewItem>
    <reviewItem>
      <errorID>877af5f7-98d0-44bb-9c25-cc0478a061be</errorID>
      <errorWord>、就</errorWord>
      <group>L1_Punc</group>
      <groupName>标点问题</groupName>
      <ability>L2_Punc_CN</ability>
      <abilityName>标点符号问题</abilityName>
      <candidateList>
        <item>，就</item>
      </candidateList>
      <explain>连接词前后不宜使用顿号，建议使用逗号。</explain>
      <paraID>49191DEC</paraID>
      <start>113</start>
      <end>115</end>
      <status>ignored</status>
      <modifiedWord/>
      <trackRevisions>false</trackRevisions>
    </reviewItem>
    <reviewItem>
      <errorID>809584c3-59aa-4986-baac-1bc02a3988d6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7FFD171E</paraID>
      <start>0</start>
      <end>2</end>
      <status>modified</status>
      <modifiedWord>a）</modifiedWord>
      <trackRevisions>false</trackRevisions>
    </reviewItem>
    <reviewItem>
      <errorID>25aba43a-f805-4b9e-87ca-1561d22696a5</errorID>
      <errorWord>）</errorWord>
      <group>L1_Punc</group>
      <groupName>标点问题</groupName>
      <ability>L2_Punc_CN</ability>
      <abilityName>标点符号问题</abilityName>
      <candidateList>
        <item>)</item>
      </candidateList>
      <explain/>
      <paraID>4F542F34</paraID>
      <start>1</start>
      <end>2</end>
      <status>modified</status>
      <modifiedWord>)</modifiedWord>
      <trackRevisions>false</trackRevisions>
    </reviewItem>
    <reviewItem>
      <errorID>50156f1d-bf43-4b49-ba54-002125dce94e</errorID>
      <errorWord>储能</errorWord>
      <group>L1_Punc</group>
      <groupName>标点问题</groupName>
      <ability>L2_Punc_CN</ability>
      <abilityName>标点符号问题</abilityName>
      <candidateList>
        <item>，储能</item>
      </candidateList>
      <explain/>
      <paraID>4DEBC06C</paraID>
      <start>15</start>
      <end>17</end>
      <status>ignored</status>
      <modifiedWord/>
      <trackRevisions>false</trackRevisions>
    </reviewItem>
    <reviewItem>
      <errorID>eba63890-5d28-494b-b212-7b9d2681d9c7</errorID>
      <errorWord>未</errorWord>
      <group>L1_Word</group>
      <groupName>字词问题</groupName>
      <ability>L2_Typo</ability>
      <abilityName>字词错误</abilityName>
      <candidateList>
        <item>若未</item>
      </candidateList>
      <explain/>
      <paraID>38C4B7E5</paraID>
      <start>135</start>
      <end>136</end>
      <status>ignored</status>
      <modifiedWord/>
      <trackRevisions>false</trackRevisions>
    </reviewItem>
    <reviewItem>
      <errorID>738cbe1a-d5dd-49fe-89a1-812d739fef0d</errorID>
      <errorWord>完全</errorWord>
      <group>L1_Word</group>
      <groupName>字词问题</groupName>
      <ability>L2_Typo</ability>
      <abilityName>字词错误</abilityName>
      <candidateList>
        <item>则完全</item>
      </candidateList>
      <explain/>
      <paraID>38C4B7E5</paraID>
      <start>165</start>
      <end>167</end>
      <status>ignored</status>
      <modifiedWord/>
      <trackRevisions>false</trackRevisions>
    </reviewItem>
    <reviewItem>
      <errorID>c4175486-ff57-4e49-a4d6-c4f0a8005e6d</errorID>
      <errorWord>的</errorWord>
      <group>L1_Grammar</group>
      <groupName>语法问题</groupName>
      <ability>L2_Grammar</ability>
      <abilityName>语法错误</abilityName>
      <candidateList>
        <item>，形成</item>
      </candidateList>
      <explain/>
      <paraID>38C4B7E5</paraID>
      <start>204</start>
      <end>205</end>
      <status>ignored</status>
      <modifiedWord/>
      <trackRevisions>false</trackRevisions>
    </reviewItem>
    <reviewItem>
      <errorID>ee269081-c448-48d5-a14f-015469d47135</errorID>
      <errorWord>、</errorWord>
      <group>L1_Punc</group>
      <groupName>标点问题</groupName>
      <ability>L2_Punc_CN</ability>
      <abilityName>标点符号问题</abilityName>
      <candidateList>
        <item>。</item>
      </candidateList>
      <explain/>
      <paraID>5F1DA9D4</paraID>
      <start>35</start>
      <end>36</end>
      <status>ignored</status>
      <modifiedWord/>
      <trackRevisions>false</trackRevisions>
    </reviewItem>
    <reviewItem>
      <errorID>dbb84aa2-8ee7-4786-a5bf-18dc3c8242c3</errorID>
      <errorWord>数据</errorWord>
      <group>L1_Punc</group>
      <groupName>标点问题</groupName>
      <ability>L2_Punc_CN</ability>
      <abilityName>标点符号问题</abilityName>
      <candidateList>
        <item>. 数据</item>
      </candidateList>
      <explain/>
      <paraID>788AE6EA</paraID>
      <start>0</start>
      <end>2</end>
      <status>ignored</status>
      <modifiedWord/>
      <trackRevisions>false</trackRevisions>
    </reviewItem>
    <reviewItem>
      <errorID>c0b4580b-f8c8-4da1-b8c8-fcfdc47aec39</errorID>
      <errorWord>－</errorWord>
      <group>L1_Punc</group>
      <groupName>标点问题</groupName>
      <ability>L2_Punc_CN</ability>
      <abilityName>标点符号问题</abilityName>
      <candidateList>
        <item>—</item>
      </candidateList>
      <explain/>
      <paraID>6D7EBDD9</paraID>
      <start>23</start>
      <end>24</end>
      <status>modified</status>
      <modifiedWord>—</modifiedWord>
      <trackRevisions>false</trackRevisions>
    </reviewItem>
    <reviewItem>
      <errorID>324adf94-88b2-44b2-8790-b0f81a132e94</errorID>
      <errorWord>EGoge</errorWord>
      <group>L1_English</group>
      <groupName>英文问题</groupName>
      <ability>L2_Case</ability>
      <abilityName>大小写问题</abilityName>
      <candidateList>
        <item>Egoge</item>
      </candidateList>
      <explain>疑似单词大小写错误，建议将EGoge修改为Egoge</explain>
      <paraID>56C847F8</paraID>
      <start>3</start>
      <end>8</end>
      <status>ignored</status>
      <modifiedWord/>
      <trackRevisions>false</trackRevisions>
    </reviewItem>
    <reviewItem>
      <errorID>b4ebcb55-3baf-462d-8f7d-888eaadc8094</errorID>
      <errorWord>EGoge</errorWord>
      <group>L1_English</group>
      <groupName>英文问题</groupName>
      <ability>L2_Case</ability>
      <abilityName>大小写问题</abilityName>
      <candidateList>
        <item>Egoge</item>
      </candidateList>
      <explain>疑似单词大小写错误，建议将EGoge修改为Egoge</explain>
      <paraID>172FFD37</paraID>
      <start>0</start>
      <end>5</end>
      <status>ignored</status>
      <modifiedWord/>
      <trackRevisions>false</trackRevisions>
    </reviewItem>
    <reviewItem>
      <errorID>e157ef8f-083d-465b-9459-4cbbfc2d3e20</errorID>
      <errorWord>实施</errorWord>
      <group>L1_Word</group>
      <groupName>字词问题</groupName>
      <ability>L2_Typo</ability>
      <abilityName>字词错误</abilityName>
      <candidateList>
        <item> 实施</item>
      </candidateList>
      <explain/>
      <paraID> C8D9887</paraID>
      <start>3</start>
      <end>5</end>
      <status>ignored</status>
      <modifiedWord/>
      <trackRevisions>false</trackRevisions>
    </reviewItem>
    <reviewItem>
      <errorID>7d21888f-3acd-4ec1-87dc-d62c4ca40a3e</errorID>
      <errorWord>项目</errorWord>
      <group>L1_Punc</group>
      <groupName>标点问题</groupName>
      <ability>L2_Punc_CN</ability>
      <abilityName>标点符号问题</abilityName>
      <candidateList>
        <item>. 项目</item>
      </candidateList>
      <explain/>
      <paraID>6B909B28</paraID>
      <start>0</start>
      <end>2</end>
      <status>ignored</status>
      <modifiedWord/>
      <trackRevisions>false</trackRevisions>
    </reviewItem>
    <reviewItem>
      <errorID>21da21c7-523b-471b-b99b-8aec141be192</errorID>
      <errorWord>与</errorWord>
      <group>L1_Word</group>
      <groupName>字词问题</groupName>
      <ability>L2_Typo</ability>
      <abilityName>字词错误</abilityName>
      <candidateList>
        <item>及</item>
      </candidateList>
      <explain/>
      <paraID>30CE99C1</paraID>
      <start>16</start>
      <end>17</end>
      <status>ignored</status>
      <modifiedWord/>
      <trackRevisions>false</trackRevisions>
    </reviewItem>
    <reviewItem>
      <errorID>11d6593b-8223-4fb8-84e9-8d1ae0758773</errorID>
      <errorWord>与</errorWord>
      <group>L1_Word</group>
      <groupName>字词问题</groupName>
      <ability>L2_Typo</ability>
      <abilityName>字词错误</abilityName>
      <candidateList>
        <item>及</item>
      </candidateList>
      <explain/>
      <paraID>55AA3E1E</paraID>
      <start>15</start>
      <end>16</end>
      <status>ignored</status>
      <modifiedWord/>
      <trackRevisions>false</trackRevisions>
    </reviewItem>
    <reviewItem>
      <errorID>34441e1c-8c39-4c90-a8f4-40bc7fecf32e</errorID>
      <errorWord>与</errorWord>
      <group>L1_Word</group>
      <groupName>字词问题</groupName>
      <ability>L2_Typo</ability>
      <abilityName>字词错误</abilityName>
      <candidateList>
        <item>及</item>
      </candidateList>
      <explain/>
      <paraID>303FBFEE</paraID>
      <start>15</start>
      <end>16</end>
      <status>ignored</status>
      <modifiedWord/>
      <trackRevisions>false</trackRevisions>
    </reviewItem>
    <reviewItem>
      <errorID>e7a764de-995c-4480-8b0e-7dc45b865366</errorID>
      <errorWord>核查</errorWord>
      <group>L1_Grammar</group>
      <groupName>语法问题</groupName>
      <ability>L2_Grammar</ability>
      <abilityName>语法错误</abilityName>
      <candidateList>
        <item>审定及核查</item>
      </candidateList>
      <explain/>
      <paraID>5E3DFF89</paraID>
      <start>12</start>
      <end>14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20073B-BE95-4226-844B-D8F894C17F39}">
  <ds:schemaRefs/>
</ds:datastoreItem>
</file>

<file path=customXml/itemProps3.xml><?xml version="1.0" encoding="utf-8"?>
<ds:datastoreItem xmlns:ds="http://schemas.openxmlformats.org/officeDocument/2006/customXml" ds:itemID="{f650fc37-6d08-4ec0-a9fa-337957931bde}">
  <ds:schemaRefs/>
</ds:datastoreItem>
</file>

<file path=docProps/app.xml><?xml version="1.0" encoding="utf-8"?>
<Properties xmlns="http://schemas.openxmlformats.org/officeDocument/2006/extended-properties" xmlns:vt="http://schemas.openxmlformats.org/officeDocument/2006/docPropsVTypes">
  <Template>Normal</Template>
  <Pages>13</Pages>
  <Words>3337</Words>
  <Characters>3674</Characters>
  <Lines>42</Lines>
  <Paragraphs>11</Paragraphs>
  <TotalTime>0</TotalTime>
  <ScaleCrop>false</ScaleCrop>
  <LinksUpToDate>false</LinksUpToDate>
  <CharactersWithSpaces>3850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2024-07-25T08:50:00Z</dcterms:created>
  <dc:creator>Yidan WANG</dc:creator>
  <cp:lastModifiedBy>anrisun</cp:lastModifiedBy>
  <dcterms:modified xsi:type="dcterms:W3CDTF">2026-07-31T07:27:48Z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56B44312DB9E4DBBA2A41B8DF760A357_13</vt:lpwstr>
  </property>
  <property fmtid="{D5CDD505-2E9C-101B-9397-08002B2CF9AE}" pid="4" name="MTWinEqns">
    <vt:bool>true</vt:bool>
  </property>
  <property fmtid="{D5CDD505-2E9C-101B-9397-08002B2CF9AE}" pid="5" name="KSOTemplateDocerSaveRecord">
    <vt:lpwstr>eyJoZGlkIjoiOTZhMGU3YWI5ZTAwZWUxMmMzNjNkODIwNDhkZTEwZjEiLCJ1c2VySWQiOiI2MDQ5MTI3OTUifQ==</vt:lpwstr>
  </property>
</Properties>
</file>