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68BC44">
      <w:pPr>
        <w:autoSpaceDE w:val="0"/>
        <w:autoSpaceDN w:val="0"/>
        <w:spacing w:before="55"/>
        <w:ind w:left="408"/>
        <w:jc w:val="left"/>
        <w:rPr>
          <w:rFonts w:hint="eastAsia" w:ascii="黑体" w:hAnsi="宋体" w:eastAsia="黑体" w:cs="宋体"/>
          <w:kern w:val="0"/>
          <w:sz w:val="32"/>
        </w:rPr>
      </w:pPr>
    </w:p>
    <w:p w14:paraId="790B3712">
      <w:pPr>
        <w:autoSpaceDE w:val="0"/>
        <w:autoSpaceDN w:val="0"/>
        <w:jc w:val="left"/>
        <w:rPr>
          <w:rFonts w:hint="eastAsia" w:ascii="黑体" w:hAnsi="宋体" w:eastAsia="宋体" w:cs="宋体"/>
          <w:kern w:val="0"/>
          <w:sz w:val="32"/>
          <w:szCs w:val="21"/>
        </w:rPr>
      </w:pPr>
    </w:p>
    <w:p w14:paraId="3E4C9A7C">
      <w:pPr>
        <w:autoSpaceDE w:val="0"/>
        <w:autoSpaceDN w:val="0"/>
        <w:jc w:val="left"/>
        <w:rPr>
          <w:rFonts w:hint="eastAsia" w:ascii="黑体" w:hAnsi="宋体" w:eastAsia="宋体" w:cs="宋体"/>
          <w:kern w:val="0"/>
          <w:sz w:val="32"/>
          <w:szCs w:val="21"/>
        </w:rPr>
      </w:pPr>
    </w:p>
    <w:p w14:paraId="1BCF6516">
      <w:pPr>
        <w:autoSpaceDE w:val="0"/>
        <w:autoSpaceDN w:val="0"/>
        <w:jc w:val="left"/>
        <w:rPr>
          <w:rFonts w:hint="eastAsia" w:ascii="黑体" w:hAnsi="宋体" w:eastAsia="宋体" w:cs="宋体"/>
          <w:kern w:val="0"/>
          <w:sz w:val="32"/>
          <w:szCs w:val="21"/>
        </w:rPr>
      </w:pPr>
    </w:p>
    <w:p w14:paraId="7E65AEE4">
      <w:pPr>
        <w:autoSpaceDE w:val="0"/>
        <w:autoSpaceDN w:val="0"/>
        <w:jc w:val="left"/>
        <w:rPr>
          <w:rFonts w:hint="eastAsia" w:ascii="黑体" w:hAnsi="宋体" w:eastAsia="宋体" w:cs="宋体"/>
          <w:kern w:val="0"/>
          <w:sz w:val="32"/>
          <w:szCs w:val="21"/>
        </w:rPr>
      </w:pPr>
    </w:p>
    <w:p w14:paraId="1DF35FFC">
      <w:pPr>
        <w:autoSpaceDE w:val="0"/>
        <w:autoSpaceDN w:val="0"/>
        <w:jc w:val="left"/>
        <w:rPr>
          <w:rFonts w:hint="eastAsia" w:ascii="黑体" w:hAnsi="宋体" w:eastAsia="宋体" w:cs="宋体"/>
          <w:kern w:val="0"/>
          <w:sz w:val="32"/>
          <w:szCs w:val="21"/>
        </w:rPr>
      </w:pPr>
    </w:p>
    <w:p w14:paraId="1CB60377">
      <w:pPr>
        <w:autoSpaceDE w:val="0"/>
        <w:autoSpaceDN w:val="0"/>
        <w:jc w:val="left"/>
        <w:rPr>
          <w:rFonts w:hint="eastAsia" w:ascii="黑体" w:hAnsi="宋体" w:eastAsia="宋体" w:cs="宋体"/>
          <w:kern w:val="0"/>
          <w:sz w:val="32"/>
          <w:szCs w:val="21"/>
        </w:rPr>
      </w:pPr>
    </w:p>
    <w:p w14:paraId="0DAFB98F">
      <w:pPr>
        <w:autoSpaceDE w:val="0"/>
        <w:autoSpaceDN w:val="0"/>
        <w:jc w:val="left"/>
        <w:rPr>
          <w:rFonts w:hint="eastAsia" w:ascii="黑体" w:hAnsi="宋体" w:eastAsia="宋体" w:cs="宋体"/>
          <w:kern w:val="0"/>
          <w:sz w:val="32"/>
          <w:szCs w:val="21"/>
        </w:rPr>
      </w:pPr>
    </w:p>
    <w:p w14:paraId="296E67CF">
      <w:pPr>
        <w:keepNext w:val="0"/>
        <w:keepLines w:val="0"/>
        <w:pageBreakBefore w:val="0"/>
        <w:widowControl w:val="0"/>
        <w:kinsoku/>
        <w:wordWrap/>
        <w:overflowPunct/>
        <w:topLinePunct w:val="0"/>
        <w:autoSpaceDE w:val="0"/>
        <w:autoSpaceDN w:val="0"/>
        <w:bidi w:val="0"/>
        <w:adjustRightInd/>
        <w:snapToGrid w:val="0"/>
        <w:ind w:right="0"/>
        <w:jc w:val="center"/>
        <w:textAlignment w:val="auto"/>
        <w:rPr>
          <w:rFonts w:hint="default" w:ascii="黑体" w:hAnsi="黑体" w:eastAsia="黑体" w:cs="黑体"/>
          <w:b w:val="0"/>
          <w:bCs w:val="0"/>
          <w:kern w:val="0"/>
          <w:sz w:val="52"/>
          <w:szCs w:val="52"/>
          <w:lang w:val="en-US" w:eastAsia="zh-CN"/>
        </w:rPr>
      </w:pPr>
      <w:r>
        <w:rPr>
          <w:rFonts w:hint="eastAsia" w:ascii="黑体" w:hAnsi="黑体" w:eastAsia="黑体" w:cs="黑体"/>
          <w:b w:val="0"/>
          <w:bCs w:val="0"/>
          <w:w w:val="95"/>
          <w:kern w:val="0"/>
          <w:sz w:val="52"/>
          <w:szCs w:val="52"/>
        </w:rPr>
        <w:t>南京市</w:t>
      </w:r>
      <w:r>
        <w:rPr>
          <w:rFonts w:hint="eastAsia" w:ascii="黑体" w:hAnsi="黑体" w:eastAsia="黑体" w:cs="黑体"/>
          <w:b w:val="0"/>
          <w:bCs w:val="0"/>
          <w:w w:val="95"/>
          <w:kern w:val="0"/>
          <w:sz w:val="52"/>
          <w:szCs w:val="52"/>
          <w:lang w:val="en-US" w:eastAsia="zh-CN"/>
        </w:rPr>
        <w:t>公交场站</w:t>
      </w:r>
      <w:r>
        <w:rPr>
          <w:rFonts w:hint="eastAsia" w:ascii="黑体" w:hAnsi="黑体" w:eastAsia="黑体" w:cs="黑体"/>
          <w:b w:val="0"/>
          <w:bCs w:val="0"/>
          <w:spacing w:val="-2"/>
          <w:w w:val="95"/>
          <w:kern w:val="0"/>
          <w:sz w:val="52"/>
          <w:szCs w:val="52"/>
        </w:rPr>
        <w:t>电动汽车充电桩</w:t>
      </w:r>
      <w:r>
        <w:rPr>
          <w:rFonts w:hint="eastAsia" w:ascii="黑体" w:hAnsi="黑体" w:eastAsia="黑体" w:cs="黑体"/>
          <w:b w:val="0"/>
          <w:bCs w:val="0"/>
          <w:spacing w:val="-2"/>
          <w:w w:val="95"/>
          <w:kern w:val="0"/>
          <w:sz w:val="52"/>
          <w:szCs w:val="52"/>
          <w:lang w:val="en-US" w:eastAsia="zh-CN"/>
        </w:rPr>
        <w:t>碳普惠方法学</w:t>
      </w:r>
    </w:p>
    <w:p w14:paraId="5F67D817">
      <w:pPr>
        <w:autoSpaceDE w:val="0"/>
        <w:autoSpaceDN w:val="0"/>
        <w:jc w:val="left"/>
        <w:rPr>
          <w:rFonts w:hint="eastAsia" w:ascii="黑体" w:hAnsi="宋体" w:eastAsia="宋体" w:cs="宋体"/>
          <w:b/>
          <w:kern w:val="0"/>
          <w:sz w:val="40"/>
          <w:szCs w:val="21"/>
        </w:rPr>
      </w:pPr>
    </w:p>
    <w:p w14:paraId="2DD9C2C6">
      <w:pPr>
        <w:autoSpaceDE w:val="0"/>
        <w:autoSpaceDN w:val="0"/>
        <w:jc w:val="left"/>
        <w:rPr>
          <w:rFonts w:hint="eastAsia" w:ascii="黑体" w:hAnsi="宋体" w:eastAsia="宋体" w:cs="宋体"/>
          <w:b/>
          <w:kern w:val="0"/>
          <w:sz w:val="40"/>
          <w:szCs w:val="21"/>
        </w:rPr>
      </w:pPr>
    </w:p>
    <w:p w14:paraId="1611E64C">
      <w:pPr>
        <w:autoSpaceDE w:val="0"/>
        <w:autoSpaceDN w:val="0"/>
        <w:jc w:val="left"/>
        <w:rPr>
          <w:rFonts w:hint="eastAsia" w:ascii="黑体" w:hAnsi="宋体" w:eastAsia="宋体" w:cs="宋体"/>
          <w:b/>
          <w:kern w:val="0"/>
          <w:sz w:val="40"/>
          <w:szCs w:val="21"/>
        </w:rPr>
      </w:pPr>
    </w:p>
    <w:p w14:paraId="47BCA635">
      <w:pPr>
        <w:autoSpaceDE w:val="0"/>
        <w:autoSpaceDN w:val="0"/>
        <w:jc w:val="left"/>
        <w:rPr>
          <w:rFonts w:hint="eastAsia" w:ascii="黑体" w:hAnsi="宋体" w:eastAsia="宋体" w:cs="宋体"/>
          <w:b/>
          <w:kern w:val="0"/>
          <w:sz w:val="40"/>
          <w:szCs w:val="21"/>
        </w:rPr>
      </w:pPr>
    </w:p>
    <w:p w14:paraId="2B412CBA">
      <w:pPr>
        <w:autoSpaceDE w:val="0"/>
        <w:autoSpaceDN w:val="0"/>
        <w:jc w:val="left"/>
        <w:rPr>
          <w:rFonts w:hint="eastAsia" w:ascii="黑体" w:hAnsi="宋体" w:eastAsia="宋体" w:cs="宋体"/>
          <w:b/>
          <w:kern w:val="0"/>
          <w:sz w:val="40"/>
          <w:szCs w:val="21"/>
        </w:rPr>
      </w:pPr>
    </w:p>
    <w:p w14:paraId="7E5D9D81">
      <w:pPr>
        <w:autoSpaceDE w:val="0"/>
        <w:autoSpaceDN w:val="0"/>
        <w:jc w:val="left"/>
        <w:rPr>
          <w:rFonts w:hint="eastAsia" w:ascii="黑体" w:hAnsi="宋体" w:eastAsia="宋体" w:cs="宋体"/>
          <w:b/>
          <w:kern w:val="0"/>
          <w:sz w:val="40"/>
          <w:szCs w:val="21"/>
        </w:rPr>
      </w:pPr>
    </w:p>
    <w:p w14:paraId="68705812">
      <w:pPr>
        <w:autoSpaceDE w:val="0"/>
        <w:autoSpaceDN w:val="0"/>
        <w:jc w:val="left"/>
        <w:rPr>
          <w:rFonts w:hint="eastAsia" w:ascii="黑体" w:hAnsi="宋体" w:eastAsia="宋体" w:cs="宋体"/>
          <w:b/>
          <w:kern w:val="0"/>
          <w:sz w:val="40"/>
          <w:szCs w:val="21"/>
        </w:rPr>
      </w:pPr>
    </w:p>
    <w:p w14:paraId="7AA94EE8">
      <w:pPr>
        <w:autoSpaceDE w:val="0"/>
        <w:autoSpaceDN w:val="0"/>
        <w:jc w:val="left"/>
        <w:rPr>
          <w:rFonts w:hint="eastAsia" w:ascii="黑体" w:hAnsi="宋体" w:eastAsia="宋体" w:cs="宋体"/>
          <w:b/>
          <w:kern w:val="0"/>
          <w:sz w:val="40"/>
          <w:szCs w:val="21"/>
        </w:rPr>
      </w:pPr>
    </w:p>
    <w:p w14:paraId="51157630">
      <w:pPr>
        <w:autoSpaceDE w:val="0"/>
        <w:autoSpaceDN w:val="0"/>
        <w:jc w:val="left"/>
        <w:rPr>
          <w:rFonts w:hint="eastAsia" w:ascii="黑体" w:hAnsi="宋体" w:eastAsia="宋体" w:cs="宋体"/>
          <w:b/>
          <w:kern w:val="0"/>
          <w:sz w:val="40"/>
          <w:szCs w:val="21"/>
        </w:rPr>
      </w:pPr>
    </w:p>
    <w:p w14:paraId="04241F3A">
      <w:pPr>
        <w:autoSpaceDE w:val="0"/>
        <w:autoSpaceDN w:val="0"/>
        <w:jc w:val="left"/>
        <w:rPr>
          <w:rFonts w:hint="eastAsia" w:ascii="黑体" w:hAnsi="宋体" w:eastAsia="宋体" w:cs="宋体"/>
          <w:b/>
          <w:kern w:val="0"/>
          <w:sz w:val="40"/>
          <w:szCs w:val="21"/>
        </w:rPr>
      </w:pPr>
    </w:p>
    <w:p w14:paraId="5931BDD7">
      <w:pPr>
        <w:autoSpaceDE w:val="0"/>
        <w:autoSpaceDN w:val="0"/>
        <w:spacing w:before="7"/>
        <w:jc w:val="left"/>
        <w:rPr>
          <w:rFonts w:hint="eastAsia" w:ascii="黑体" w:hAnsi="宋体" w:eastAsia="宋体" w:cs="宋体"/>
          <w:b/>
          <w:kern w:val="0"/>
          <w:sz w:val="40"/>
          <w:szCs w:val="21"/>
        </w:rPr>
      </w:pPr>
    </w:p>
    <w:p w14:paraId="644CB39A">
      <w:pPr>
        <w:keepNext w:val="0"/>
        <w:keepLines w:val="0"/>
        <w:pageBreakBefore w:val="0"/>
        <w:widowControl w:val="0"/>
        <w:kinsoku/>
        <w:wordWrap/>
        <w:overflowPunct/>
        <w:topLinePunct w:val="0"/>
        <w:autoSpaceDE w:val="0"/>
        <w:autoSpaceDN w:val="0"/>
        <w:bidi w:val="0"/>
        <w:adjustRightInd/>
        <w:snapToGrid w:val="0"/>
        <w:ind w:right="0"/>
        <w:jc w:val="center"/>
        <w:textAlignment w:val="auto"/>
        <w:rPr>
          <w:rFonts w:hint="eastAsia" w:ascii="黑体" w:hAnsi="宋体" w:eastAsia="黑体" w:cs="宋体"/>
          <w:spacing w:val="-2"/>
          <w:kern w:val="0"/>
          <w:sz w:val="28"/>
        </w:rPr>
      </w:pPr>
      <w:r>
        <w:rPr>
          <w:rFonts w:hint="eastAsia" w:ascii="Times New Roman" w:hAnsi="Times New Roman" w:eastAsia="黑体" w:cs="宋体"/>
          <w:spacing w:val="-2"/>
          <w:kern w:val="0"/>
          <w:sz w:val="28"/>
        </w:rPr>
        <w:t>202</w:t>
      </w:r>
      <w:r>
        <w:rPr>
          <w:rFonts w:hint="eastAsia" w:ascii="Times New Roman" w:hAnsi="Times New Roman" w:eastAsia="黑体" w:cs="宋体"/>
          <w:spacing w:val="-2"/>
          <w:kern w:val="0"/>
          <w:sz w:val="28"/>
          <w:lang w:val="en-US" w:eastAsia="zh-CN"/>
        </w:rPr>
        <w:t>6</w:t>
      </w:r>
      <w:r>
        <w:rPr>
          <w:rFonts w:hint="eastAsia" w:ascii="黑体" w:hAnsi="宋体" w:eastAsia="黑体" w:cs="宋体"/>
          <w:spacing w:val="-2"/>
          <w:kern w:val="0"/>
          <w:sz w:val="28"/>
        </w:rPr>
        <w:t>年</w:t>
      </w:r>
      <w:r>
        <w:rPr>
          <w:rFonts w:hint="eastAsia" w:ascii="Times New Roman" w:hAnsi="Times New Roman" w:eastAsia="黑体" w:cs="宋体"/>
          <w:spacing w:val="-2"/>
          <w:kern w:val="0"/>
          <w:sz w:val="28"/>
          <w:lang w:val="en-US" w:eastAsia="zh-CN"/>
        </w:rPr>
        <w:t>7</w:t>
      </w:r>
      <w:r>
        <w:rPr>
          <w:rFonts w:hint="eastAsia" w:ascii="黑体" w:hAnsi="宋体" w:eastAsia="黑体" w:cs="宋体"/>
          <w:spacing w:val="-2"/>
          <w:kern w:val="0"/>
          <w:sz w:val="28"/>
        </w:rPr>
        <w:t>月</w:t>
      </w:r>
    </w:p>
    <w:p w14:paraId="478799FC">
      <w:pPr>
        <w:autoSpaceDE w:val="0"/>
        <w:autoSpaceDN w:val="0"/>
        <w:ind w:right="814"/>
        <w:jc w:val="center"/>
        <w:rPr>
          <w:rFonts w:hint="eastAsia" w:ascii="黑体" w:hAnsi="宋体" w:eastAsia="黑体" w:cs="宋体"/>
          <w:spacing w:val="-40"/>
          <w:kern w:val="0"/>
          <w:sz w:val="28"/>
        </w:rPr>
        <w:sectPr>
          <w:footerReference r:id="rId3" w:type="default"/>
          <w:pgSz w:w="11906" w:h="16838"/>
          <w:pgMar w:top="1440" w:right="1800" w:bottom="1440" w:left="1800" w:header="851" w:footer="992" w:gutter="0"/>
          <w:cols w:space="425" w:num="1"/>
          <w:docGrid w:type="lines" w:linePitch="312" w:charSpace="0"/>
        </w:sectPr>
      </w:pPr>
    </w:p>
    <w:p w14:paraId="39B17599">
      <w:pPr>
        <w:keepNext w:val="0"/>
        <w:keepLines w:val="0"/>
        <w:pageBreakBefore w:val="0"/>
        <w:widowControl w:val="0"/>
        <w:tabs>
          <w:tab w:val="left" w:pos="803"/>
        </w:tabs>
        <w:kinsoku/>
        <w:wordWrap/>
        <w:overflowPunct/>
        <w:topLinePunct w:val="0"/>
        <w:autoSpaceDE w:val="0"/>
        <w:autoSpaceDN w:val="0"/>
        <w:bidi w:val="0"/>
        <w:adjustRightInd/>
        <w:snapToGrid w:val="0"/>
        <w:spacing w:line="360" w:lineRule="auto"/>
        <w:ind w:right="0"/>
        <w:jc w:val="center"/>
        <w:textAlignment w:val="auto"/>
        <w:rPr>
          <w:rFonts w:hint="eastAsia" w:ascii="黑体" w:hAnsi="宋体" w:eastAsia="黑体" w:cs="宋体"/>
          <w:b w:val="0"/>
          <w:bCs/>
          <w:spacing w:val="-10"/>
          <w:kern w:val="0"/>
          <w:sz w:val="32"/>
        </w:rPr>
      </w:pPr>
      <w:r>
        <w:rPr>
          <w:rFonts w:hint="eastAsia" w:ascii="黑体" w:hAnsi="宋体" w:eastAsia="黑体" w:cs="宋体"/>
          <w:b w:val="0"/>
          <w:bCs/>
          <w:spacing w:val="-10"/>
          <w:kern w:val="0"/>
          <w:sz w:val="32"/>
        </w:rPr>
        <w:t>目</w:t>
      </w:r>
      <w:r>
        <w:rPr>
          <w:rFonts w:hint="eastAsia" w:ascii="黑体" w:hAnsi="宋体" w:eastAsia="黑体" w:cs="宋体"/>
          <w:b w:val="0"/>
          <w:bCs/>
          <w:kern w:val="0"/>
          <w:sz w:val="32"/>
        </w:rPr>
        <w:tab/>
      </w:r>
      <w:r>
        <w:rPr>
          <w:rFonts w:hint="eastAsia" w:ascii="黑体" w:hAnsi="宋体" w:eastAsia="黑体" w:cs="宋体"/>
          <w:b w:val="0"/>
          <w:bCs/>
          <w:spacing w:val="-10"/>
          <w:kern w:val="0"/>
          <w:sz w:val="32"/>
        </w:rPr>
        <w:t>录</w:t>
      </w:r>
    </w:p>
    <w:p w14:paraId="523AB754">
      <w:pPr>
        <w:pStyle w:val="7"/>
        <w:tabs>
          <w:tab w:val="right" w:leader="dot" w:pos="8306"/>
        </w:tabs>
      </w:pPr>
      <w:r>
        <w:rPr>
          <w:b w:val="0"/>
          <w:bCs/>
          <w:sz w:val="32"/>
        </w:rPr>
        <w:fldChar w:fldCharType="begin"/>
      </w:r>
      <w:r>
        <w:rPr>
          <w:b w:val="0"/>
          <w:bCs/>
          <w:sz w:val="32"/>
        </w:rPr>
        <w:instrText xml:space="preserve"> TOC \o "1-1" \h \z \u </w:instrText>
      </w:r>
      <w:r>
        <w:rPr>
          <w:b w:val="0"/>
          <w:bCs/>
          <w:sz w:val="32"/>
        </w:rPr>
        <w:fldChar w:fldCharType="separate"/>
      </w:r>
      <w:r>
        <w:rPr>
          <w:bCs/>
        </w:rPr>
        <w:fldChar w:fldCharType="begin"/>
      </w:r>
      <w:r>
        <w:rPr>
          <w:bCs/>
        </w:rPr>
        <w:instrText xml:space="preserve"> HYPERLINK \l _Toc14498 </w:instrText>
      </w:r>
      <w:r>
        <w:rPr>
          <w:bCs/>
        </w:rPr>
        <w:fldChar w:fldCharType="separate"/>
      </w:r>
      <w:r>
        <w:rPr>
          <w:rFonts w:hint="default" w:ascii="黑体" w:hAnsi="黑体" w:eastAsia="黑体" w:cs="黑体"/>
          <w:bCs w:val="0"/>
          <w:i w:val="0"/>
          <w:iCs w:val="0"/>
          <w:spacing w:val="-2"/>
          <w:w w:val="98"/>
          <w:kern w:val="0"/>
          <w:szCs w:val="28"/>
          <w:lang w:eastAsia="en-US"/>
        </w:rPr>
        <w:t xml:space="preserve">1 </w:t>
      </w:r>
      <w:r>
        <w:rPr>
          <w:rFonts w:hint="eastAsia" w:ascii="黑体" w:hAnsi="黑体" w:eastAsia="黑体" w:cs="黑体"/>
          <w:bCs w:val="0"/>
          <w:spacing w:val="-2"/>
          <w:w w:val="95"/>
          <w:kern w:val="0"/>
          <w:szCs w:val="28"/>
          <w:lang w:val="en-US" w:eastAsia="zh-CN"/>
        </w:rPr>
        <w:t>引言</w:t>
      </w:r>
      <w:r>
        <w:tab/>
      </w:r>
      <w:r>
        <w:fldChar w:fldCharType="begin"/>
      </w:r>
      <w:r>
        <w:instrText xml:space="preserve"> PAGEREF _Toc14498 \h </w:instrText>
      </w:r>
      <w:r>
        <w:fldChar w:fldCharType="separate"/>
      </w:r>
      <w:r>
        <w:t>1</w:t>
      </w:r>
      <w:r>
        <w:fldChar w:fldCharType="end"/>
      </w:r>
      <w:r>
        <w:rPr>
          <w:bCs/>
        </w:rPr>
        <w:fldChar w:fldCharType="end"/>
      </w:r>
    </w:p>
    <w:p w14:paraId="56F28539">
      <w:pPr>
        <w:pStyle w:val="7"/>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_Toc4131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en-US"/>
        </w:rPr>
        <w:t xml:space="preserve">2 </w:t>
      </w:r>
      <w:r>
        <w:rPr>
          <w:rFonts w:hint="eastAsia" w:ascii="黑体" w:hAnsi="黑体" w:eastAsia="黑体" w:cs="黑体"/>
          <w:bCs w:val="0"/>
          <w:spacing w:val="-2"/>
          <w:w w:val="95"/>
          <w:kern w:val="0"/>
          <w:szCs w:val="28"/>
          <w:lang w:val="en-US" w:eastAsia="en-US"/>
        </w:rPr>
        <w:t>适用</w:t>
      </w:r>
      <w:r>
        <w:rPr>
          <w:rFonts w:hint="eastAsia" w:ascii="黑体" w:hAnsi="黑体" w:eastAsia="黑体" w:cs="黑体"/>
          <w:bCs w:val="0"/>
          <w:spacing w:val="-2"/>
          <w:w w:val="95"/>
          <w:kern w:val="0"/>
          <w:szCs w:val="28"/>
          <w:lang w:val="en-US" w:eastAsia="zh-CN"/>
        </w:rPr>
        <w:t>范围</w:t>
      </w:r>
      <w:r>
        <w:tab/>
      </w:r>
      <w:r>
        <w:fldChar w:fldCharType="begin"/>
      </w:r>
      <w:r>
        <w:instrText xml:space="preserve"> PAGEREF _Toc4131 \h </w:instrText>
      </w:r>
      <w:r>
        <w:fldChar w:fldCharType="separate"/>
      </w:r>
      <w:r>
        <w:t>1</w:t>
      </w:r>
      <w:r>
        <w:fldChar w:fldCharType="end"/>
      </w:r>
      <w:r>
        <w:rPr>
          <w:rFonts w:ascii="Times New Roman" w:hAnsi="Times New Roman" w:eastAsia="宋体" w:cs="Times New Roman"/>
          <w:bCs/>
          <w:kern w:val="0"/>
        </w:rPr>
        <w:fldChar w:fldCharType="end"/>
      </w:r>
    </w:p>
    <w:p w14:paraId="34ABF040">
      <w:pPr>
        <w:pStyle w:val="7"/>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_Toc536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en-US"/>
        </w:rPr>
        <w:t xml:space="preserve">3 </w:t>
      </w:r>
      <w:r>
        <w:rPr>
          <w:rFonts w:hint="eastAsia" w:ascii="黑体" w:hAnsi="黑体" w:eastAsia="黑体" w:cs="黑体"/>
          <w:bCs w:val="0"/>
          <w:spacing w:val="-2"/>
          <w:w w:val="95"/>
          <w:kern w:val="0"/>
          <w:szCs w:val="28"/>
          <w:lang w:val="en-US" w:eastAsia="en-US"/>
        </w:rPr>
        <w:t>引用文件</w:t>
      </w:r>
      <w:r>
        <w:tab/>
      </w:r>
      <w:r>
        <w:fldChar w:fldCharType="begin"/>
      </w:r>
      <w:r>
        <w:instrText xml:space="preserve"> PAGEREF _Toc536 \h </w:instrText>
      </w:r>
      <w:r>
        <w:fldChar w:fldCharType="separate"/>
      </w:r>
      <w:r>
        <w:t>2</w:t>
      </w:r>
      <w:r>
        <w:fldChar w:fldCharType="end"/>
      </w:r>
      <w:r>
        <w:rPr>
          <w:rFonts w:ascii="Times New Roman" w:hAnsi="Times New Roman" w:eastAsia="宋体" w:cs="Times New Roman"/>
          <w:bCs/>
          <w:kern w:val="0"/>
        </w:rPr>
        <w:fldChar w:fldCharType="end"/>
      </w:r>
    </w:p>
    <w:p w14:paraId="40881322">
      <w:pPr>
        <w:pStyle w:val="7"/>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_Toc26303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en-US"/>
        </w:rPr>
        <w:t xml:space="preserve">4 </w:t>
      </w:r>
      <w:r>
        <w:rPr>
          <w:rFonts w:hint="eastAsia" w:ascii="黑体" w:hAnsi="黑体" w:eastAsia="黑体" w:cs="黑体"/>
          <w:bCs w:val="0"/>
          <w:spacing w:val="-2"/>
          <w:w w:val="95"/>
          <w:kern w:val="0"/>
          <w:szCs w:val="28"/>
          <w:lang w:val="en-US" w:eastAsia="en-US"/>
        </w:rPr>
        <w:t>术语和定义</w:t>
      </w:r>
      <w:r>
        <w:tab/>
      </w:r>
      <w:r>
        <w:fldChar w:fldCharType="begin"/>
      </w:r>
      <w:r>
        <w:instrText xml:space="preserve"> PAGEREF _Toc26303 \h </w:instrText>
      </w:r>
      <w:r>
        <w:fldChar w:fldCharType="separate"/>
      </w:r>
      <w:r>
        <w:t>2</w:t>
      </w:r>
      <w:r>
        <w:fldChar w:fldCharType="end"/>
      </w:r>
      <w:r>
        <w:rPr>
          <w:rFonts w:ascii="Times New Roman" w:hAnsi="Times New Roman" w:eastAsia="宋体" w:cs="Times New Roman"/>
          <w:bCs/>
          <w:kern w:val="0"/>
        </w:rPr>
        <w:fldChar w:fldCharType="end"/>
      </w:r>
    </w:p>
    <w:p w14:paraId="06F10E39">
      <w:pPr>
        <w:pStyle w:val="7"/>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_Toc23909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zh-CN"/>
        </w:rPr>
        <w:t xml:space="preserve">5 </w:t>
      </w:r>
      <w:r>
        <w:rPr>
          <w:rFonts w:hint="eastAsia" w:ascii="黑体" w:hAnsi="黑体" w:eastAsia="黑体" w:cs="黑体"/>
          <w:bCs w:val="0"/>
          <w:spacing w:val="-2"/>
          <w:w w:val="95"/>
          <w:kern w:val="0"/>
          <w:szCs w:val="28"/>
          <w:lang w:val="en-US" w:eastAsia="zh-CN"/>
        </w:rPr>
        <w:t>基本要求</w:t>
      </w:r>
      <w:r>
        <w:tab/>
      </w:r>
      <w:r>
        <w:fldChar w:fldCharType="begin"/>
      </w:r>
      <w:r>
        <w:instrText xml:space="preserve"> PAGEREF _Toc23909 \h </w:instrText>
      </w:r>
      <w:r>
        <w:fldChar w:fldCharType="separate"/>
      </w:r>
      <w:r>
        <w:t>3</w:t>
      </w:r>
      <w:r>
        <w:fldChar w:fldCharType="end"/>
      </w:r>
      <w:r>
        <w:rPr>
          <w:rFonts w:ascii="Times New Roman" w:hAnsi="Times New Roman" w:eastAsia="宋体" w:cs="Times New Roman"/>
          <w:bCs/>
          <w:kern w:val="0"/>
        </w:rPr>
        <w:fldChar w:fldCharType="end"/>
      </w:r>
    </w:p>
    <w:p w14:paraId="3584BF25">
      <w:pPr>
        <w:pStyle w:val="7"/>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_Toc20245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zh-CN"/>
        </w:rPr>
        <w:t xml:space="preserve">6 </w:t>
      </w:r>
      <w:r>
        <w:rPr>
          <w:rFonts w:hint="eastAsia" w:ascii="黑体" w:hAnsi="黑体" w:eastAsia="黑体" w:cs="黑体"/>
          <w:bCs w:val="0"/>
          <w:spacing w:val="-2"/>
          <w:w w:val="95"/>
          <w:kern w:val="0"/>
          <w:szCs w:val="28"/>
          <w:lang w:val="en-US" w:eastAsia="zh-CN"/>
        </w:rPr>
        <w:t>核算边界及排放源</w:t>
      </w:r>
      <w:r>
        <w:tab/>
      </w:r>
      <w:r>
        <w:fldChar w:fldCharType="begin"/>
      </w:r>
      <w:r>
        <w:instrText xml:space="preserve"> PAGEREF _Toc20245 \h </w:instrText>
      </w:r>
      <w:r>
        <w:fldChar w:fldCharType="separate"/>
      </w:r>
      <w:r>
        <w:t>4</w:t>
      </w:r>
      <w:r>
        <w:fldChar w:fldCharType="end"/>
      </w:r>
      <w:r>
        <w:rPr>
          <w:rFonts w:ascii="Times New Roman" w:hAnsi="Times New Roman" w:eastAsia="宋体" w:cs="Times New Roman"/>
          <w:bCs/>
          <w:kern w:val="0"/>
        </w:rPr>
        <w:fldChar w:fldCharType="end"/>
      </w:r>
    </w:p>
    <w:p w14:paraId="3C9DB9EB">
      <w:pPr>
        <w:pStyle w:val="7"/>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_Toc28367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en-US"/>
        </w:rPr>
        <w:t xml:space="preserve">7 </w:t>
      </w:r>
      <w:r>
        <w:rPr>
          <w:rFonts w:hint="eastAsia" w:ascii="黑体" w:hAnsi="黑体" w:eastAsia="黑体" w:cs="黑体"/>
          <w:bCs w:val="0"/>
          <w:spacing w:val="-2"/>
          <w:w w:val="95"/>
          <w:kern w:val="0"/>
          <w:szCs w:val="28"/>
          <w:lang w:val="en-US" w:eastAsia="zh-CN"/>
        </w:rPr>
        <w:t>减排量计算</w:t>
      </w:r>
      <w:r>
        <w:tab/>
      </w:r>
      <w:r>
        <w:fldChar w:fldCharType="begin"/>
      </w:r>
      <w:r>
        <w:instrText xml:space="preserve"> PAGEREF _Toc28367 \h </w:instrText>
      </w:r>
      <w:r>
        <w:fldChar w:fldCharType="separate"/>
      </w:r>
      <w:r>
        <w:t>4</w:t>
      </w:r>
      <w:r>
        <w:fldChar w:fldCharType="end"/>
      </w:r>
      <w:r>
        <w:rPr>
          <w:rFonts w:ascii="Times New Roman" w:hAnsi="Times New Roman" w:eastAsia="宋体" w:cs="Times New Roman"/>
          <w:bCs/>
          <w:kern w:val="0"/>
        </w:rPr>
        <w:fldChar w:fldCharType="end"/>
      </w:r>
    </w:p>
    <w:p w14:paraId="5A42EA5B">
      <w:pPr>
        <w:pStyle w:val="7"/>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_Toc4144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zh-CN"/>
        </w:rPr>
        <w:t xml:space="preserve">8 </w:t>
      </w:r>
      <w:r>
        <w:rPr>
          <w:rFonts w:hint="eastAsia" w:ascii="黑体" w:hAnsi="黑体" w:eastAsia="黑体" w:cs="黑体"/>
          <w:bCs w:val="0"/>
          <w:spacing w:val="-2"/>
          <w:w w:val="95"/>
          <w:kern w:val="0"/>
          <w:szCs w:val="28"/>
          <w:lang w:val="en-US" w:eastAsia="zh-CN"/>
        </w:rPr>
        <w:t>数据来源监测</w:t>
      </w:r>
      <w:r>
        <w:tab/>
      </w:r>
      <w:r>
        <w:fldChar w:fldCharType="begin"/>
      </w:r>
      <w:r>
        <w:instrText xml:space="preserve"> PAGEREF _Toc4144 \h </w:instrText>
      </w:r>
      <w:r>
        <w:fldChar w:fldCharType="separate"/>
      </w:r>
      <w:r>
        <w:t>7</w:t>
      </w:r>
      <w:r>
        <w:fldChar w:fldCharType="end"/>
      </w:r>
      <w:r>
        <w:rPr>
          <w:rFonts w:ascii="Times New Roman" w:hAnsi="Times New Roman" w:eastAsia="宋体" w:cs="Times New Roman"/>
          <w:bCs/>
          <w:kern w:val="0"/>
        </w:rPr>
        <w:fldChar w:fldCharType="end"/>
      </w:r>
    </w:p>
    <w:p w14:paraId="45F34AB8">
      <w:pPr>
        <w:pStyle w:val="7"/>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_Toc19855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zh-CN"/>
        </w:rPr>
        <w:t xml:space="preserve">9 </w:t>
      </w:r>
      <w:r>
        <w:rPr>
          <w:rFonts w:hint="eastAsia" w:ascii="黑体" w:hAnsi="黑体" w:eastAsia="黑体" w:cs="黑体"/>
          <w:bCs w:val="0"/>
          <w:spacing w:val="-2"/>
          <w:w w:val="95"/>
          <w:kern w:val="0"/>
          <w:szCs w:val="28"/>
          <w:lang w:val="en-US" w:eastAsia="zh-CN"/>
        </w:rPr>
        <w:t>项目审定与核查要点</w:t>
      </w:r>
      <w:r>
        <w:tab/>
      </w:r>
      <w:r>
        <w:fldChar w:fldCharType="begin"/>
      </w:r>
      <w:r>
        <w:instrText xml:space="preserve"> PAGEREF _Toc19855 \h </w:instrText>
      </w:r>
      <w:r>
        <w:fldChar w:fldCharType="separate"/>
      </w:r>
      <w:r>
        <w:t>10</w:t>
      </w:r>
      <w:r>
        <w:fldChar w:fldCharType="end"/>
      </w:r>
      <w:r>
        <w:rPr>
          <w:rFonts w:ascii="Times New Roman" w:hAnsi="Times New Roman" w:eastAsia="宋体" w:cs="Times New Roman"/>
          <w:bCs/>
          <w:kern w:val="0"/>
        </w:rPr>
        <w:fldChar w:fldCharType="end"/>
      </w:r>
    </w:p>
    <w:p w14:paraId="07681C9F">
      <w:pPr>
        <w:tabs>
          <w:tab w:val="left" w:pos="803"/>
        </w:tabs>
        <w:autoSpaceDE w:val="0"/>
        <w:autoSpaceDN w:val="0"/>
        <w:spacing w:before="54"/>
        <w:ind w:right="1100"/>
        <w:jc w:val="center"/>
        <w:rPr>
          <w:rFonts w:hint="eastAsia" w:ascii="黑体" w:hAnsi="宋体" w:eastAsia="黑体" w:cs="宋体"/>
          <w:b/>
          <w:kern w:val="0"/>
          <w:sz w:val="32"/>
        </w:rPr>
      </w:pPr>
      <w:r>
        <w:rPr>
          <w:rFonts w:ascii="Times New Roman" w:hAnsi="Times New Roman" w:eastAsia="宋体" w:cs="Times New Roman"/>
          <w:bCs/>
          <w:kern w:val="0"/>
        </w:rPr>
        <w:fldChar w:fldCharType="end"/>
      </w:r>
    </w:p>
    <w:p w14:paraId="303DE857">
      <w:pPr>
        <w:tabs>
          <w:tab w:val="left" w:pos="563"/>
          <w:tab w:val="left" w:pos="564"/>
          <w:tab w:val="right" w:leader="dot" w:pos="8427"/>
        </w:tabs>
        <w:autoSpaceDE w:val="0"/>
        <w:autoSpaceDN w:val="0"/>
        <w:spacing w:before="855"/>
        <w:jc w:val="left"/>
        <w:rPr>
          <w:rFonts w:hint="eastAsia" w:ascii="黑体" w:hAnsi="宋体" w:eastAsia="黑体" w:cs="宋体"/>
          <w:kern w:val="0"/>
          <w:sz w:val="28"/>
          <w:lang w:eastAsia="en-US"/>
        </w:rPr>
        <w:sectPr>
          <w:footerReference r:id="rId4" w:type="default"/>
          <w:pgSz w:w="11906" w:h="16838"/>
          <w:pgMar w:top="1440" w:right="1800" w:bottom="1440" w:left="1800" w:header="851" w:footer="992" w:gutter="0"/>
          <w:cols w:space="425" w:num="1"/>
          <w:docGrid w:type="lines" w:linePitch="312" w:charSpace="0"/>
        </w:sectPr>
      </w:pPr>
    </w:p>
    <w:p w14:paraId="52C7CF68">
      <w:pPr>
        <w:keepNext w:val="0"/>
        <w:keepLines w:val="0"/>
        <w:pageBreakBefore w:val="0"/>
        <w:widowControl w:val="0"/>
        <w:numPr>
          <w:ilvl w:val="0"/>
          <w:numId w:val="0"/>
        </w:numPr>
        <w:tabs>
          <w:tab w:val="left" w:pos="847"/>
          <w:tab w:val="left" w:pos="848"/>
        </w:tabs>
        <w:kinsoku/>
        <w:wordWrap/>
        <w:overflowPunct/>
        <w:topLinePunct w:val="0"/>
        <w:autoSpaceDE w:val="0"/>
        <w:autoSpaceDN w:val="0"/>
        <w:bidi w:val="0"/>
        <w:adjustRightInd/>
        <w:snapToGrid w:val="0"/>
        <w:ind w:leftChars="0"/>
        <w:jc w:val="center"/>
        <w:textAlignment w:val="auto"/>
        <w:outlineLvl w:val="9"/>
        <w:rPr>
          <w:rFonts w:hint="default" w:ascii="黑体" w:hAnsi="黑体" w:eastAsia="黑体" w:cs="黑体"/>
          <w:b w:val="0"/>
          <w:bCs w:val="0"/>
          <w:spacing w:val="-2"/>
          <w:w w:val="95"/>
          <w:kern w:val="0"/>
          <w:sz w:val="52"/>
          <w:szCs w:val="52"/>
          <w:lang w:val="en-US" w:eastAsia="zh-CN"/>
        </w:rPr>
      </w:pPr>
      <w:bookmarkStart w:id="0" w:name="_Toc170134103"/>
      <w:r>
        <w:rPr>
          <w:rFonts w:hint="eastAsia" w:ascii="黑体" w:hAnsi="黑体" w:eastAsia="黑体" w:cs="黑体"/>
          <w:b w:val="0"/>
          <w:bCs w:val="0"/>
          <w:spacing w:val="-2"/>
          <w:w w:val="95"/>
          <w:kern w:val="0"/>
          <w:sz w:val="52"/>
          <w:szCs w:val="52"/>
          <w:lang w:eastAsia="en-US"/>
        </w:rPr>
        <w:t>南京市</w:t>
      </w:r>
      <w:r>
        <w:rPr>
          <w:rFonts w:hint="eastAsia" w:ascii="黑体" w:hAnsi="黑体" w:eastAsia="黑体" w:cs="黑体"/>
          <w:b w:val="0"/>
          <w:bCs w:val="0"/>
          <w:spacing w:val="-2"/>
          <w:w w:val="95"/>
          <w:kern w:val="0"/>
          <w:sz w:val="52"/>
          <w:szCs w:val="52"/>
          <w:lang w:val="en-US" w:eastAsia="zh-CN"/>
        </w:rPr>
        <w:t>公交场站</w:t>
      </w:r>
      <w:r>
        <w:rPr>
          <w:rFonts w:hint="eastAsia" w:ascii="黑体" w:hAnsi="黑体" w:eastAsia="黑体" w:cs="黑体"/>
          <w:b w:val="0"/>
          <w:bCs w:val="0"/>
          <w:spacing w:val="-2"/>
          <w:w w:val="95"/>
          <w:kern w:val="0"/>
          <w:sz w:val="52"/>
          <w:szCs w:val="52"/>
          <w:lang w:eastAsia="en-US"/>
        </w:rPr>
        <w:t>电动汽车充电桩</w:t>
      </w:r>
      <w:r>
        <w:rPr>
          <w:rFonts w:hint="eastAsia" w:ascii="黑体" w:hAnsi="黑体" w:eastAsia="黑体" w:cs="黑体"/>
          <w:b w:val="0"/>
          <w:bCs w:val="0"/>
          <w:spacing w:val="-2"/>
          <w:w w:val="95"/>
          <w:kern w:val="0"/>
          <w:sz w:val="52"/>
          <w:szCs w:val="52"/>
          <w:lang w:val="en-US" w:eastAsia="zh-CN"/>
        </w:rPr>
        <w:t>碳普惠方法学</w:t>
      </w:r>
    </w:p>
    <w:p w14:paraId="674A43B3">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eastAsia="en-US"/>
        </w:rPr>
      </w:pPr>
      <w:bookmarkStart w:id="1" w:name="_Toc14498"/>
      <w:r>
        <w:rPr>
          <w:rFonts w:hint="eastAsia" w:ascii="黑体" w:hAnsi="黑体" w:eastAsia="黑体" w:cs="黑体"/>
          <w:b w:val="0"/>
          <w:bCs w:val="0"/>
          <w:spacing w:val="-2"/>
          <w:w w:val="95"/>
          <w:kern w:val="0"/>
          <w:sz w:val="28"/>
          <w:szCs w:val="28"/>
          <w:lang w:val="en-US" w:eastAsia="zh-CN"/>
        </w:rPr>
        <w:t>引言</w:t>
      </w:r>
      <w:bookmarkEnd w:id="1"/>
    </w:p>
    <w:p w14:paraId="117FCCA8">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为深入贯彻国家“双碳”战略部署，全面落实《南京市碳普惠管理实施方案》工作要求，加快推动城市公共交通领域绿色低碳转型，建立科学、统一、可落地的纯电动公交充电碳减排核算体系，特制定《南京市公交场站电动汽车充电桩碳普惠方法学》。</w:t>
      </w:r>
    </w:p>
    <w:p w14:paraId="544A5A1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本方法学立足南京市公共交通电动化发展实际，聚焦公交场站专用充电桩为纯电动城市公交客车充电的典型场景，明确公交企业碳减排核算规则、数据监测标准、全流程管理要求与碳普惠激励对接机制。本方法学适用于南京市行政区域内，在市碳普惠平台完成注册的公交运营企业，使用公交场站集中报装、执行工商业/大工业电价的专用充电桩为纯电动公交车辆充电的场景。通过以同等级、同运力、同线路燃油公交的温室气体排放为基准线，核算电动公交充电替代燃油消耗产生的碳减排效益，实现减排量可测量、可报告、可核查。方法学突出公共交通领域低碳示范价值，兼顾核算严谨性、运营实操性与激励普惠性，支持公交企业参与有序充电、优化用电负荷、降低运营碳排放，推动形成“绿色运营—碳减排—普惠激励”的良性循环，为南京市公共交通领域深度脱碳、提升城市低碳治理水平提供技术支撑与制度保障。</w:t>
      </w:r>
    </w:p>
    <w:p w14:paraId="75F42FA3">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en-US"/>
        </w:rPr>
      </w:pPr>
      <w:bookmarkStart w:id="2" w:name="_Toc4131"/>
      <w:r>
        <w:rPr>
          <w:rFonts w:hint="eastAsia" w:ascii="黑体" w:hAnsi="黑体" w:eastAsia="黑体" w:cs="黑体"/>
          <w:b w:val="0"/>
          <w:bCs w:val="0"/>
          <w:spacing w:val="-2"/>
          <w:w w:val="95"/>
          <w:kern w:val="0"/>
          <w:sz w:val="28"/>
          <w:szCs w:val="28"/>
          <w:lang w:val="en-US" w:eastAsia="en-US"/>
        </w:rPr>
        <w:t>适用</w:t>
      </w:r>
      <w:bookmarkEnd w:id="0"/>
      <w:r>
        <w:rPr>
          <w:rFonts w:hint="eastAsia" w:ascii="黑体" w:hAnsi="黑体" w:eastAsia="黑体" w:cs="黑体"/>
          <w:b w:val="0"/>
          <w:bCs w:val="0"/>
          <w:spacing w:val="-2"/>
          <w:w w:val="95"/>
          <w:kern w:val="0"/>
          <w:sz w:val="28"/>
          <w:szCs w:val="28"/>
          <w:lang w:val="en-US" w:eastAsia="zh-CN"/>
        </w:rPr>
        <w:t>范围</w:t>
      </w:r>
      <w:bookmarkEnd w:id="2"/>
    </w:p>
    <w:p w14:paraId="33D4819E">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rPr>
        <w:t>本方法学适用于南京市行政区域内、在市碳普惠平台注册并自愿参与的公交运营企业，使用公交场站专用充电桩为纯电动公交车充电的</w:t>
      </w:r>
      <w:r>
        <w:rPr>
          <w:rFonts w:hint="eastAsia" w:ascii="宋体" w:hAnsi="宋体" w:eastAsia="宋体" w:cs="宋体"/>
          <w:kern w:val="0"/>
          <w:sz w:val="28"/>
          <w:szCs w:val="28"/>
          <w:lang w:eastAsia="zh-CN"/>
        </w:rPr>
        <w:t>项目</w:t>
      </w:r>
      <w:r>
        <w:rPr>
          <w:rFonts w:hint="eastAsia" w:ascii="宋体" w:hAnsi="宋体" w:eastAsia="宋体" w:cs="宋体"/>
          <w:kern w:val="0"/>
          <w:sz w:val="28"/>
          <w:szCs w:val="28"/>
        </w:rPr>
        <w:t>活动。使用本方法学须同时满足</w:t>
      </w:r>
      <w:r>
        <w:rPr>
          <w:rFonts w:ascii="宋体" w:hAnsi="宋体" w:eastAsia="宋体" w:cs="宋体"/>
          <w:kern w:val="0"/>
          <w:sz w:val="28"/>
          <w:szCs w:val="28"/>
        </w:rPr>
        <w:t>：</w:t>
      </w:r>
    </w:p>
    <w:p w14:paraId="064B7940">
      <w:pPr>
        <w:keepNext w:val="0"/>
        <w:keepLines w:val="0"/>
        <w:pageBreakBefore w:val="0"/>
        <w:widowControl w:val="0"/>
        <w:numPr>
          <w:ilvl w:val="2"/>
          <w:numId w:val="2"/>
        </w:numPr>
        <w:tabs>
          <w:tab w:val="left" w:pos="1269"/>
          <w:tab w:val="left" w:pos="1270"/>
        </w:tabs>
        <w:kinsoku/>
        <w:wordWrap/>
        <w:overflowPunct/>
        <w:topLinePunct w:val="0"/>
        <w:autoSpaceDE w:val="0"/>
        <w:autoSpaceDN w:val="0"/>
        <w:bidi w:val="0"/>
        <w:adjustRightInd/>
        <w:snapToGrid w:val="0"/>
        <w:spacing w:line="362" w:lineRule="auto"/>
        <w:ind w:left="420" w:left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充电桩为公交企业/场站运营主体统一向电网企业集中报装、权属清晰、执行工商业/大工业电价的专用充电设施；</w:t>
      </w:r>
    </w:p>
    <w:p w14:paraId="0261D894">
      <w:pPr>
        <w:keepNext w:val="0"/>
        <w:keepLines w:val="0"/>
        <w:pageBreakBefore w:val="0"/>
        <w:widowControl w:val="0"/>
        <w:numPr>
          <w:ilvl w:val="2"/>
          <w:numId w:val="2"/>
        </w:numPr>
        <w:tabs>
          <w:tab w:val="left" w:pos="1269"/>
          <w:tab w:val="left" w:pos="1270"/>
        </w:tabs>
        <w:kinsoku/>
        <w:wordWrap/>
        <w:overflowPunct/>
        <w:topLinePunct w:val="0"/>
        <w:autoSpaceDE w:val="0"/>
        <w:autoSpaceDN w:val="0"/>
        <w:bidi w:val="0"/>
        <w:adjustRightInd/>
        <w:snapToGrid w:val="0"/>
        <w:spacing w:line="362" w:lineRule="auto"/>
        <w:ind w:left="420" w:left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充电桩可按单车/单桩采集充电信息，至少包含：充电日期、充电量、车辆号牌、车辆类型（公交）、充电场站编号；</w:t>
      </w:r>
    </w:p>
    <w:p w14:paraId="29CD01A5">
      <w:pPr>
        <w:keepNext w:val="0"/>
        <w:keepLines w:val="0"/>
        <w:pageBreakBefore w:val="0"/>
        <w:widowControl w:val="0"/>
        <w:numPr>
          <w:ilvl w:val="2"/>
          <w:numId w:val="2"/>
        </w:numPr>
        <w:tabs>
          <w:tab w:val="left" w:pos="1269"/>
          <w:tab w:val="left" w:pos="1270"/>
        </w:tabs>
        <w:kinsoku/>
        <w:wordWrap/>
        <w:overflowPunct/>
        <w:topLinePunct w:val="0"/>
        <w:autoSpaceDE w:val="0"/>
        <w:autoSpaceDN w:val="0"/>
        <w:bidi w:val="0"/>
        <w:adjustRightInd/>
        <w:snapToGrid w:val="0"/>
        <w:spacing w:line="362" w:lineRule="auto"/>
        <w:ind w:left="420" w:left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充电车辆为纯电动城市公交客车，不含混合动力、燃料电池及非营运客运车辆；</w:t>
      </w:r>
    </w:p>
    <w:p w14:paraId="6B65A780">
      <w:pPr>
        <w:keepNext w:val="0"/>
        <w:keepLines w:val="0"/>
        <w:pageBreakBefore w:val="0"/>
        <w:widowControl w:val="0"/>
        <w:numPr>
          <w:ilvl w:val="2"/>
          <w:numId w:val="2"/>
        </w:numPr>
        <w:tabs>
          <w:tab w:val="left" w:pos="1269"/>
          <w:tab w:val="left" w:pos="1270"/>
        </w:tabs>
        <w:kinsoku/>
        <w:wordWrap/>
        <w:overflowPunct/>
        <w:topLinePunct w:val="0"/>
        <w:autoSpaceDE w:val="0"/>
        <w:autoSpaceDN w:val="0"/>
        <w:bidi w:val="0"/>
        <w:adjustRightInd/>
        <w:snapToGrid w:val="0"/>
        <w:spacing w:line="362" w:lineRule="auto"/>
        <w:ind w:left="420" w:left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同一充电行为未在其他碳市场、碳普惠机制重复核算减排量</w:t>
      </w:r>
      <w:r>
        <w:rPr>
          <w:rFonts w:hint="eastAsia" w:ascii="宋体" w:hAnsi="宋体" w:eastAsia="宋体" w:cs="宋体"/>
          <w:kern w:val="0"/>
          <w:sz w:val="28"/>
          <w:szCs w:val="28"/>
          <w:lang w:eastAsia="zh-CN"/>
        </w:rPr>
        <w:t>。</w:t>
      </w:r>
    </w:p>
    <w:p w14:paraId="5CE3C2F9">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en-US"/>
        </w:rPr>
      </w:pPr>
      <w:bookmarkStart w:id="3" w:name="_Toc536"/>
      <w:bookmarkStart w:id="4" w:name="_Toc170134104"/>
      <w:r>
        <w:rPr>
          <w:rFonts w:hint="eastAsia" w:ascii="黑体" w:hAnsi="黑体" w:eastAsia="黑体" w:cs="黑体"/>
          <w:b w:val="0"/>
          <w:bCs w:val="0"/>
          <w:spacing w:val="-2"/>
          <w:w w:val="95"/>
          <w:kern w:val="0"/>
          <w:sz w:val="28"/>
          <w:szCs w:val="28"/>
          <w:lang w:val="en-US" w:eastAsia="en-US"/>
        </w:rPr>
        <w:t>引用文件</w:t>
      </w:r>
      <w:bookmarkEnd w:id="3"/>
      <w:bookmarkEnd w:id="4"/>
    </w:p>
    <w:p w14:paraId="28BBB8E7">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rPr>
      </w:pPr>
      <w:r>
        <w:rPr>
          <w:rFonts w:ascii="Times New Roman" w:hAnsi="Times New Roman" w:eastAsia="宋体" w:cs="Times New Roman"/>
          <w:kern w:val="0"/>
          <w:sz w:val="28"/>
          <w:szCs w:val="28"/>
        </w:rPr>
        <w:t>本方法学引用了下列文件或其中的条款。凡是注日期的引用文件，仅注日期的版本适用于本方法学。凡是未注日期的引用文件，其有效版本（包括所有的修改单）适用于本方法学。</w:t>
      </w:r>
    </w:p>
    <w:p w14:paraId="6A7AE87D">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bookmarkStart w:id="5" w:name="_Toc170134105"/>
      <w:r>
        <w:rPr>
          <w:rFonts w:hint="default" w:ascii="Times New Roman" w:hAnsi="Times New Roman" w:eastAsia="宋体" w:cs="Times New Roman"/>
          <w:kern w:val="0"/>
          <w:sz w:val="28"/>
          <w:szCs w:val="28"/>
          <w:lang w:val="en-US" w:eastAsia="zh-CN"/>
        </w:rPr>
        <w:t>GB/T 32151.27 温室气体排放核算与报告要求 第27部分：陆上交通运输企业</w:t>
      </w:r>
    </w:p>
    <w:p w14:paraId="0EF2F161">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‌GB/T 33760 基于项目的温室气体减排量评估技术规范 通用要求</w:t>
      </w:r>
    </w:p>
    <w:p w14:paraId="4D5B6C87">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ascii="Times New Roman" w:hAnsi="Times New Roman" w:eastAsia="宋体" w:cs="Times New Roman"/>
          <w:kern w:val="0"/>
          <w:sz w:val="28"/>
          <w:szCs w:val="28"/>
        </w:rPr>
      </w:pPr>
      <w:r>
        <w:rPr>
          <w:rFonts w:ascii="Times New Roman" w:hAnsi="Times New Roman" w:eastAsia="宋体" w:cs="Times New Roman"/>
          <w:kern w:val="0"/>
          <w:sz w:val="28"/>
          <w:szCs w:val="28"/>
        </w:rPr>
        <w:t>NB/T 11305.2-2023</w:t>
      </w:r>
      <w:r>
        <w:rPr>
          <w:rFonts w:hint="default" w:ascii="Times New Roman" w:hAnsi="Times New Roman" w:eastAsia="宋体" w:cs="Times New Roman"/>
          <w:kern w:val="0"/>
          <w:sz w:val="28"/>
          <w:szCs w:val="28"/>
        </w:rPr>
        <w:t xml:space="preserve"> 电动汽车充放电双向互动</w:t>
      </w:r>
      <w:r>
        <w:rPr>
          <w:rFonts w:ascii="Times New Roman" w:hAnsi="Times New Roman" w:eastAsia="宋体" w:cs="Times New Roman"/>
          <w:kern w:val="0"/>
          <w:sz w:val="28"/>
          <w:szCs w:val="28"/>
        </w:rPr>
        <w:t xml:space="preserve"> 第2部分：有序充电</w:t>
      </w:r>
    </w:p>
    <w:p w14:paraId="2453611A">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ascii="Times New Roman" w:hAnsi="Times New Roman" w:eastAsia="宋体" w:cs="Times New Roman"/>
          <w:kern w:val="0"/>
          <w:sz w:val="28"/>
          <w:szCs w:val="28"/>
        </w:rPr>
      </w:pPr>
      <w:r>
        <w:rPr>
          <w:rFonts w:ascii="Times New Roman" w:hAnsi="Times New Roman" w:eastAsia="宋体" w:cs="Times New Roman"/>
          <w:kern w:val="0"/>
          <w:sz w:val="28"/>
          <w:szCs w:val="28"/>
        </w:rPr>
        <w:t>CM-098-V01  电动汽车充电站及充电桩温室气体减排方法学</w:t>
      </w:r>
    </w:p>
    <w:p w14:paraId="27A64EB2">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ascii="Times New Roman" w:hAnsi="Times New Roman" w:eastAsia="宋体" w:cs="Times New Roman"/>
          <w:kern w:val="0"/>
          <w:sz w:val="28"/>
          <w:szCs w:val="28"/>
        </w:rPr>
      </w:pPr>
      <w:r>
        <w:rPr>
          <w:rFonts w:ascii="Times New Roman" w:hAnsi="Times New Roman" w:eastAsia="宋体" w:cs="Times New Roman"/>
          <w:kern w:val="0"/>
          <w:sz w:val="28"/>
          <w:szCs w:val="28"/>
        </w:rPr>
        <w:t>CMS-048-V01  通过电动和混合动力汽车实现减排</w:t>
      </w:r>
    </w:p>
    <w:p w14:paraId="416791D7">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rPr>
      </w:pPr>
      <w:r>
        <w:rPr>
          <w:rFonts w:ascii="Times New Roman" w:hAnsi="Times New Roman" w:eastAsia="宋体" w:cs="Times New Roman"/>
          <w:kern w:val="0"/>
          <w:sz w:val="28"/>
          <w:szCs w:val="28"/>
        </w:rPr>
        <w:t>CDM-EB Tool05 电力消耗导致的基准线、项目和/或泄漏排放计算工具</w:t>
      </w:r>
    </w:p>
    <w:p w14:paraId="1D3CBEA3">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en-US"/>
        </w:rPr>
      </w:pPr>
      <w:bookmarkStart w:id="6" w:name="_Toc26303"/>
      <w:r>
        <w:rPr>
          <w:rFonts w:hint="eastAsia" w:ascii="黑体" w:hAnsi="黑体" w:eastAsia="黑体" w:cs="黑体"/>
          <w:b w:val="0"/>
          <w:bCs w:val="0"/>
          <w:spacing w:val="-2"/>
          <w:w w:val="95"/>
          <w:kern w:val="0"/>
          <w:sz w:val="28"/>
          <w:szCs w:val="28"/>
          <w:lang w:val="en-US" w:eastAsia="en-US"/>
        </w:rPr>
        <w:t>术语和定义</w:t>
      </w:r>
      <w:bookmarkEnd w:id="5"/>
      <w:bookmarkEnd w:id="6"/>
    </w:p>
    <w:p w14:paraId="1E37C71B">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ascii="Times New Roman" w:hAnsi="Times New Roman" w:cs="Times New Roman"/>
          <w:b w:val="0"/>
          <w:bCs/>
          <w:spacing w:val="-5"/>
          <w:sz w:val="28"/>
          <w:szCs w:val="28"/>
          <w:lang w:val="en-US" w:eastAsia="zh-CN"/>
        </w:rPr>
      </w:pPr>
      <w:bookmarkStart w:id="7" w:name="3.1"/>
      <w:bookmarkEnd w:id="7"/>
      <w:bookmarkStart w:id="8" w:name="_Toc1322001721"/>
      <w:bookmarkStart w:id="9" w:name="_Toc1310109466"/>
      <w:bookmarkStart w:id="10" w:name="_Toc960204844"/>
      <w:r>
        <w:rPr>
          <w:rFonts w:hint="default" w:ascii="Times New Roman" w:hAnsi="Times New Roman" w:cs="Times New Roman"/>
          <w:b w:val="0"/>
          <w:bCs/>
          <w:spacing w:val="-5"/>
          <w:sz w:val="28"/>
          <w:szCs w:val="28"/>
          <w:lang w:val="en-US" w:eastAsia="zh-CN"/>
        </w:rPr>
        <w:t xml:space="preserve">4.1 传输分配损失  </w:t>
      </w:r>
    </w:p>
    <w:p w14:paraId="7C98C48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电能从电网关口输送至车载动力电池全过程，在线路、配电、充电设备环节产生的电量损耗比例</w:t>
      </w:r>
    </w:p>
    <w:p w14:paraId="5CE4129F">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ascii="Times New Roman" w:hAnsi="Times New Roman" w:cs="Times New Roman"/>
          <w:b w:val="0"/>
          <w:bCs/>
          <w:spacing w:val="-5"/>
          <w:sz w:val="28"/>
          <w:szCs w:val="28"/>
          <w:lang w:eastAsia="en-US"/>
        </w:rPr>
      </w:pPr>
      <w:r>
        <w:rPr>
          <w:rFonts w:hint="default" w:ascii="Times New Roman" w:hAnsi="Times New Roman" w:cs="Times New Roman"/>
          <w:b w:val="0"/>
          <w:bCs/>
          <w:spacing w:val="-5"/>
          <w:sz w:val="28"/>
          <w:szCs w:val="28"/>
          <w:lang w:val="en-US" w:eastAsia="zh-CN"/>
        </w:rPr>
        <w:t>4</w:t>
      </w:r>
      <w:r>
        <w:rPr>
          <w:rFonts w:hint="default" w:ascii="Times New Roman" w:hAnsi="Times New Roman" w:cs="Times New Roman"/>
          <w:b w:val="0"/>
          <w:bCs/>
          <w:spacing w:val="-5"/>
          <w:sz w:val="28"/>
          <w:szCs w:val="28"/>
          <w:lang w:eastAsia="en-US"/>
        </w:rPr>
        <w:t>.2</w:t>
      </w:r>
      <w:r>
        <w:rPr>
          <w:rFonts w:hint="default" w:ascii="Times New Roman" w:hAnsi="Times New Roman" w:cs="Times New Roman"/>
          <w:b w:val="0"/>
          <w:bCs/>
          <w:spacing w:val="-5"/>
          <w:sz w:val="28"/>
          <w:szCs w:val="28"/>
          <w:lang w:val="en-US" w:eastAsia="zh-CN"/>
        </w:rPr>
        <w:t xml:space="preserve"> </w:t>
      </w:r>
      <w:r>
        <w:rPr>
          <w:rFonts w:hint="default" w:ascii="Times New Roman" w:hAnsi="Times New Roman" w:cs="Times New Roman"/>
          <w:b w:val="0"/>
          <w:bCs/>
          <w:spacing w:val="-5"/>
          <w:sz w:val="28"/>
          <w:szCs w:val="28"/>
          <w:lang w:eastAsia="en-US"/>
        </w:rPr>
        <w:t>基准线情景</w:t>
      </w:r>
      <w:bookmarkEnd w:id="8"/>
      <w:bookmarkEnd w:id="9"/>
      <w:bookmarkEnd w:id="10"/>
    </w:p>
    <w:p w14:paraId="77F4F19D">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eastAsia="zh-CN"/>
        </w:rPr>
      </w:pPr>
      <w:r>
        <w:rPr>
          <w:rFonts w:hint="default" w:ascii="Times New Roman" w:hAnsi="Times New Roman" w:eastAsia="宋体" w:cs="Times New Roman"/>
          <w:kern w:val="0"/>
          <w:sz w:val="28"/>
          <w:szCs w:val="28"/>
        </w:rPr>
        <w:t>用来提供参照的，在不实施项目的情景下可能发生的假定情景</w:t>
      </w:r>
      <w:r>
        <w:rPr>
          <w:rFonts w:hint="default" w:ascii="Times New Roman" w:hAnsi="Times New Roman" w:eastAsia="宋体" w:cs="Times New Roman"/>
          <w:kern w:val="0"/>
          <w:sz w:val="28"/>
          <w:szCs w:val="28"/>
          <w:lang w:eastAsia="zh-CN"/>
        </w:rPr>
        <w:t>。</w:t>
      </w:r>
    </w:p>
    <w:p w14:paraId="4CD3657E">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eastAsia="zh-CN"/>
        </w:rPr>
      </w:pPr>
      <w:r>
        <w:rPr>
          <w:rFonts w:hint="default" w:ascii="Times New Roman" w:hAnsi="Times New Roman" w:eastAsia="宋体" w:cs="Times New Roman"/>
          <w:sz w:val="28"/>
          <w:szCs w:val="28"/>
        </w:rPr>
        <w:t>[来源</w:t>
      </w:r>
      <w:r>
        <w:rPr>
          <w:rFonts w:hint="default" w:ascii="Times New Roman" w:hAnsi="Times New Roman" w:eastAsia="宋体" w:cs="Times New Roman"/>
          <w:kern w:val="0"/>
          <w:sz w:val="28"/>
          <w:szCs w:val="28"/>
          <w:lang w:eastAsia="zh-CN"/>
        </w:rPr>
        <w:t>：</w:t>
      </w:r>
      <w:r>
        <w:rPr>
          <w:rFonts w:hint="default" w:ascii="Times New Roman" w:hAnsi="Times New Roman" w:eastAsia="宋体" w:cs="Times New Roman"/>
          <w:sz w:val="28"/>
          <w:szCs w:val="28"/>
        </w:rPr>
        <w:t>GB/T 33760-2017</w:t>
      </w:r>
      <w:r>
        <w:rPr>
          <w:rFonts w:hint="eastAsia" w:ascii="Times New Roman" w:hAnsi="Times New Roman" w:eastAsia="宋体" w:cs="Times New Roman"/>
          <w:sz w:val="28"/>
          <w:szCs w:val="28"/>
          <w:lang w:eastAsia="zh-CN"/>
        </w:rPr>
        <w:t>，</w:t>
      </w:r>
      <w:r>
        <w:rPr>
          <w:rFonts w:hint="default" w:ascii="Times New Roman" w:hAnsi="Times New Roman" w:eastAsia="宋体" w:cs="Times New Roman"/>
          <w:sz w:val="28"/>
          <w:szCs w:val="28"/>
        </w:rPr>
        <w:t>3.4]</w:t>
      </w:r>
    </w:p>
    <w:p w14:paraId="2BD66EB3">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ascii="Times New Roman" w:hAnsi="Times New Roman" w:eastAsia="黑体" w:cs="Times New Roman"/>
          <w:b w:val="0"/>
          <w:bCs/>
          <w:spacing w:val="-5"/>
          <w:sz w:val="28"/>
          <w:szCs w:val="28"/>
          <w:lang w:val="en-US" w:eastAsia="zh-CN"/>
        </w:rPr>
      </w:pPr>
      <w:bookmarkStart w:id="11" w:name="_Toc648108775"/>
      <w:bookmarkStart w:id="12" w:name="_Toc822625087"/>
      <w:bookmarkStart w:id="13" w:name="_Toc738979169"/>
      <w:r>
        <w:rPr>
          <w:rFonts w:hint="default" w:ascii="Times New Roman" w:hAnsi="Times New Roman" w:cs="Times New Roman"/>
          <w:b w:val="0"/>
          <w:bCs/>
          <w:spacing w:val="-5"/>
          <w:sz w:val="28"/>
          <w:szCs w:val="28"/>
          <w:lang w:val="en-US" w:eastAsia="zh-CN"/>
        </w:rPr>
        <w:t>4</w:t>
      </w:r>
      <w:r>
        <w:rPr>
          <w:rFonts w:hint="default" w:ascii="Times New Roman" w:hAnsi="Times New Roman" w:cs="Times New Roman"/>
          <w:b w:val="0"/>
          <w:bCs/>
          <w:spacing w:val="-5"/>
          <w:sz w:val="28"/>
          <w:szCs w:val="28"/>
          <w:lang w:eastAsia="en-US"/>
        </w:rPr>
        <w:t>.3</w:t>
      </w:r>
      <w:r>
        <w:rPr>
          <w:rFonts w:hint="default" w:ascii="Times New Roman" w:hAnsi="Times New Roman" w:cs="Times New Roman"/>
          <w:b w:val="0"/>
          <w:bCs/>
          <w:spacing w:val="-5"/>
          <w:sz w:val="28"/>
          <w:szCs w:val="28"/>
          <w:lang w:eastAsia="en-US"/>
        </w:rPr>
        <w:tab/>
      </w:r>
      <w:r>
        <w:rPr>
          <w:rFonts w:hint="default" w:ascii="Times New Roman" w:hAnsi="Times New Roman" w:cs="Times New Roman"/>
          <w:b w:val="0"/>
          <w:bCs/>
          <w:spacing w:val="-5"/>
          <w:sz w:val="28"/>
          <w:szCs w:val="28"/>
          <w:lang w:val="en-US" w:eastAsia="zh-CN"/>
        </w:rPr>
        <w:t xml:space="preserve"> </w:t>
      </w:r>
      <w:bookmarkEnd w:id="11"/>
      <w:bookmarkEnd w:id="12"/>
      <w:bookmarkEnd w:id="13"/>
      <w:r>
        <w:rPr>
          <w:rFonts w:hint="default" w:ascii="Times New Roman" w:hAnsi="Times New Roman" w:cs="Times New Roman"/>
          <w:b w:val="0"/>
          <w:bCs/>
          <w:spacing w:val="-5"/>
          <w:sz w:val="28"/>
          <w:szCs w:val="28"/>
          <w:lang w:val="en-US" w:eastAsia="zh-CN"/>
        </w:rPr>
        <w:t>有序充电</w:t>
      </w:r>
    </w:p>
    <w:p w14:paraId="630F2FE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rPr>
      </w:pPr>
      <w:r>
        <w:rPr>
          <w:rFonts w:hint="default" w:ascii="Times New Roman" w:hAnsi="Times New Roman" w:eastAsia="宋体" w:cs="Times New Roman"/>
          <w:kern w:val="0"/>
          <w:sz w:val="28"/>
          <w:szCs w:val="28"/>
        </w:rPr>
        <w:t>通过经济、技术调控手段，按照预设策略对电动汽车充电时段、充电功率进行协调管控，优化配网负荷的充电运行模式。</w:t>
      </w:r>
    </w:p>
    <w:p w14:paraId="5C61909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rPr>
      </w:pPr>
      <w:r>
        <w:rPr>
          <w:rFonts w:hint="default" w:ascii="Times New Roman" w:hAnsi="Times New Roman" w:eastAsia="宋体" w:cs="Times New Roman"/>
          <w:kern w:val="0"/>
          <w:sz w:val="28"/>
          <w:szCs w:val="28"/>
        </w:rPr>
        <w:t>[来源：NB/T 11305.2-2023</w:t>
      </w:r>
      <w:r>
        <w:rPr>
          <w:rFonts w:hint="eastAsia" w:ascii="Times New Roman" w:hAnsi="Times New Roman" w:eastAsia="宋体" w:cs="Times New Roman"/>
          <w:kern w:val="0"/>
          <w:sz w:val="28"/>
          <w:szCs w:val="28"/>
          <w:lang w:eastAsia="zh-CN"/>
        </w:rPr>
        <w:t>，</w:t>
      </w:r>
      <w:bookmarkStart w:id="27" w:name="_GoBack"/>
      <w:bookmarkEnd w:id="27"/>
      <w:r>
        <w:rPr>
          <w:rFonts w:hint="default" w:ascii="Times New Roman" w:hAnsi="Times New Roman" w:eastAsia="宋体" w:cs="Times New Roman"/>
          <w:kern w:val="0"/>
          <w:sz w:val="28"/>
          <w:szCs w:val="28"/>
        </w:rPr>
        <w:t>3.1]</w:t>
      </w:r>
    </w:p>
    <w:p w14:paraId="3E522A90">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zh-CN"/>
        </w:rPr>
      </w:pPr>
      <w:bookmarkStart w:id="14" w:name="_Toc23909"/>
      <w:r>
        <w:rPr>
          <w:rFonts w:hint="eastAsia" w:ascii="黑体" w:hAnsi="黑体" w:eastAsia="黑体" w:cs="黑体"/>
          <w:b w:val="0"/>
          <w:bCs w:val="0"/>
          <w:spacing w:val="-2"/>
          <w:w w:val="95"/>
          <w:kern w:val="0"/>
          <w:sz w:val="28"/>
          <w:szCs w:val="28"/>
          <w:lang w:val="en-US" w:eastAsia="zh-CN"/>
        </w:rPr>
        <w:t>基本要求</w:t>
      </w:r>
      <w:bookmarkEnd w:id="14"/>
    </w:p>
    <w:p w14:paraId="1E8ACA6F">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eastAsia="en-US"/>
        </w:rPr>
      </w:pPr>
      <w:r>
        <w:rPr>
          <w:rFonts w:hint="eastAsia" w:cs="宋体"/>
          <w:b w:val="0"/>
          <w:bCs/>
          <w:spacing w:val="-5"/>
          <w:sz w:val="28"/>
          <w:szCs w:val="28"/>
          <w:lang w:eastAsia="en-US"/>
        </w:rPr>
        <w:t>5.1 合规性说明</w:t>
      </w:r>
    </w:p>
    <w:p w14:paraId="78CCF824">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rPr>
      </w:pPr>
      <w:r>
        <w:rPr>
          <w:rFonts w:hint="default" w:ascii="Times New Roman" w:hAnsi="Times New Roman" w:eastAsia="宋体" w:cs="Times New Roman"/>
          <w:kern w:val="0"/>
          <w:sz w:val="28"/>
          <w:szCs w:val="28"/>
        </w:rPr>
        <w:t>项目须合法合规，场站、充电桩、公交车辆手续齐全；数据采集、存储、使用符合网络安全、数据安全及个人信息保护相关规定，全程接受行业主管部门与碳普惠管理机构监督。</w:t>
      </w:r>
    </w:p>
    <w:p w14:paraId="04877D83">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eastAsia="en-US"/>
        </w:rPr>
      </w:pPr>
      <w:r>
        <w:rPr>
          <w:rFonts w:hint="eastAsia" w:cs="宋体"/>
          <w:b w:val="0"/>
          <w:bCs/>
          <w:spacing w:val="-5"/>
          <w:sz w:val="28"/>
          <w:szCs w:val="28"/>
          <w:lang w:eastAsia="en-US"/>
        </w:rPr>
        <w:t>5.2 普惠性说明</w:t>
      </w:r>
    </w:p>
    <w:p w14:paraId="2063720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rPr>
      </w:pPr>
      <w:r>
        <w:rPr>
          <w:rFonts w:hint="default" w:ascii="Times New Roman" w:hAnsi="Times New Roman" w:eastAsia="宋体" w:cs="Times New Roman"/>
          <w:kern w:val="0"/>
          <w:sz w:val="28"/>
          <w:szCs w:val="28"/>
        </w:rPr>
        <w:t>公交电动化已形成规模，减排效益明确、公众受益直接；核算结果可转化为碳普惠权益，激励企业持续绿色运营，具备可复制、可推广性，充分发挥公共交通低碳示范引领作用。</w:t>
      </w:r>
    </w:p>
    <w:p w14:paraId="5595E372">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5.3 保守性原则</w:t>
      </w:r>
    </w:p>
    <w:p w14:paraId="7F1869E0">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参数选取、排放计算均采用保守值，避免高估减排量；当存在多组可选数据时，优先选用核算结果更低的参数，确保减排量真实可信。</w:t>
      </w:r>
    </w:p>
    <w:p w14:paraId="1EFF7E01">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r>
        <w:rPr>
          <w:rFonts w:hint="default" w:cs="宋体"/>
          <w:b w:val="0"/>
          <w:bCs/>
          <w:spacing w:val="-5"/>
          <w:sz w:val="28"/>
          <w:szCs w:val="28"/>
          <w:lang w:val="en-US" w:eastAsia="zh-CN"/>
        </w:rPr>
        <w:t>5.4 可追溯性要求</w:t>
      </w:r>
    </w:p>
    <w:p w14:paraId="7CA61272">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所有充电数据、核算参数、监测记录与减排结果均需留痕存档，支持全流程溯源与交叉核验，满足审定、核查与监管审计要求。</w:t>
      </w:r>
    </w:p>
    <w:p w14:paraId="26C6FF6F">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zh-CN"/>
        </w:rPr>
      </w:pPr>
      <w:bookmarkStart w:id="15" w:name="_Toc20245"/>
      <w:r>
        <w:rPr>
          <w:rFonts w:hint="eastAsia" w:ascii="黑体" w:hAnsi="黑体" w:eastAsia="黑体" w:cs="黑体"/>
          <w:b w:val="0"/>
          <w:bCs w:val="0"/>
          <w:spacing w:val="-2"/>
          <w:w w:val="95"/>
          <w:kern w:val="0"/>
          <w:sz w:val="28"/>
          <w:szCs w:val="28"/>
          <w:lang w:val="en-US" w:eastAsia="zh-CN"/>
        </w:rPr>
        <w:t>核算边界及排放源</w:t>
      </w:r>
      <w:bookmarkEnd w:id="15"/>
    </w:p>
    <w:p w14:paraId="3B420A1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rPr>
      </w:pPr>
      <w:r>
        <w:rPr>
          <w:rFonts w:hint="default" w:ascii="Times New Roman" w:hAnsi="Times New Roman" w:eastAsia="宋体" w:cs="Times New Roman"/>
          <w:kern w:val="0"/>
          <w:sz w:val="28"/>
          <w:szCs w:val="28"/>
        </w:rPr>
        <w:t>本方法学核算边界涵盖充电活动发生的地理范围、核心设施与关键环节，地理上限定在南京市行政区域内，设施上以公交场站专用充电桩、配电设施、电网供电环节及纯电动公交车辆为核心，不纳入与充电减排无关的场站附属设施，确保边界清晰、不重复、可核查。</w:t>
      </w:r>
    </w:p>
    <w:p w14:paraId="6F8AA44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rPr>
      </w:pPr>
      <w:r>
        <w:rPr>
          <w:rFonts w:hint="eastAsia" w:ascii="Times New Roman" w:hAnsi="Times New Roman" w:eastAsia="宋体" w:cs="Times New Roman"/>
          <w:kern w:val="0"/>
          <w:sz w:val="28"/>
          <w:szCs w:val="28"/>
          <w:lang w:eastAsia="zh-CN"/>
        </w:rPr>
        <w:t>项目</w:t>
      </w:r>
      <w:r>
        <w:rPr>
          <w:rFonts w:hint="default" w:ascii="Times New Roman" w:hAnsi="Times New Roman" w:eastAsia="宋体" w:cs="Times New Roman"/>
          <w:kern w:val="0"/>
          <w:sz w:val="28"/>
          <w:szCs w:val="28"/>
        </w:rPr>
        <w:t>减排量核算涉及的温室气体排放来源及种类见表1。</w:t>
      </w:r>
    </w:p>
    <w:p w14:paraId="34CCCB93">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rPr>
      </w:pPr>
      <w:r>
        <w:rPr>
          <w:rFonts w:hint="default" w:ascii="Times New Roman" w:hAnsi="Times New Roman" w:eastAsia="宋体" w:cs="Times New Roman"/>
          <w:kern w:val="0"/>
          <w:sz w:val="28"/>
          <w:szCs w:val="28"/>
        </w:rPr>
        <w:t>方法学以自然日为监测周期最小单位，要求减排量核算与监测周期一一对应，公交运营主体与平台需按核算口径完整记录每日充电数据，保障监测信息连续可追溯、周期匹配规范，满足审定与核查要求。</w:t>
      </w:r>
    </w:p>
    <w:p w14:paraId="2FAA9E72">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jc w:val="center"/>
        <w:textAlignment w:val="auto"/>
        <w:rPr>
          <w:rFonts w:hint="eastAsia" w:ascii="黑体" w:hAnsi="黑体" w:eastAsia="黑体" w:cs="黑体"/>
          <w:kern w:val="0"/>
          <w:sz w:val="24"/>
          <w:szCs w:val="24"/>
        </w:rPr>
      </w:pPr>
      <w:r>
        <w:rPr>
          <w:rFonts w:hint="eastAsia" w:ascii="黑体" w:hAnsi="黑体" w:eastAsia="黑体" w:cs="黑体"/>
          <w:kern w:val="0"/>
          <w:sz w:val="24"/>
          <w:szCs w:val="24"/>
        </w:rPr>
        <w:t>表1 温室气体主要种类</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3"/>
        <w:gridCol w:w="2473"/>
        <w:gridCol w:w="1380"/>
        <w:gridCol w:w="1375"/>
        <w:gridCol w:w="2461"/>
      </w:tblGrid>
      <w:tr w14:paraId="13F30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489" w:type="pct"/>
            <w:vAlign w:val="center"/>
          </w:tcPr>
          <w:p w14:paraId="3F8D3F4D">
            <w:pPr>
              <w:pStyle w:val="22"/>
              <w:widowControl w:val="0"/>
              <w:ind w:firstLine="0" w:firstLineChars="0"/>
              <w:jc w:val="center"/>
              <w:rPr>
                <w:rFonts w:ascii="Times New Roman"/>
                <w:b/>
                <w:bCs/>
                <w:color w:val="000000"/>
                <w:sz w:val="24"/>
                <w:szCs w:val="24"/>
              </w:rPr>
            </w:pPr>
            <w:r>
              <w:rPr>
                <w:rFonts w:ascii="Times New Roman"/>
                <w:b/>
                <w:bCs/>
                <w:color w:val="000000"/>
                <w:sz w:val="24"/>
                <w:szCs w:val="24"/>
              </w:rPr>
              <w:t>类型</w:t>
            </w:r>
          </w:p>
        </w:tc>
        <w:tc>
          <w:tcPr>
            <w:tcW w:w="1450" w:type="pct"/>
            <w:vAlign w:val="center"/>
          </w:tcPr>
          <w:p w14:paraId="28C2362E">
            <w:pPr>
              <w:pStyle w:val="22"/>
              <w:widowControl w:val="0"/>
              <w:ind w:firstLine="0" w:firstLineChars="0"/>
              <w:jc w:val="center"/>
              <w:rPr>
                <w:rFonts w:ascii="Times New Roman"/>
                <w:b/>
                <w:bCs/>
                <w:color w:val="000000"/>
                <w:sz w:val="24"/>
                <w:szCs w:val="24"/>
              </w:rPr>
            </w:pPr>
            <w:r>
              <w:rPr>
                <w:rFonts w:ascii="Times New Roman"/>
                <w:b/>
                <w:bCs/>
                <w:color w:val="000000"/>
                <w:sz w:val="24"/>
                <w:szCs w:val="24"/>
              </w:rPr>
              <w:t>排放源</w:t>
            </w:r>
          </w:p>
        </w:tc>
        <w:tc>
          <w:tcPr>
            <w:tcW w:w="809" w:type="pct"/>
            <w:vAlign w:val="center"/>
          </w:tcPr>
          <w:p w14:paraId="3DA547F2">
            <w:pPr>
              <w:pStyle w:val="22"/>
              <w:widowControl w:val="0"/>
              <w:ind w:firstLine="0" w:firstLineChars="0"/>
              <w:jc w:val="center"/>
              <w:rPr>
                <w:rFonts w:ascii="Times New Roman"/>
                <w:b/>
                <w:bCs/>
                <w:color w:val="000000"/>
                <w:sz w:val="24"/>
                <w:szCs w:val="24"/>
              </w:rPr>
            </w:pPr>
            <w:r>
              <w:rPr>
                <w:rFonts w:ascii="Times New Roman"/>
                <w:b/>
                <w:bCs/>
                <w:color w:val="000000"/>
                <w:sz w:val="24"/>
                <w:szCs w:val="24"/>
              </w:rPr>
              <w:t>温室气体</w:t>
            </w:r>
          </w:p>
        </w:tc>
        <w:tc>
          <w:tcPr>
            <w:tcW w:w="806" w:type="pct"/>
            <w:vAlign w:val="center"/>
          </w:tcPr>
          <w:p w14:paraId="08C5E276">
            <w:pPr>
              <w:pStyle w:val="22"/>
              <w:widowControl w:val="0"/>
              <w:ind w:firstLine="0" w:firstLineChars="0"/>
              <w:jc w:val="center"/>
              <w:rPr>
                <w:rFonts w:ascii="Times New Roman"/>
                <w:b/>
                <w:bCs/>
                <w:color w:val="000000"/>
                <w:sz w:val="24"/>
                <w:szCs w:val="24"/>
              </w:rPr>
            </w:pPr>
            <w:r>
              <w:rPr>
                <w:rFonts w:ascii="Times New Roman"/>
                <w:b/>
                <w:bCs/>
                <w:color w:val="000000"/>
                <w:sz w:val="24"/>
                <w:szCs w:val="24"/>
              </w:rPr>
              <w:t>是否包括</w:t>
            </w:r>
          </w:p>
        </w:tc>
        <w:tc>
          <w:tcPr>
            <w:tcW w:w="1443" w:type="pct"/>
            <w:vAlign w:val="center"/>
          </w:tcPr>
          <w:p w14:paraId="2A8D90A6">
            <w:pPr>
              <w:pStyle w:val="22"/>
              <w:widowControl w:val="0"/>
              <w:ind w:firstLine="0" w:firstLineChars="0"/>
              <w:jc w:val="center"/>
              <w:rPr>
                <w:rFonts w:ascii="Times New Roman"/>
                <w:b/>
                <w:bCs/>
                <w:color w:val="000000"/>
                <w:sz w:val="24"/>
                <w:szCs w:val="24"/>
              </w:rPr>
            </w:pPr>
            <w:r>
              <w:rPr>
                <w:rFonts w:ascii="Times New Roman"/>
                <w:b/>
                <w:bCs/>
                <w:color w:val="000000"/>
                <w:sz w:val="24"/>
                <w:szCs w:val="24"/>
              </w:rPr>
              <w:t>说明理由/解释</w:t>
            </w:r>
          </w:p>
        </w:tc>
      </w:tr>
      <w:tr w14:paraId="3DCEE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489" w:type="pct"/>
            <w:vMerge w:val="restart"/>
            <w:vAlign w:val="center"/>
          </w:tcPr>
          <w:p w14:paraId="6DEA3E56">
            <w:pPr>
              <w:pStyle w:val="22"/>
              <w:widowControl w:val="0"/>
              <w:ind w:firstLine="0" w:firstLineChars="0"/>
              <w:jc w:val="center"/>
              <w:rPr>
                <w:rFonts w:ascii="Times New Roman"/>
                <w:color w:val="000000"/>
                <w:sz w:val="24"/>
                <w:szCs w:val="24"/>
              </w:rPr>
            </w:pPr>
            <w:r>
              <w:rPr>
                <w:rFonts w:ascii="Times New Roman"/>
                <w:color w:val="000000"/>
                <w:sz w:val="24"/>
                <w:szCs w:val="24"/>
              </w:rPr>
              <w:t>项目活动</w:t>
            </w:r>
          </w:p>
        </w:tc>
        <w:tc>
          <w:tcPr>
            <w:tcW w:w="1450" w:type="pct"/>
            <w:vMerge w:val="restart"/>
            <w:vAlign w:val="center"/>
          </w:tcPr>
          <w:p w14:paraId="4E665045">
            <w:pPr>
              <w:pStyle w:val="22"/>
              <w:widowControl w:val="0"/>
              <w:ind w:firstLine="0" w:firstLineChars="0"/>
              <w:jc w:val="left"/>
              <w:rPr>
                <w:rFonts w:ascii="Times New Roman"/>
                <w:color w:val="000000"/>
                <w:sz w:val="24"/>
                <w:szCs w:val="24"/>
              </w:rPr>
            </w:pPr>
            <w:r>
              <w:rPr>
                <w:rFonts w:ascii="Times New Roman"/>
                <w:color w:val="000000"/>
                <w:sz w:val="24"/>
                <w:szCs w:val="24"/>
              </w:rPr>
              <w:t>在项目活动情况下，</w:t>
            </w:r>
            <w:r>
              <w:rPr>
                <w:rFonts w:hint="eastAsia" w:ascii="Times New Roman"/>
                <w:color w:val="000000"/>
                <w:sz w:val="24"/>
                <w:szCs w:val="24"/>
              </w:rPr>
              <w:t>电动汽车行驶</w:t>
            </w:r>
            <w:r>
              <w:rPr>
                <w:rFonts w:ascii="Times New Roman"/>
                <w:color w:val="000000"/>
                <w:sz w:val="24"/>
                <w:szCs w:val="24"/>
              </w:rPr>
              <w:t>所对应的电力生产环节的排放</w:t>
            </w:r>
          </w:p>
        </w:tc>
        <w:tc>
          <w:tcPr>
            <w:tcW w:w="809" w:type="pct"/>
            <w:vAlign w:val="center"/>
          </w:tcPr>
          <w:p w14:paraId="4622379D">
            <w:pPr>
              <w:pStyle w:val="22"/>
              <w:widowControl w:val="0"/>
              <w:ind w:firstLine="0" w:firstLineChars="0"/>
              <w:jc w:val="center"/>
              <w:rPr>
                <w:rFonts w:ascii="Times New Roman"/>
                <w:color w:val="000000"/>
                <w:sz w:val="24"/>
                <w:szCs w:val="24"/>
              </w:rPr>
            </w:pPr>
            <w:r>
              <w:rPr>
                <w:rFonts w:ascii="Times New Roman"/>
                <w:color w:val="000000"/>
                <w:sz w:val="24"/>
                <w:szCs w:val="24"/>
              </w:rPr>
              <w:t>CO</w:t>
            </w:r>
            <w:r>
              <w:rPr>
                <w:rFonts w:ascii="Times New Roman"/>
                <w:color w:val="000000"/>
                <w:sz w:val="24"/>
                <w:szCs w:val="24"/>
                <w:vertAlign w:val="subscript"/>
              </w:rPr>
              <w:t>2</w:t>
            </w:r>
          </w:p>
        </w:tc>
        <w:tc>
          <w:tcPr>
            <w:tcW w:w="806" w:type="pct"/>
            <w:vAlign w:val="center"/>
          </w:tcPr>
          <w:p w14:paraId="29BC65FE">
            <w:pPr>
              <w:pStyle w:val="22"/>
              <w:widowControl w:val="0"/>
              <w:ind w:firstLine="0" w:firstLineChars="0"/>
              <w:jc w:val="center"/>
              <w:rPr>
                <w:rFonts w:ascii="Times New Roman"/>
                <w:color w:val="000000"/>
                <w:sz w:val="24"/>
                <w:szCs w:val="24"/>
              </w:rPr>
            </w:pPr>
            <w:r>
              <w:rPr>
                <w:rFonts w:ascii="Times New Roman"/>
                <w:color w:val="000000"/>
                <w:sz w:val="24"/>
                <w:szCs w:val="24"/>
              </w:rPr>
              <w:t>是</w:t>
            </w:r>
          </w:p>
        </w:tc>
        <w:tc>
          <w:tcPr>
            <w:tcW w:w="1443" w:type="pct"/>
            <w:vAlign w:val="center"/>
          </w:tcPr>
          <w:p w14:paraId="3BA18097">
            <w:pPr>
              <w:pStyle w:val="22"/>
              <w:widowControl w:val="0"/>
              <w:ind w:firstLine="0" w:firstLineChars="0"/>
              <w:jc w:val="center"/>
              <w:rPr>
                <w:rFonts w:ascii="Times New Roman"/>
                <w:color w:val="000000"/>
                <w:sz w:val="24"/>
                <w:szCs w:val="24"/>
              </w:rPr>
            </w:pPr>
            <w:r>
              <w:rPr>
                <w:rFonts w:ascii="Times New Roman"/>
                <w:color w:val="000000"/>
                <w:sz w:val="24"/>
                <w:szCs w:val="24"/>
              </w:rPr>
              <w:t>主要排放源</w:t>
            </w:r>
          </w:p>
        </w:tc>
      </w:tr>
      <w:tr w14:paraId="04E2B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489" w:type="pct"/>
            <w:vMerge w:val="continue"/>
            <w:vAlign w:val="center"/>
          </w:tcPr>
          <w:p w14:paraId="45805259">
            <w:pPr>
              <w:pStyle w:val="22"/>
              <w:widowControl w:val="0"/>
              <w:ind w:firstLine="360"/>
              <w:jc w:val="center"/>
              <w:rPr>
                <w:rFonts w:ascii="Times New Roman"/>
                <w:color w:val="000000"/>
                <w:sz w:val="24"/>
                <w:szCs w:val="24"/>
              </w:rPr>
            </w:pPr>
          </w:p>
        </w:tc>
        <w:tc>
          <w:tcPr>
            <w:tcW w:w="1450" w:type="pct"/>
            <w:vMerge w:val="continue"/>
            <w:vAlign w:val="center"/>
          </w:tcPr>
          <w:p w14:paraId="66E40363">
            <w:pPr>
              <w:pStyle w:val="22"/>
              <w:widowControl w:val="0"/>
              <w:ind w:firstLine="0" w:firstLineChars="0"/>
              <w:jc w:val="left"/>
              <w:rPr>
                <w:rFonts w:ascii="Times New Roman"/>
                <w:color w:val="000000"/>
                <w:sz w:val="24"/>
                <w:szCs w:val="24"/>
              </w:rPr>
            </w:pPr>
          </w:p>
        </w:tc>
        <w:tc>
          <w:tcPr>
            <w:tcW w:w="809" w:type="pct"/>
            <w:vAlign w:val="center"/>
          </w:tcPr>
          <w:p w14:paraId="5462CBC0">
            <w:pPr>
              <w:pStyle w:val="22"/>
              <w:widowControl w:val="0"/>
              <w:ind w:firstLine="0" w:firstLineChars="0"/>
              <w:jc w:val="center"/>
              <w:rPr>
                <w:rFonts w:ascii="Times New Roman"/>
                <w:color w:val="000000"/>
                <w:sz w:val="24"/>
                <w:szCs w:val="24"/>
              </w:rPr>
            </w:pPr>
            <w:r>
              <w:rPr>
                <w:rFonts w:ascii="Times New Roman"/>
                <w:color w:val="000000"/>
                <w:sz w:val="24"/>
                <w:szCs w:val="24"/>
              </w:rPr>
              <w:t>CH</w:t>
            </w:r>
            <w:r>
              <w:rPr>
                <w:rFonts w:ascii="Times New Roman"/>
                <w:color w:val="000000"/>
                <w:sz w:val="24"/>
                <w:szCs w:val="24"/>
                <w:vertAlign w:val="subscript"/>
              </w:rPr>
              <w:t>4</w:t>
            </w:r>
          </w:p>
        </w:tc>
        <w:tc>
          <w:tcPr>
            <w:tcW w:w="806" w:type="pct"/>
            <w:vAlign w:val="center"/>
          </w:tcPr>
          <w:p w14:paraId="6D2F55F8">
            <w:pPr>
              <w:pStyle w:val="22"/>
              <w:widowControl w:val="0"/>
              <w:ind w:firstLine="0" w:firstLineChars="0"/>
              <w:jc w:val="center"/>
              <w:rPr>
                <w:rFonts w:ascii="Times New Roman"/>
                <w:color w:val="000000"/>
                <w:sz w:val="24"/>
                <w:szCs w:val="24"/>
              </w:rPr>
            </w:pPr>
            <w:r>
              <w:rPr>
                <w:rFonts w:ascii="Times New Roman"/>
                <w:color w:val="000000"/>
                <w:sz w:val="24"/>
                <w:szCs w:val="24"/>
              </w:rPr>
              <w:t>否</w:t>
            </w:r>
          </w:p>
        </w:tc>
        <w:tc>
          <w:tcPr>
            <w:tcW w:w="1443" w:type="pct"/>
            <w:vAlign w:val="center"/>
          </w:tcPr>
          <w:p w14:paraId="4C020766">
            <w:pPr>
              <w:pStyle w:val="22"/>
              <w:widowControl w:val="0"/>
              <w:ind w:firstLine="0" w:firstLineChars="0"/>
              <w:jc w:val="center"/>
              <w:rPr>
                <w:rFonts w:ascii="Times New Roman"/>
                <w:color w:val="000000"/>
                <w:sz w:val="24"/>
                <w:szCs w:val="24"/>
              </w:rPr>
            </w:pPr>
            <w:r>
              <w:rPr>
                <w:rFonts w:ascii="Times New Roman"/>
                <w:color w:val="000000"/>
                <w:sz w:val="24"/>
                <w:szCs w:val="24"/>
              </w:rPr>
              <w:t>简化起见，排除</w:t>
            </w:r>
          </w:p>
        </w:tc>
      </w:tr>
      <w:tr w14:paraId="457D2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489" w:type="pct"/>
            <w:vMerge w:val="continue"/>
            <w:vAlign w:val="center"/>
          </w:tcPr>
          <w:p w14:paraId="092FE51B">
            <w:pPr>
              <w:pStyle w:val="22"/>
              <w:widowControl w:val="0"/>
              <w:ind w:firstLine="360"/>
              <w:jc w:val="center"/>
              <w:rPr>
                <w:rFonts w:ascii="Times New Roman"/>
                <w:color w:val="000000"/>
                <w:sz w:val="24"/>
                <w:szCs w:val="24"/>
              </w:rPr>
            </w:pPr>
          </w:p>
        </w:tc>
        <w:tc>
          <w:tcPr>
            <w:tcW w:w="1450" w:type="pct"/>
            <w:vMerge w:val="continue"/>
            <w:vAlign w:val="center"/>
          </w:tcPr>
          <w:p w14:paraId="0D74F36F">
            <w:pPr>
              <w:pStyle w:val="22"/>
              <w:widowControl w:val="0"/>
              <w:ind w:firstLine="0" w:firstLineChars="0"/>
              <w:jc w:val="left"/>
              <w:rPr>
                <w:rFonts w:ascii="Times New Roman"/>
                <w:color w:val="000000"/>
                <w:sz w:val="24"/>
                <w:szCs w:val="24"/>
              </w:rPr>
            </w:pPr>
          </w:p>
        </w:tc>
        <w:tc>
          <w:tcPr>
            <w:tcW w:w="809" w:type="pct"/>
            <w:vAlign w:val="center"/>
          </w:tcPr>
          <w:p w14:paraId="5AABACC2">
            <w:pPr>
              <w:pStyle w:val="22"/>
              <w:widowControl w:val="0"/>
              <w:ind w:firstLine="0" w:firstLineChars="0"/>
              <w:jc w:val="center"/>
              <w:rPr>
                <w:rFonts w:ascii="Times New Roman"/>
                <w:color w:val="000000"/>
                <w:sz w:val="24"/>
                <w:szCs w:val="24"/>
              </w:rPr>
            </w:pPr>
            <w:r>
              <w:rPr>
                <w:rFonts w:ascii="Times New Roman"/>
                <w:color w:val="000000"/>
                <w:sz w:val="24"/>
                <w:szCs w:val="24"/>
              </w:rPr>
              <w:t>N</w:t>
            </w:r>
            <w:r>
              <w:rPr>
                <w:rFonts w:ascii="Times New Roman"/>
                <w:color w:val="000000"/>
                <w:sz w:val="24"/>
                <w:szCs w:val="24"/>
                <w:vertAlign w:val="subscript"/>
              </w:rPr>
              <w:t>2</w:t>
            </w:r>
            <w:r>
              <w:rPr>
                <w:rFonts w:ascii="Times New Roman"/>
                <w:color w:val="000000"/>
                <w:sz w:val="24"/>
                <w:szCs w:val="24"/>
              </w:rPr>
              <w:t>O</w:t>
            </w:r>
          </w:p>
        </w:tc>
        <w:tc>
          <w:tcPr>
            <w:tcW w:w="806" w:type="pct"/>
            <w:vAlign w:val="center"/>
          </w:tcPr>
          <w:p w14:paraId="070F7A9A">
            <w:pPr>
              <w:pStyle w:val="22"/>
              <w:widowControl w:val="0"/>
              <w:ind w:firstLine="0" w:firstLineChars="0"/>
              <w:jc w:val="center"/>
              <w:rPr>
                <w:rFonts w:ascii="Times New Roman"/>
                <w:color w:val="000000"/>
                <w:sz w:val="24"/>
                <w:szCs w:val="24"/>
              </w:rPr>
            </w:pPr>
            <w:r>
              <w:rPr>
                <w:rFonts w:ascii="Times New Roman"/>
                <w:color w:val="000000"/>
                <w:sz w:val="24"/>
                <w:szCs w:val="24"/>
              </w:rPr>
              <w:t>否</w:t>
            </w:r>
          </w:p>
        </w:tc>
        <w:tc>
          <w:tcPr>
            <w:tcW w:w="1443" w:type="pct"/>
            <w:vAlign w:val="center"/>
          </w:tcPr>
          <w:p w14:paraId="77DF1D8A">
            <w:pPr>
              <w:pStyle w:val="22"/>
              <w:widowControl w:val="0"/>
              <w:ind w:firstLine="0" w:firstLineChars="0"/>
              <w:jc w:val="center"/>
              <w:rPr>
                <w:rFonts w:ascii="Times New Roman"/>
                <w:color w:val="000000"/>
                <w:sz w:val="24"/>
                <w:szCs w:val="24"/>
              </w:rPr>
            </w:pPr>
            <w:r>
              <w:rPr>
                <w:rFonts w:ascii="Times New Roman"/>
                <w:color w:val="000000"/>
                <w:sz w:val="24"/>
                <w:szCs w:val="24"/>
              </w:rPr>
              <w:t>简化起见，排除</w:t>
            </w:r>
          </w:p>
        </w:tc>
      </w:tr>
      <w:tr w14:paraId="72DA0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489" w:type="pct"/>
            <w:vMerge w:val="restart"/>
            <w:vAlign w:val="center"/>
          </w:tcPr>
          <w:p w14:paraId="6E78FEBB">
            <w:pPr>
              <w:pStyle w:val="22"/>
              <w:widowControl w:val="0"/>
              <w:ind w:firstLine="0" w:firstLineChars="0"/>
              <w:jc w:val="center"/>
              <w:rPr>
                <w:rFonts w:ascii="Times New Roman"/>
                <w:color w:val="000000"/>
                <w:sz w:val="24"/>
                <w:szCs w:val="24"/>
              </w:rPr>
            </w:pPr>
            <w:r>
              <w:rPr>
                <w:rFonts w:ascii="Times New Roman"/>
                <w:color w:val="000000"/>
                <w:sz w:val="24"/>
                <w:szCs w:val="24"/>
              </w:rPr>
              <w:t>基准线情景</w:t>
            </w:r>
          </w:p>
        </w:tc>
        <w:tc>
          <w:tcPr>
            <w:tcW w:w="1450" w:type="pct"/>
            <w:vMerge w:val="restart"/>
            <w:vAlign w:val="center"/>
          </w:tcPr>
          <w:p w14:paraId="32D135BC">
            <w:pPr>
              <w:pStyle w:val="22"/>
              <w:widowControl w:val="0"/>
              <w:ind w:firstLine="0" w:firstLineChars="0"/>
              <w:jc w:val="left"/>
              <w:rPr>
                <w:rFonts w:ascii="Times New Roman"/>
                <w:color w:val="000000"/>
                <w:sz w:val="24"/>
                <w:szCs w:val="24"/>
              </w:rPr>
            </w:pPr>
            <w:r>
              <w:rPr>
                <w:rFonts w:ascii="Times New Roman"/>
                <w:color w:val="000000"/>
                <w:sz w:val="24"/>
                <w:szCs w:val="24"/>
              </w:rPr>
              <w:t>在没有项目活动的情况下，</w:t>
            </w:r>
            <w:r>
              <w:rPr>
                <w:rFonts w:hint="eastAsia" w:ascii="Times New Roman"/>
                <w:color w:val="000000"/>
                <w:sz w:val="24"/>
                <w:szCs w:val="24"/>
              </w:rPr>
              <w:t>燃油汽车</w:t>
            </w:r>
            <w:r>
              <w:rPr>
                <w:rFonts w:ascii="Times New Roman"/>
                <w:color w:val="000000"/>
                <w:sz w:val="24"/>
                <w:szCs w:val="24"/>
              </w:rPr>
              <w:t>消耗燃料等产生的排放</w:t>
            </w:r>
          </w:p>
        </w:tc>
        <w:tc>
          <w:tcPr>
            <w:tcW w:w="809" w:type="pct"/>
            <w:vAlign w:val="center"/>
          </w:tcPr>
          <w:p w14:paraId="1F07330F">
            <w:pPr>
              <w:pStyle w:val="22"/>
              <w:widowControl w:val="0"/>
              <w:ind w:firstLine="0" w:firstLineChars="0"/>
              <w:jc w:val="center"/>
              <w:rPr>
                <w:rFonts w:ascii="Times New Roman"/>
                <w:color w:val="000000"/>
                <w:sz w:val="24"/>
                <w:szCs w:val="24"/>
              </w:rPr>
            </w:pPr>
            <w:r>
              <w:rPr>
                <w:rFonts w:ascii="Times New Roman"/>
                <w:color w:val="000000"/>
                <w:sz w:val="24"/>
                <w:szCs w:val="24"/>
              </w:rPr>
              <w:t>CO</w:t>
            </w:r>
            <w:r>
              <w:rPr>
                <w:rFonts w:ascii="Times New Roman"/>
                <w:color w:val="000000"/>
                <w:sz w:val="24"/>
                <w:szCs w:val="24"/>
                <w:vertAlign w:val="subscript"/>
              </w:rPr>
              <w:t>2</w:t>
            </w:r>
          </w:p>
        </w:tc>
        <w:tc>
          <w:tcPr>
            <w:tcW w:w="806" w:type="pct"/>
            <w:vAlign w:val="center"/>
          </w:tcPr>
          <w:p w14:paraId="723E7E0B">
            <w:pPr>
              <w:pStyle w:val="22"/>
              <w:widowControl w:val="0"/>
              <w:ind w:firstLine="0" w:firstLineChars="0"/>
              <w:jc w:val="center"/>
              <w:rPr>
                <w:rFonts w:ascii="Times New Roman"/>
                <w:color w:val="000000"/>
                <w:sz w:val="24"/>
                <w:szCs w:val="24"/>
              </w:rPr>
            </w:pPr>
            <w:r>
              <w:rPr>
                <w:rFonts w:ascii="Times New Roman"/>
                <w:color w:val="000000"/>
                <w:sz w:val="24"/>
                <w:szCs w:val="24"/>
              </w:rPr>
              <w:t>是</w:t>
            </w:r>
          </w:p>
        </w:tc>
        <w:tc>
          <w:tcPr>
            <w:tcW w:w="1443" w:type="pct"/>
            <w:vAlign w:val="center"/>
          </w:tcPr>
          <w:p w14:paraId="627663A8">
            <w:pPr>
              <w:pStyle w:val="22"/>
              <w:widowControl w:val="0"/>
              <w:ind w:firstLine="0" w:firstLineChars="0"/>
              <w:jc w:val="center"/>
              <w:rPr>
                <w:rFonts w:ascii="Times New Roman"/>
                <w:color w:val="000000"/>
                <w:sz w:val="24"/>
                <w:szCs w:val="24"/>
              </w:rPr>
            </w:pPr>
            <w:r>
              <w:rPr>
                <w:rFonts w:ascii="Times New Roman"/>
                <w:color w:val="000000"/>
                <w:sz w:val="24"/>
                <w:szCs w:val="24"/>
              </w:rPr>
              <w:t>主要排放源</w:t>
            </w:r>
          </w:p>
        </w:tc>
      </w:tr>
      <w:tr w14:paraId="4BA48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489" w:type="pct"/>
            <w:vMerge w:val="continue"/>
            <w:vAlign w:val="center"/>
          </w:tcPr>
          <w:p w14:paraId="3065E041">
            <w:pPr>
              <w:pStyle w:val="22"/>
              <w:widowControl w:val="0"/>
              <w:ind w:firstLine="0" w:firstLineChars="0"/>
              <w:jc w:val="center"/>
              <w:rPr>
                <w:rFonts w:ascii="Times New Roman"/>
                <w:color w:val="000000"/>
                <w:sz w:val="24"/>
                <w:szCs w:val="24"/>
              </w:rPr>
            </w:pPr>
          </w:p>
        </w:tc>
        <w:tc>
          <w:tcPr>
            <w:tcW w:w="1450" w:type="pct"/>
            <w:vMerge w:val="continue"/>
            <w:vAlign w:val="center"/>
          </w:tcPr>
          <w:p w14:paraId="4F58E35F">
            <w:pPr>
              <w:pStyle w:val="22"/>
              <w:widowControl w:val="0"/>
              <w:ind w:firstLine="0" w:firstLineChars="0"/>
              <w:jc w:val="center"/>
              <w:rPr>
                <w:rFonts w:ascii="Times New Roman"/>
                <w:color w:val="000000"/>
                <w:sz w:val="24"/>
                <w:szCs w:val="24"/>
              </w:rPr>
            </w:pPr>
          </w:p>
        </w:tc>
        <w:tc>
          <w:tcPr>
            <w:tcW w:w="809" w:type="pct"/>
            <w:vAlign w:val="center"/>
          </w:tcPr>
          <w:p w14:paraId="20179179">
            <w:pPr>
              <w:pStyle w:val="22"/>
              <w:widowControl w:val="0"/>
              <w:ind w:firstLine="0" w:firstLineChars="0"/>
              <w:jc w:val="center"/>
              <w:rPr>
                <w:rFonts w:ascii="Times New Roman"/>
                <w:color w:val="000000"/>
                <w:sz w:val="24"/>
                <w:szCs w:val="24"/>
              </w:rPr>
            </w:pPr>
            <w:r>
              <w:rPr>
                <w:rFonts w:ascii="Times New Roman"/>
                <w:color w:val="000000"/>
                <w:sz w:val="24"/>
                <w:szCs w:val="24"/>
              </w:rPr>
              <w:t>CH</w:t>
            </w:r>
            <w:r>
              <w:rPr>
                <w:rFonts w:ascii="Times New Roman"/>
                <w:color w:val="000000"/>
                <w:sz w:val="24"/>
                <w:szCs w:val="24"/>
                <w:vertAlign w:val="subscript"/>
              </w:rPr>
              <w:t>4</w:t>
            </w:r>
          </w:p>
        </w:tc>
        <w:tc>
          <w:tcPr>
            <w:tcW w:w="806" w:type="pct"/>
            <w:vAlign w:val="center"/>
          </w:tcPr>
          <w:p w14:paraId="4334A041">
            <w:pPr>
              <w:pStyle w:val="22"/>
              <w:widowControl w:val="0"/>
              <w:ind w:firstLine="0" w:firstLineChars="0"/>
              <w:jc w:val="center"/>
              <w:rPr>
                <w:rFonts w:ascii="Times New Roman"/>
                <w:color w:val="000000"/>
                <w:sz w:val="24"/>
                <w:szCs w:val="24"/>
              </w:rPr>
            </w:pPr>
            <w:r>
              <w:rPr>
                <w:rFonts w:ascii="Times New Roman"/>
                <w:color w:val="000000"/>
                <w:sz w:val="24"/>
                <w:szCs w:val="24"/>
              </w:rPr>
              <w:t>否</w:t>
            </w:r>
          </w:p>
        </w:tc>
        <w:tc>
          <w:tcPr>
            <w:tcW w:w="1443" w:type="pct"/>
            <w:vAlign w:val="center"/>
          </w:tcPr>
          <w:p w14:paraId="54F4BA86">
            <w:pPr>
              <w:pStyle w:val="22"/>
              <w:widowControl w:val="0"/>
              <w:ind w:firstLine="0" w:firstLineChars="0"/>
              <w:jc w:val="center"/>
              <w:rPr>
                <w:rFonts w:ascii="Times New Roman"/>
                <w:color w:val="000000"/>
                <w:sz w:val="24"/>
                <w:szCs w:val="24"/>
              </w:rPr>
            </w:pPr>
            <w:r>
              <w:rPr>
                <w:rFonts w:ascii="Times New Roman"/>
                <w:color w:val="000000"/>
                <w:sz w:val="24"/>
                <w:szCs w:val="24"/>
              </w:rPr>
              <w:t>简化起见，排除，符合保守性原则</w:t>
            </w:r>
          </w:p>
        </w:tc>
      </w:tr>
      <w:tr w14:paraId="6893B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489" w:type="pct"/>
            <w:vMerge w:val="continue"/>
            <w:vAlign w:val="center"/>
          </w:tcPr>
          <w:p w14:paraId="023C3079">
            <w:pPr>
              <w:pStyle w:val="22"/>
              <w:widowControl w:val="0"/>
              <w:ind w:firstLine="0" w:firstLineChars="0"/>
              <w:jc w:val="center"/>
              <w:rPr>
                <w:rFonts w:ascii="Times New Roman"/>
                <w:color w:val="000000"/>
                <w:sz w:val="24"/>
                <w:szCs w:val="24"/>
              </w:rPr>
            </w:pPr>
          </w:p>
        </w:tc>
        <w:tc>
          <w:tcPr>
            <w:tcW w:w="1450" w:type="pct"/>
            <w:vMerge w:val="continue"/>
            <w:vAlign w:val="center"/>
          </w:tcPr>
          <w:p w14:paraId="5A1C492E">
            <w:pPr>
              <w:pStyle w:val="22"/>
              <w:widowControl w:val="0"/>
              <w:ind w:firstLine="0" w:firstLineChars="0"/>
              <w:jc w:val="center"/>
              <w:rPr>
                <w:rFonts w:ascii="Times New Roman"/>
                <w:color w:val="000000"/>
                <w:sz w:val="24"/>
                <w:szCs w:val="24"/>
              </w:rPr>
            </w:pPr>
          </w:p>
        </w:tc>
        <w:tc>
          <w:tcPr>
            <w:tcW w:w="809" w:type="pct"/>
            <w:vAlign w:val="center"/>
          </w:tcPr>
          <w:p w14:paraId="0A303E89">
            <w:pPr>
              <w:pStyle w:val="22"/>
              <w:widowControl w:val="0"/>
              <w:ind w:firstLine="0" w:firstLineChars="0"/>
              <w:jc w:val="center"/>
              <w:rPr>
                <w:rFonts w:ascii="Times New Roman"/>
                <w:color w:val="000000"/>
                <w:sz w:val="24"/>
                <w:szCs w:val="24"/>
              </w:rPr>
            </w:pPr>
            <w:r>
              <w:rPr>
                <w:rFonts w:ascii="Times New Roman"/>
                <w:color w:val="000000"/>
                <w:sz w:val="24"/>
                <w:szCs w:val="24"/>
              </w:rPr>
              <w:t>N</w:t>
            </w:r>
            <w:r>
              <w:rPr>
                <w:rFonts w:ascii="Times New Roman"/>
                <w:color w:val="000000"/>
                <w:sz w:val="24"/>
                <w:szCs w:val="24"/>
                <w:vertAlign w:val="subscript"/>
              </w:rPr>
              <w:t>2</w:t>
            </w:r>
            <w:r>
              <w:rPr>
                <w:rFonts w:ascii="Times New Roman"/>
                <w:color w:val="000000"/>
                <w:sz w:val="24"/>
                <w:szCs w:val="24"/>
              </w:rPr>
              <w:t xml:space="preserve">O </w:t>
            </w:r>
          </w:p>
        </w:tc>
        <w:tc>
          <w:tcPr>
            <w:tcW w:w="806" w:type="pct"/>
            <w:vAlign w:val="center"/>
          </w:tcPr>
          <w:p w14:paraId="77DBC98F">
            <w:pPr>
              <w:pStyle w:val="22"/>
              <w:widowControl w:val="0"/>
              <w:ind w:firstLine="0" w:firstLineChars="0"/>
              <w:jc w:val="center"/>
              <w:rPr>
                <w:rFonts w:ascii="Times New Roman"/>
                <w:color w:val="000000"/>
                <w:sz w:val="24"/>
                <w:szCs w:val="24"/>
              </w:rPr>
            </w:pPr>
            <w:r>
              <w:rPr>
                <w:rFonts w:ascii="Times New Roman"/>
                <w:color w:val="000000"/>
                <w:sz w:val="24"/>
                <w:szCs w:val="24"/>
              </w:rPr>
              <w:t>否</w:t>
            </w:r>
          </w:p>
        </w:tc>
        <w:tc>
          <w:tcPr>
            <w:tcW w:w="1443" w:type="pct"/>
            <w:vAlign w:val="center"/>
          </w:tcPr>
          <w:p w14:paraId="45D07134">
            <w:pPr>
              <w:pStyle w:val="22"/>
              <w:widowControl w:val="0"/>
              <w:ind w:firstLine="0" w:firstLineChars="0"/>
              <w:jc w:val="center"/>
              <w:rPr>
                <w:rFonts w:ascii="Times New Roman"/>
                <w:color w:val="000000"/>
                <w:sz w:val="24"/>
                <w:szCs w:val="24"/>
              </w:rPr>
            </w:pPr>
            <w:r>
              <w:rPr>
                <w:rFonts w:ascii="Times New Roman"/>
                <w:color w:val="000000"/>
                <w:sz w:val="24"/>
                <w:szCs w:val="24"/>
              </w:rPr>
              <w:t>简化起见，排除，符合保守性原则</w:t>
            </w:r>
          </w:p>
        </w:tc>
      </w:tr>
    </w:tbl>
    <w:p w14:paraId="4E05064D">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en-US"/>
        </w:rPr>
      </w:pPr>
      <w:bookmarkStart w:id="16" w:name="3.2"/>
      <w:bookmarkEnd w:id="16"/>
      <w:bookmarkStart w:id="17" w:name="_Toc28367"/>
      <w:bookmarkStart w:id="18" w:name="_Toc170134106"/>
      <w:r>
        <w:rPr>
          <w:rFonts w:hint="eastAsia" w:ascii="黑体" w:hAnsi="黑体" w:eastAsia="黑体" w:cs="黑体"/>
          <w:b w:val="0"/>
          <w:bCs w:val="0"/>
          <w:spacing w:val="-2"/>
          <w:w w:val="95"/>
          <w:kern w:val="0"/>
          <w:sz w:val="28"/>
          <w:szCs w:val="28"/>
          <w:lang w:val="en-US" w:eastAsia="zh-CN"/>
        </w:rPr>
        <w:t>减排量计算</w:t>
      </w:r>
      <w:bookmarkEnd w:id="17"/>
    </w:p>
    <w:p w14:paraId="1592B8B5">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en-US"/>
        </w:rPr>
      </w:pPr>
      <w:r>
        <w:rPr>
          <w:rFonts w:hint="eastAsia" w:cs="宋体"/>
          <w:b w:val="0"/>
          <w:bCs/>
          <w:spacing w:val="-5"/>
          <w:sz w:val="28"/>
          <w:szCs w:val="28"/>
          <w:lang w:val="en-US" w:eastAsia="zh-CN"/>
        </w:rPr>
        <w:t>7.1 基准线</w:t>
      </w:r>
      <w:bookmarkEnd w:id="18"/>
      <w:r>
        <w:rPr>
          <w:rFonts w:hint="eastAsia" w:cs="宋体"/>
          <w:b w:val="0"/>
          <w:bCs/>
          <w:spacing w:val="-5"/>
          <w:sz w:val="28"/>
          <w:szCs w:val="28"/>
          <w:lang w:val="en-US" w:eastAsia="zh-CN"/>
        </w:rPr>
        <w:t>情景识别</w:t>
      </w:r>
    </w:p>
    <w:p w14:paraId="38C4B7E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rPr>
      </w:pPr>
      <w:r>
        <w:rPr>
          <w:rFonts w:hint="default" w:ascii="Times New Roman" w:hAnsi="Times New Roman" w:eastAsia="宋体" w:cs="Times New Roman"/>
          <w:kern w:val="0"/>
          <w:sz w:val="28"/>
          <w:szCs w:val="28"/>
        </w:rPr>
        <w:t>基准线情景为未开展公交电动化替代的常规运营状态，即由同线路、同车型、同等载客能力与运营里程的传统燃油公交车辆，</w:t>
      </w:r>
      <w:r>
        <w:rPr>
          <w:rFonts w:hint="default" w:ascii="Times New Roman" w:hAnsi="Times New Roman" w:eastAsia="宋体" w:cs="Times New Roman"/>
          <w:kern w:val="0"/>
          <w:sz w:val="28"/>
          <w:szCs w:val="28"/>
          <w:lang w:eastAsia="zh-CN"/>
        </w:rPr>
        <w:t>基准燃油公交与项目电动公交需满足同一运营线路、车辆车型功率区间一致、核定标准载客量偏差不</w:t>
      </w:r>
      <w:r>
        <w:rPr>
          <w:rFonts w:hint="eastAsia" w:ascii="Times New Roman" w:hAnsi="Times New Roman" w:eastAsia="宋体" w:cs="Times New Roman"/>
          <w:kern w:val="0"/>
          <w:sz w:val="28"/>
          <w:szCs w:val="28"/>
          <w:lang w:eastAsia="zh-CN"/>
        </w:rPr>
        <w:t>超过</w:t>
      </w:r>
      <w:r>
        <w:rPr>
          <w:rFonts w:hint="default" w:ascii="Times New Roman" w:hAnsi="Times New Roman" w:eastAsia="宋体" w:cs="Times New Roman"/>
          <w:kern w:val="0"/>
          <w:sz w:val="28"/>
          <w:szCs w:val="28"/>
          <w:lang w:eastAsia="zh-CN"/>
        </w:rPr>
        <w:t>10%、日均运营里程区间匹配</w:t>
      </w:r>
      <w:r>
        <w:rPr>
          <w:rFonts w:hint="eastAsia" w:ascii="Times New Roman" w:hAnsi="Times New Roman" w:eastAsia="宋体" w:cs="Times New Roman"/>
          <w:kern w:val="0"/>
          <w:sz w:val="28"/>
          <w:szCs w:val="28"/>
          <w:lang w:eastAsia="zh-CN"/>
        </w:rPr>
        <w:t>等条件，</w:t>
      </w:r>
      <w:r>
        <w:rPr>
          <w:rFonts w:hint="default" w:ascii="Times New Roman" w:hAnsi="Times New Roman" w:eastAsia="宋体" w:cs="Times New Roman"/>
          <w:kern w:val="0"/>
          <w:sz w:val="28"/>
          <w:szCs w:val="28"/>
          <w:lang w:eastAsia="zh-CN"/>
        </w:rPr>
        <w:t>以完成</w:t>
      </w:r>
      <w:r>
        <w:rPr>
          <w:rFonts w:hint="default" w:ascii="Times New Roman" w:hAnsi="Times New Roman" w:eastAsia="宋体" w:cs="Times New Roman"/>
          <w:kern w:val="0"/>
          <w:sz w:val="28"/>
          <w:szCs w:val="28"/>
        </w:rPr>
        <w:t>等效客运周转量的燃油消耗与排放情景。该情景充分匹配南京市公交实际运营特征，以现实中主流燃油公交的能耗与排放水平为核算依据，确保与项目电动公交的服务能力、行驶里程、运营线路具备高度可比性，能够真实反映电动化替代带来的温室气体减排贡献。</w:t>
      </w:r>
    </w:p>
    <w:p w14:paraId="6DCF923F">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bookmarkStart w:id="19" w:name="_Toc170134108"/>
      <w:r>
        <w:rPr>
          <w:rFonts w:hint="eastAsia" w:cs="宋体"/>
          <w:b w:val="0"/>
          <w:bCs/>
          <w:spacing w:val="-5"/>
          <w:sz w:val="28"/>
          <w:szCs w:val="28"/>
          <w:lang w:val="en-US" w:eastAsia="zh-CN"/>
        </w:rPr>
        <w:t>7.2 额外性</w:t>
      </w:r>
      <w:bookmarkEnd w:id="19"/>
      <w:r>
        <w:rPr>
          <w:rFonts w:hint="eastAsia" w:cs="宋体"/>
          <w:b w:val="0"/>
          <w:bCs/>
          <w:spacing w:val="-5"/>
          <w:sz w:val="28"/>
          <w:szCs w:val="28"/>
          <w:lang w:val="en-US" w:eastAsia="zh-CN"/>
        </w:rPr>
        <w:t>论证</w:t>
      </w:r>
    </w:p>
    <w:p w14:paraId="4F2A74B8">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rPr>
      </w:pPr>
      <w:r>
        <w:rPr>
          <w:rFonts w:hint="default" w:ascii="Times New Roman" w:hAnsi="Times New Roman" w:eastAsia="宋体" w:cs="Times New Roman"/>
          <w:kern w:val="0"/>
          <w:sz w:val="28"/>
          <w:szCs w:val="28"/>
        </w:rPr>
        <w:t>公交企业使用场站专用充电桩为纯电动公交充电，属于企业响应绿色低碳发展导向的自主自愿行为，并非现行法律法规与行业监管要求的强制性义务，具备监管层面的额外性。同时，本方法学聚焦公共交通领域规模化、普惠性减排，项目以城市公共服务为核心目标，不以短期经济收益为主要导向</w:t>
      </w:r>
      <w:r>
        <w:rPr>
          <w:rFonts w:hint="default" w:ascii="Times New Roman" w:hAnsi="Times New Roman" w:eastAsia="宋体" w:cs="Times New Roman"/>
          <w:kern w:val="0"/>
          <w:sz w:val="28"/>
          <w:szCs w:val="28"/>
          <w:lang w:eastAsia="zh-CN"/>
        </w:rPr>
        <w:t>。减排效益具备规模化、普惠化、长期性特征，且与南京市公共交通低碳转型、碳普惠激励导向高度契合。</w:t>
      </w:r>
      <w:r>
        <w:rPr>
          <w:rFonts w:hint="default" w:ascii="Times New Roman" w:hAnsi="Times New Roman" w:eastAsia="宋体" w:cs="Times New Roman"/>
          <w:kern w:val="0"/>
          <w:sz w:val="28"/>
          <w:szCs w:val="28"/>
        </w:rPr>
        <w:t>符合本方法学适用条件的减排</w:t>
      </w:r>
      <w:r>
        <w:rPr>
          <w:rFonts w:hint="eastAsia" w:ascii="Times New Roman" w:hAnsi="Times New Roman" w:eastAsia="宋体" w:cs="Times New Roman"/>
          <w:kern w:val="0"/>
          <w:sz w:val="28"/>
          <w:szCs w:val="28"/>
          <w:lang w:eastAsia="zh-CN"/>
        </w:rPr>
        <w:t>项目</w:t>
      </w:r>
      <w:r>
        <w:rPr>
          <w:rFonts w:hint="default" w:ascii="Times New Roman" w:hAnsi="Times New Roman" w:eastAsia="宋体" w:cs="Times New Roman"/>
          <w:kern w:val="0"/>
          <w:sz w:val="28"/>
          <w:szCs w:val="28"/>
        </w:rPr>
        <w:t>，其额外性免予论证。</w:t>
      </w:r>
    </w:p>
    <w:p w14:paraId="2ACC9E2C">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bookmarkStart w:id="20" w:name="_Toc170134109"/>
      <w:bookmarkStart w:id="21" w:name="_Hlk170131968"/>
      <w:r>
        <w:rPr>
          <w:rFonts w:hint="eastAsia" w:cs="宋体"/>
          <w:b w:val="0"/>
          <w:bCs/>
          <w:spacing w:val="-5"/>
          <w:sz w:val="28"/>
          <w:szCs w:val="28"/>
          <w:lang w:val="en-US" w:eastAsia="zh-CN"/>
        </w:rPr>
        <w:t>7.3 基准线排放计算</w:t>
      </w:r>
      <w:bookmarkEnd w:id="20"/>
    </w:p>
    <w:bookmarkEnd w:id="21"/>
    <w:p w14:paraId="06DCC3F9">
      <w:pPr>
        <w:tabs>
          <w:tab w:val="left" w:pos="1269"/>
          <w:tab w:val="left" w:pos="1270"/>
        </w:tabs>
        <w:autoSpaceDE w:val="0"/>
        <w:autoSpaceDN w:val="0"/>
        <w:snapToGrid w:val="0"/>
        <w:spacing w:line="360" w:lineRule="auto"/>
        <w:ind w:firstLine="560" w:firstLineChars="200"/>
        <w:jc w:val="both"/>
        <w:rPr>
          <w:rFonts w:hint="default" w:ascii="Times New Roman" w:hAnsi="Times New Roman" w:eastAsia="宋体" w:cs="Times New Roman"/>
          <w:kern w:val="0"/>
          <w:sz w:val="28"/>
          <w:szCs w:val="28"/>
        </w:rPr>
      </w:pPr>
      <w:r>
        <w:rPr>
          <w:rFonts w:hint="default" w:ascii="Times New Roman" w:hAnsi="Times New Roman" w:eastAsia="宋体" w:cs="Times New Roman"/>
          <w:kern w:val="0"/>
          <w:sz w:val="28"/>
          <w:szCs w:val="28"/>
        </w:rPr>
        <w:t>基准线排放通过充电桩</w:t>
      </w:r>
      <w:r>
        <w:rPr>
          <w:rFonts w:ascii="Times New Roman" w:hAnsi="Times New Roman" w:eastAsia="宋体" w:cs="Times New Roman"/>
          <w:kern w:val="0"/>
          <w:sz w:val="28"/>
          <w:szCs w:val="28"/>
        </w:rPr>
        <w:t>的充电量，以及电动汽车的单位里程耗电量和</w:t>
      </w:r>
      <w:r>
        <w:rPr>
          <w:rFonts w:hint="default" w:ascii="Times New Roman" w:hAnsi="Times New Roman" w:eastAsia="宋体" w:cs="Times New Roman"/>
          <w:kern w:val="0"/>
          <w:sz w:val="28"/>
          <w:szCs w:val="28"/>
        </w:rPr>
        <w:t>燃油车辆的单位里程耗油量进行转换后计算。详细计算过程如下：</w:t>
      </w:r>
    </w:p>
    <w:p w14:paraId="5E56CD98">
      <w:pPr>
        <w:tabs>
          <w:tab w:val="left" w:pos="1269"/>
          <w:tab w:val="left" w:pos="1270"/>
        </w:tabs>
        <w:autoSpaceDE w:val="0"/>
        <w:autoSpaceDN w:val="0"/>
        <w:snapToGrid w:val="0"/>
        <w:spacing w:line="360" w:lineRule="auto"/>
        <w:jc w:val="right"/>
        <w:rPr>
          <w:rFonts w:hint="eastAsia" w:ascii="宋体" w:hAnsi="宋体" w:eastAsia="宋体" w:cs="宋体"/>
          <w:kern w:val="0"/>
          <w:sz w:val="28"/>
          <w:szCs w:val="28"/>
        </w:rPr>
      </w:pPr>
      <m:oMath>
        <m:r>
          <m:rPr/>
          <w:rPr>
            <w:rFonts w:ascii="Cambria Math" w:hAnsi="Cambria Math" w:eastAsia="宋体" w:cs="宋体"/>
            <w:kern w:val="0"/>
            <w:sz w:val="28"/>
            <w:szCs w:val="28"/>
          </w:rPr>
          <m:t>B</m:t>
        </m:r>
        <m:sSub>
          <m:sSubPr>
            <m:ctrlPr>
              <w:rPr>
                <w:rFonts w:ascii="Cambria Math" w:hAnsi="Cambria Math" w:eastAsia="宋体" w:cs="宋体"/>
                <w:kern w:val="0"/>
                <w:sz w:val="28"/>
                <w:szCs w:val="28"/>
              </w:rPr>
            </m:ctrlPr>
          </m:sSubPr>
          <m:e>
            <m:r>
              <m:rPr/>
              <w:rPr>
                <w:rFonts w:ascii="Cambria Math" w:hAnsi="Cambria Math" w:eastAsia="宋体" w:cs="宋体"/>
                <w:kern w:val="0"/>
                <w:sz w:val="28"/>
                <w:szCs w:val="28"/>
              </w:rPr>
              <m:t>E</m:t>
            </m:r>
            <m:ctrlPr>
              <w:rPr>
                <w:rFonts w:ascii="Cambria Math" w:hAnsi="Cambria Math" w:eastAsia="宋体" w:cs="宋体"/>
                <w:kern w:val="0"/>
                <w:sz w:val="28"/>
                <w:szCs w:val="28"/>
              </w:rPr>
            </m:ctrlPr>
          </m:e>
          <m:sub>
            <m:r>
              <m:rPr/>
              <w:rPr>
                <w:rFonts w:ascii="Cambria Math" w:hAnsi="Cambria Math" w:eastAsia="宋体" w:cs="宋体"/>
                <w:kern w:val="0"/>
                <w:sz w:val="28"/>
                <w:szCs w:val="28"/>
              </w:rPr>
              <m:t>t</m:t>
            </m:r>
            <m:ctrlPr>
              <w:rPr>
                <w:rFonts w:ascii="Cambria Math" w:hAnsi="Cambria Math" w:eastAsia="宋体" w:cs="宋体"/>
                <w:kern w:val="0"/>
                <w:sz w:val="28"/>
                <w:szCs w:val="28"/>
              </w:rPr>
            </m:ctrlPr>
          </m:sub>
        </m:sSub>
        <m:r>
          <m:rPr/>
          <w:rPr>
            <w:rFonts w:ascii="Cambria Math" w:hAnsi="Cambria Math" w:eastAsia="宋体" w:cs="宋体"/>
            <w:kern w:val="0"/>
            <w:sz w:val="28"/>
            <w:szCs w:val="28"/>
          </w:rPr>
          <m:t>=</m:t>
        </m:r>
        <m:nary>
          <m:naryPr>
            <m:chr m:val="∑"/>
            <m:grow m:val="1"/>
            <m:limLoc m:val="undOvr"/>
            <m:ctrlPr>
              <w:rPr>
                <w:rFonts w:ascii="Cambria Math" w:hAnsi="Cambria Math" w:eastAsia="宋体" w:cs="宋体"/>
                <w:kern w:val="0"/>
                <w:sz w:val="28"/>
                <w:szCs w:val="28"/>
              </w:rPr>
            </m:ctrlPr>
          </m:naryPr>
          <m:sub>
            <m:r>
              <m:rPr/>
              <w:rPr>
                <w:rFonts w:ascii="Cambria Math" w:hAnsi="Cambria Math" w:eastAsia="宋体" w:cs="宋体"/>
                <w:kern w:val="0"/>
                <w:sz w:val="28"/>
                <w:szCs w:val="28"/>
              </w:rPr>
              <m:t>i</m:t>
            </m:r>
            <m:ctrlPr>
              <w:rPr>
                <w:rFonts w:ascii="Cambria Math" w:hAnsi="Cambria Math" w:eastAsia="宋体" w:cs="宋体"/>
                <w:kern w:val="0"/>
                <w:sz w:val="28"/>
                <w:szCs w:val="28"/>
              </w:rPr>
            </m:ctrlPr>
          </m:sub>
          <m:sup>
            <m:ctrlPr>
              <w:rPr>
                <w:rFonts w:ascii="Cambria Math" w:hAnsi="Cambria Math" w:eastAsia="宋体" w:cs="宋体"/>
                <w:kern w:val="0"/>
                <w:sz w:val="28"/>
                <w:szCs w:val="28"/>
              </w:rPr>
            </m:ctrlPr>
          </m:sup>
          <m:e>
            <m:sSub>
              <m:sSubPr>
                <m:ctrlPr>
                  <w:rPr>
                    <w:rFonts w:ascii="Cambria Math" w:hAnsi="Cambria Math" w:eastAsia="宋体" w:cs="宋体"/>
                    <w:kern w:val="0"/>
                    <w:sz w:val="28"/>
                    <w:szCs w:val="28"/>
                  </w:rPr>
                </m:ctrlPr>
              </m:sSubPr>
              <m:e>
                <m:r>
                  <m:rPr/>
                  <w:rPr>
                    <w:rFonts w:ascii="Cambria Math" w:hAnsi="Cambria Math" w:eastAsia="宋体" w:cs="宋体"/>
                    <w:kern w:val="0"/>
                    <w:sz w:val="28"/>
                    <w:szCs w:val="28"/>
                  </w:rPr>
                  <m:t>f</m:t>
                </m:r>
                <m:ctrlPr>
                  <w:rPr>
                    <w:rFonts w:ascii="Cambria Math" w:hAnsi="Cambria Math" w:eastAsia="宋体" w:cs="宋体"/>
                    <w:kern w:val="0"/>
                    <w:sz w:val="28"/>
                    <w:szCs w:val="28"/>
                  </w:rPr>
                </m:ctrlPr>
              </m:e>
              <m:sub>
                <m:r>
                  <m:rPr/>
                  <w:rPr>
                    <w:rFonts w:ascii="Cambria Math" w:hAnsi="Cambria Math" w:eastAsia="宋体" w:cs="宋体"/>
                    <w:kern w:val="0"/>
                    <w:sz w:val="28"/>
                    <w:szCs w:val="28"/>
                  </w:rPr>
                  <m:t>i</m:t>
                </m:r>
                <m:ctrlPr>
                  <w:rPr>
                    <w:rFonts w:ascii="Cambria Math" w:hAnsi="Cambria Math" w:eastAsia="宋体" w:cs="宋体"/>
                    <w:kern w:val="0"/>
                    <w:sz w:val="28"/>
                    <w:szCs w:val="28"/>
                  </w:rPr>
                </m:ctrlPr>
              </m:sub>
            </m:sSub>
            <m:r>
              <m:rPr/>
              <w:rPr>
                <w:rFonts w:ascii="Cambria Math" w:hAnsi="Cambria Math" w:eastAsia="宋体" w:cs="宋体"/>
                <w:kern w:val="0"/>
                <w:sz w:val="28"/>
                <w:szCs w:val="28"/>
              </w:rPr>
              <m:t>×E</m:t>
            </m:r>
            <m:sSub>
              <m:sSubPr>
                <m:ctrlPr>
                  <w:rPr>
                    <w:rFonts w:ascii="Cambria Math" w:hAnsi="Cambria Math" w:eastAsia="宋体" w:cs="宋体"/>
                    <w:kern w:val="0"/>
                    <w:sz w:val="28"/>
                    <w:szCs w:val="28"/>
                  </w:rPr>
                </m:ctrlPr>
              </m:sSubPr>
              <m:e>
                <m:r>
                  <m:rPr/>
                  <w:rPr>
                    <w:rFonts w:ascii="Cambria Math" w:hAnsi="Cambria Math" w:eastAsia="宋体" w:cs="宋体"/>
                    <w:kern w:val="0"/>
                    <w:sz w:val="28"/>
                    <w:szCs w:val="28"/>
                  </w:rPr>
                  <m:t>C</m:t>
                </m:r>
                <m:ctrlPr>
                  <w:rPr>
                    <w:rFonts w:ascii="Cambria Math" w:hAnsi="Cambria Math" w:eastAsia="宋体" w:cs="宋体"/>
                    <w:kern w:val="0"/>
                    <w:sz w:val="28"/>
                    <w:szCs w:val="28"/>
                  </w:rPr>
                </m:ctrlPr>
              </m:e>
              <m:sub>
                <m:r>
                  <m:rPr/>
                  <w:rPr>
                    <w:rFonts w:hint="default" w:ascii="Cambria Math" w:hAnsi="Cambria Math" w:eastAsia="宋体" w:cs="宋体"/>
                    <w:kern w:val="0"/>
                    <w:sz w:val="28"/>
                    <w:szCs w:val="28"/>
                    <w:lang w:val="en-US" w:eastAsia="zh-CN"/>
                  </w:rPr>
                  <m:t>BS</m:t>
                </m:r>
                <m:r>
                  <m:rPr/>
                  <w:rPr>
                    <w:rFonts w:ascii="Cambria Math" w:hAnsi="Cambria Math" w:eastAsia="宋体" w:cs="宋体"/>
                    <w:kern w:val="0"/>
                    <w:sz w:val="28"/>
                    <w:szCs w:val="28"/>
                  </w:rPr>
                  <m:t>,i,t</m:t>
                </m:r>
                <m:ctrlPr>
                  <w:rPr>
                    <w:rFonts w:ascii="Cambria Math" w:hAnsi="Cambria Math" w:eastAsia="宋体" w:cs="宋体"/>
                    <w:kern w:val="0"/>
                    <w:sz w:val="28"/>
                    <w:szCs w:val="28"/>
                  </w:rPr>
                </m:ctrlPr>
              </m:sub>
            </m:sSub>
            <m:r>
              <m:rPr/>
              <w:rPr>
                <w:rFonts w:ascii="Cambria Math" w:hAnsi="Cambria Math" w:eastAsia="宋体" w:cs="宋体"/>
                <w:kern w:val="0"/>
                <w:sz w:val="28"/>
                <w:szCs w:val="28"/>
              </w:rPr>
              <m:t>×NC</m:t>
            </m:r>
            <m:sSub>
              <m:sSubPr>
                <m:ctrlPr>
                  <w:rPr>
                    <w:rFonts w:ascii="Cambria Math" w:hAnsi="Cambria Math" w:eastAsia="宋体" w:cs="宋体"/>
                    <w:kern w:val="0"/>
                    <w:sz w:val="28"/>
                    <w:szCs w:val="28"/>
                  </w:rPr>
                </m:ctrlPr>
              </m:sSubPr>
              <m:e>
                <m:r>
                  <m:rPr/>
                  <w:rPr>
                    <w:rFonts w:ascii="Cambria Math" w:hAnsi="Cambria Math" w:eastAsia="宋体" w:cs="宋体"/>
                    <w:kern w:val="0"/>
                    <w:sz w:val="28"/>
                    <w:szCs w:val="28"/>
                  </w:rPr>
                  <m:t>V</m:t>
                </m:r>
                <m:ctrlPr>
                  <w:rPr>
                    <w:rFonts w:ascii="Cambria Math" w:hAnsi="Cambria Math" w:eastAsia="宋体" w:cs="宋体"/>
                    <w:kern w:val="0"/>
                    <w:sz w:val="28"/>
                    <w:szCs w:val="28"/>
                  </w:rPr>
                </m:ctrlPr>
              </m:e>
              <m:sub>
                <m:r>
                  <m:rPr/>
                  <w:rPr>
                    <w:rFonts w:ascii="Cambria Math" w:hAnsi="Cambria Math" w:eastAsia="宋体" w:cs="宋体"/>
                    <w:kern w:val="0"/>
                    <w:sz w:val="28"/>
                    <w:szCs w:val="28"/>
                  </w:rPr>
                  <m:t>fuel,i</m:t>
                </m:r>
                <m:ctrlPr>
                  <w:rPr>
                    <w:rFonts w:ascii="Cambria Math" w:hAnsi="Cambria Math" w:eastAsia="宋体" w:cs="宋体"/>
                    <w:kern w:val="0"/>
                    <w:sz w:val="28"/>
                    <w:szCs w:val="28"/>
                  </w:rPr>
                </m:ctrlPr>
              </m:sub>
            </m:sSub>
            <m:r>
              <m:rPr/>
              <w:rPr>
                <w:rFonts w:ascii="Cambria Math" w:hAnsi="Cambria Math" w:eastAsia="宋体" w:cs="宋体"/>
                <w:kern w:val="0"/>
                <w:sz w:val="28"/>
                <w:szCs w:val="28"/>
              </w:rPr>
              <m:t>×E</m:t>
            </m:r>
            <m:sSub>
              <m:sSubPr>
                <m:ctrlPr>
                  <w:rPr>
                    <w:rFonts w:ascii="Cambria Math" w:hAnsi="Cambria Math" w:eastAsia="宋体" w:cs="宋体"/>
                    <w:kern w:val="0"/>
                    <w:sz w:val="28"/>
                    <w:szCs w:val="28"/>
                  </w:rPr>
                </m:ctrlPr>
              </m:sSubPr>
              <m:e>
                <m:r>
                  <m:rPr/>
                  <w:rPr>
                    <w:rFonts w:ascii="Cambria Math" w:hAnsi="Cambria Math" w:eastAsia="宋体" w:cs="宋体"/>
                    <w:kern w:val="0"/>
                    <w:sz w:val="28"/>
                    <w:szCs w:val="28"/>
                  </w:rPr>
                  <m:t>F</m:t>
                </m:r>
                <m:ctrlPr>
                  <w:rPr>
                    <w:rFonts w:ascii="Cambria Math" w:hAnsi="Cambria Math" w:eastAsia="宋体" w:cs="宋体"/>
                    <w:kern w:val="0"/>
                    <w:sz w:val="28"/>
                    <w:szCs w:val="28"/>
                  </w:rPr>
                </m:ctrlPr>
              </m:e>
              <m:sub>
                <m:r>
                  <m:rPr/>
                  <w:rPr>
                    <w:rFonts w:ascii="Cambria Math" w:hAnsi="Cambria Math" w:eastAsia="宋体" w:cs="宋体"/>
                    <w:kern w:val="0"/>
                    <w:sz w:val="28"/>
                    <w:szCs w:val="28"/>
                  </w:rPr>
                  <m:t>CO2,i</m:t>
                </m:r>
                <m:ctrlPr>
                  <w:rPr>
                    <w:rFonts w:ascii="Cambria Math" w:hAnsi="Cambria Math" w:eastAsia="宋体" w:cs="宋体"/>
                    <w:kern w:val="0"/>
                    <w:sz w:val="28"/>
                    <w:szCs w:val="28"/>
                  </w:rPr>
                </m:ctrlPr>
              </m:sub>
            </m:sSub>
            <m:r>
              <m:rPr/>
              <w:rPr>
                <w:rFonts w:ascii="Cambria Math" w:hAnsi="Cambria Math" w:eastAsia="宋体" w:cs="宋体"/>
                <w:kern w:val="0"/>
                <w:sz w:val="28"/>
                <w:szCs w:val="28"/>
              </w:rPr>
              <m:t>×I</m:t>
            </m:r>
            <m:sSup>
              <m:sSupPr>
                <m:ctrlPr>
                  <w:rPr>
                    <w:rFonts w:ascii="Cambria Math" w:hAnsi="Cambria Math" w:eastAsia="宋体" w:cs="宋体"/>
                    <w:kern w:val="0"/>
                    <w:sz w:val="28"/>
                    <w:szCs w:val="28"/>
                  </w:rPr>
                </m:ctrlPr>
              </m:sSupPr>
              <m:e>
                <m:r>
                  <m:rPr/>
                  <w:rPr>
                    <w:rFonts w:ascii="Cambria Math" w:hAnsi="Cambria Math" w:eastAsia="宋体" w:cs="宋体"/>
                    <w:kern w:val="0"/>
                    <w:sz w:val="28"/>
                    <w:szCs w:val="28"/>
                  </w:rPr>
                  <m:t>R</m:t>
                </m:r>
                <m:ctrlPr>
                  <w:rPr>
                    <w:rFonts w:ascii="Cambria Math" w:hAnsi="Cambria Math" w:eastAsia="宋体" w:cs="宋体"/>
                    <w:kern w:val="0"/>
                    <w:sz w:val="28"/>
                    <w:szCs w:val="28"/>
                  </w:rPr>
                </m:ctrlPr>
              </m:e>
              <m:sup>
                <m:r>
                  <m:rPr/>
                  <w:rPr>
                    <w:rFonts w:ascii="Cambria Math" w:hAnsi="Cambria Math" w:eastAsia="宋体" w:cs="宋体"/>
                    <w:kern w:val="0"/>
                    <w:sz w:val="28"/>
                    <w:szCs w:val="28"/>
                  </w:rPr>
                  <m:t>y</m:t>
                </m:r>
                <m:ctrlPr>
                  <w:rPr>
                    <w:rFonts w:ascii="Cambria Math" w:hAnsi="Cambria Math" w:eastAsia="宋体" w:cs="宋体"/>
                    <w:kern w:val="0"/>
                    <w:sz w:val="28"/>
                    <w:szCs w:val="28"/>
                  </w:rPr>
                </m:ctrlPr>
              </m:sup>
            </m:sSup>
            <m:ctrlPr>
              <w:rPr>
                <w:rFonts w:ascii="Cambria Math" w:hAnsi="Cambria Math" w:eastAsia="宋体" w:cs="宋体"/>
                <w:kern w:val="0"/>
                <w:sz w:val="28"/>
                <w:szCs w:val="28"/>
              </w:rPr>
            </m:ctrlPr>
          </m:e>
        </m:nary>
      </m:oMath>
      <w:r>
        <w:rPr>
          <w:rFonts w:ascii="宋体" w:hAnsi="宋体" w:eastAsia="宋体" w:cs="宋体"/>
          <w:kern w:val="0"/>
          <w:sz w:val="28"/>
          <w:szCs w:val="28"/>
        </w:rPr>
        <w:tab/>
      </w:r>
      <w:r>
        <w:rPr>
          <w:rFonts w:ascii="宋体" w:hAnsi="宋体" w:eastAsia="宋体" w:cs="宋体"/>
          <w:kern w:val="0"/>
          <w:sz w:val="28"/>
          <w:szCs w:val="28"/>
        </w:rPr>
        <w:tab/>
      </w:r>
      <w:r>
        <w:rPr>
          <w:rFonts w:ascii="宋体" w:hAnsi="宋体" w:eastAsia="宋体" w:cs="宋体"/>
          <w:kern w:val="0"/>
          <w:sz w:val="28"/>
          <w:szCs w:val="28"/>
        </w:rPr>
        <w:tab/>
      </w:r>
      <w:r>
        <w:rPr>
          <w:rFonts w:ascii="宋体" w:hAnsi="宋体" w:eastAsia="宋体" w:cs="宋体"/>
          <w:kern w:val="0"/>
          <w:sz w:val="28"/>
          <w:szCs w:val="28"/>
        </w:rPr>
        <w:tab/>
      </w:r>
      <w:r>
        <w:rPr>
          <w:rFonts w:hint="eastAsia" w:ascii="宋体" w:hAnsi="宋体" w:eastAsia="宋体" w:cs="宋体"/>
          <w:kern w:val="0"/>
          <w:sz w:val="28"/>
          <w:szCs w:val="28"/>
          <w:lang w:eastAsia="zh-CN"/>
        </w:rPr>
        <w:t>(</w:t>
      </w:r>
      <w:r>
        <w:rPr>
          <w:rFonts w:hint="eastAsia" w:ascii="Times New Roman" w:hAnsi="Times New Roman" w:eastAsia="宋体" w:cs="宋体"/>
          <w:kern w:val="0"/>
          <w:sz w:val="28"/>
          <w:szCs w:val="28"/>
        </w:rPr>
        <w:t>1</w:t>
      </w:r>
      <w:r>
        <w:rPr>
          <w:rFonts w:hint="eastAsia" w:ascii="Times New Roman" w:hAnsi="Times New Roman" w:eastAsia="宋体" w:cs="宋体"/>
          <w:kern w:val="0"/>
          <w:sz w:val="28"/>
          <w:szCs w:val="28"/>
          <w:lang w:eastAsia="zh-CN"/>
        </w:rPr>
        <w:t>)</w:t>
      </w:r>
    </w:p>
    <w:p w14:paraId="431A2B84">
      <w:pPr>
        <w:tabs>
          <w:tab w:val="left" w:pos="1269"/>
          <w:tab w:val="left" w:pos="1270"/>
        </w:tabs>
        <w:autoSpaceDE w:val="0"/>
        <w:autoSpaceDN w:val="0"/>
        <w:snapToGrid w:val="0"/>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其中：</w:t>
      </w:r>
    </w:p>
    <w:p w14:paraId="5E0444FD">
      <w:pPr>
        <w:tabs>
          <w:tab w:val="left" w:pos="1269"/>
          <w:tab w:val="left" w:pos="1270"/>
        </w:tabs>
        <w:autoSpaceDE w:val="0"/>
        <w:autoSpaceDN w:val="0"/>
        <w:snapToGrid w:val="0"/>
        <w:spacing w:line="360" w:lineRule="auto"/>
        <w:rPr>
          <w:rFonts w:ascii="宋体" w:hAnsi="宋体" w:eastAsia="宋体" w:cs="宋体"/>
          <w:kern w:val="0"/>
          <w:sz w:val="28"/>
          <w:szCs w:val="28"/>
        </w:rPr>
      </w:pPr>
      <w:r>
        <w:rPr>
          <w:rFonts w:ascii="宋体" w:hAnsi="宋体" w:eastAsia="宋体" w:cs="宋体"/>
          <w:kern w:val="0"/>
          <w:position w:val="-6"/>
          <w:sz w:val="28"/>
          <w:szCs w:val="28"/>
        </w:rPr>
        <w:object>
          <v:shape id="_x0000_i1025" o:spt="75" type="#_x0000_t75" style="height:12pt;width:7.5pt;" o:ole="t" filled="f" o:preferrelative="t" stroked="f" coordsize="21600,21600">
            <v:path/>
            <v:fill on="f" focussize="0,0"/>
            <v:stroke on="f" joinstyle="miter"/>
            <v:imagedata r:id="rId8" o:title=""/>
            <o:lock v:ext="edit" aspectratio="t"/>
            <w10:wrap type="none"/>
            <w10:anchorlock/>
          </v:shape>
          <o:OLEObject Type="Embed" ProgID="Equation.DSMT4" ShapeID="_x0000_i1025" DrawAspect="Content" ObjectID="_1468075725" r:id="rId7">
            <o:LockedField>false</o:LockedField>
          </o:OLEObject>
        </w:object>
      </w:r>
      <w:r>
        <w:rPr>
          <w:rFonts w:ascii="宋体" w:hAnsi="宋体" w:eastAsia="宋体" w:cs="宋体"/>
          <w:kern w:val="0"/>
          <w:sz w:val="28"/>
          <w:szCs w:val="28"/>
        </w:rPr>
        <w:tab/>
      </w:r>
      <w:r>
        <w:rPr>
          <w:rFonts w:hint="eastAsia" w:ascii="宋体" w:hAnsi="宋体" w:eastAsia="宋体" w:cs="宋体"/>
          <w:kern w:val="0"/>
          <w:sz w:val="28"/>
          <w:szCs w:val="28"/>
        </w:rPr>
        <w:t>减排量计算日</w:t>
      </w:r>
    </w:p>
    <w:p w14:paraId="63844970">
      <w:pPr>
        <w:tabs>
          <w:tab w:val="left" w:pos="1269"/>
          <w:tab w:val="left" w:pos="1270"/>
        </w:tabs>
        <w:autoSpaceDE w:val="0"/>
        <w:autoSpaceDN w:val="0"/>
        <w:snapToGrid w:val="0"/>
        <w:spacing w:line="360" w:lineRule="auto"/>
        <w:rPr>
          <w:rFonts w:hint="eastAsia" w:ascii="宋体" w:hAnsi="宋体" w:eastAsia="宋体"/>
          <w:color w:val="FF0000"/>
          <w:sz w:val="28"/>
          <w:szCs w:val="28"/>
          <w:highlight w:val="yellow"/>
        </w:rPr>
      </w:pPr>
      <w:r>
        <w:rPr>
          <w:rFonts w:ascii="宋体" w:hAnsi="宋体" w:eastAsia="宋体"/>
          <w:color w:val="FF0000"/>
          <w:position w:val="-6"/>
          <w:sz w:val="28"/>
          <w:szCs w:val="28"/>
        </w:rPr>
        <w:object>
          <v:shape id="_x0000_i1026" o:spt="75" type="#_x0000_t75" style="height:13.5pt;width:7.5pt;" o:ole="t" filled="f" o:preferrelative="t" stroked="f" coordsize="21600,21600">
            <v:path/>
            <v:fill on="f" focussize="0,0"/>
            <v:stroke on="f" joinstyle="miter"/>
            <v:imagedata r:id="rId10" o:title=""/>
            <o:lock v:ext="edit" aspectratio="t"/>
            <w10:wrap type="none"/>
            <w10:anchorlock/>
          </v:shape>
          <o:OLEObject Type="Embed" ProgID="Equation.DSMT4" ShapeID="_x0000_i1026" DrawAspect="Content" ObjectID="_1468075726" r:id="rId9">
            <o:LockedField>false</o:LockedField>
          </o:OLEObject>
        </w:object>
      </w:r>
      <w:r>
        <w:rPr>
          <w:rFonts w:ascii="宋体" w:hAnsi="宋体" w:eastAsia="宋体"/>
          <w:color w:val="FF0000"/>
          <w:sz w:val="28"/>
          <w:szCs w:val="28"/>
        </w:rPr>
        <w:tab/>
      </w:r>
      <w:r>
        <w:rPr>
          <w:rFonts w:hint="eastAsia" w:ascii="宋体" w:hAnsi="宋体" w:eastAsia="宋体" w:cs="宋体"/>
          <w:kern w:val="0"/>
          <w:sz w:val="28"/>
          <w:szCs w:val="28"/>
          <w:lang w:val="en-US" w:eastAsia="zh-CN"/>
        </w:rPr>
        <w:t>公交车型</w:t>
      </w:r>
      <w:r>
        <w:rPr>
          <w:rFonts w:hint="eastAsia" w:ascii="宋体" w:hAnsi="宋体" w:eastAsia="宋体" w:cs="宋体"/>
          <w:kern w:val="0"/>
          <w:sz w:val="28"/>
          <w:szCs w:val="28"/>
        </w:rPr>
        <w:t>（如</w:t>
      </w:r>
      <w:r>
        <w:rPr>
          <w:rFonts w:hint="eastAsia" w:ascii="宋体" w:hAnsi="宋体" w:eastAsia="宋体" w:cs="宋体"/>
          <w:kern w:val="0"/>
          <w:sz w:val="28"/>
          <w:szCs w:val="28"/>
          <w:lang w:val="en-US" w:eastAsia="zh-CN"/>
        </w:rPr>
        <w:t>大型公交</w:t>
      </w:r>
      <w:r>
        <w:rPr>
          <w:rFonts w:hint="eastAsia" w:ascii="宋体" w:hAnsi="宋体" w:eastAsia="宋体" w:cs="宋体"/>
          <w:kern w:val="0"/>
          <w:sz w:val="28"/>
          <w:szCs w:val="28"/>
        </w:rPr>
        <w:t>、</w:t>
      </w:r>
      <w:r>
        <w:rPr>
          <w:rFonts w:hint="eastAsia" w:ascii="宋体" w:hAnsi="宋体" w:eastAsia="宋体" w:cs="宋体"/>
          <w:kern w:val="0"/>
          <w:sz w:val="28"/>
          <w:szCs w:val="28"/>
          <w:lang w:val="en-US" w:eastAsia="zh-CN"/>
        </w:rPr>
        <w:t>中型公交</w:t>
      </w:r>
      <w:r>
        <w:rPr>
          <w:rFonts w:hint="eastAsia" w:ascii="宋体" w:hAnsi="宋体" w:eastAsia="宋体" w:cs="宋体"/>
          <w:kern w:val="0"/>
          <w:sz w:val="28"/>
          <w:szCs w:val="28"/>
        </w:rPr>
        <w:t>等）</w:t>
      </w:r>
      <w:r>
        <w:rPr>
          <w:rFonts w:hint="eastAsia" w:ascii="宋体" w:hAnsi="宋体" w:eastAsia="宋体"/>
          <w:color w:val="FF0000"/>
          <w:sz w:val="28"/>
          <w:szCs w:val="28"/>
        </w:rPr>
        <w:t xml:space="preserve"> </w:t>
      </w:r>
    </w:p>
    <w:p w14:paraId="64D7762C">
      <w:pPr>
        <w:tabs>
          <w:tab w:val="left" w:pos="1269"/>
          <w:tab w:val="left" w:pos="1270"/>
        </w:tabs>
        <w:autoSpaceDE w:val="0"/>
        <w:autoSpaceDN w:val="0"/>
        <w:snapToGrid w:val="0"/>
        <w:spacing w:line="360" w:lineRule="auto"/>
        <w:rPr>
          <w:rFonts w:hint="eastAsia" w:ascii="宋体" w:hAnsi="宋体" w:eastAsia="宋体" w:cs="宋体"/>
          <w:kern w:val="0"/>
          <w:sz w:val="28"/>
          <w:szCs w:val="28"/>
        </w:rPr>
      </w:pPr>
      <w:r>
        <w:rPr>
          <w:rFonts w:ascii="宋体" w:hAnsi="宋体" w:eastAsia="宋体" w:cs="宋体"/>
          <w:kern w:val="0"/>
          <w:position w:val="-12"/>
          <w:sz w:val="28"/>
          <w:szCs w:val="28"/>
        </w:rPr>
        <w:object>
          <v:shape id="_x0000_i1027" o:spt="75" type="#_x0000_t75" style="height:18pt;width:21pt;" o:ole="t" filled="f" o:preferrelative="t" stroked="f" coordsize="21600,21600">
            <v:path/>
            <v:fill on="f" focussize="0,0"/>
            <v:stroke on="f" joinstyle="miter"/>
            <v:imagedata r:id="rId12" o:title=""/>
            <o:lock v:ext="edit" aspectratio="t"/>
            <w10:wrap type="none"/>
            <w10:anchorlock/>
          </v:shape>
          <o:OLEObject Type="Embed" ProgID="Equation.DSMT4" ShapeID="_x0000_i1027" DrawAspect="Content" ObjectID="_1468075727" r:id="rId11">
            <o:LockedField>false</o:LockedField>
          </o:OLEObject>
        </w:object>
      </w:r>
      <w:r>
        <w:rPr>
          <w:rFonts w:ascii="宋体" w:hAnsi="宋体" w:eastAsia="宋体" w:cs="宋体"/>
          <w:kern w:val="0"/>
          <w:sz w:val="28"/>
          <w:szCs w:val="28"/>
        </w:rPr>
        <w:tab/>
      </w:r>
      <w:r>
        <w:rPr>
          <w:rFonts w:hint="eastAsia" w:ascii="宋体" w:hAnsi="宋体" w:eastAsia="宋体" w:cs="宋体"/>
          <w:kern w:val="0"/>
          <w:sz w:val="28"/>
          <w:szCs w:val="28"/>
        </w:rPr>
        <w:t>基准线排放（</w:t>
      </w:r>
      <w:r>
        <w:rPr>
          <w:rFonts w:hint="eastAsia" w:ascii="Times New Roman" w:hAnsi="Times New Roman" w:eastAsia="宋体" w:cs="宋体"/>
          <w:kern w:val="0"/>
          <w:sz w:val="28"/>
          <w:szCs w:val="28"/>
        </w:rPr>
        <w:t>kgCO</w:t>
      </w:r>
      <w:r>
        <w:rPr>
          <w:rFonts w:hint="eastAsia" w:ascii="Times New Roman" w:hAnsi="Times New Roman" w:eastAsia="宋体" w:cs="宋体"/>
          <w:kern w:val="0"/>
          <w:sz w:val="28"/>
          <w:szCs w:val="28"/>
          <w:vertAlign w:val="subscript"/>
        </w:rPr>
        <w:t>2</w:t>
      </w:r>
      <w:r>
        <w:rPr>
          <w:rFonts w:hint="eastAsia" w:ascii="宋体" w:hAnsi="宋体" w:eastAsia="宋体" w:cs="宋体"/>
          <w:kern w:val="0"/>
          <w:sz w:val="28"/>
          <w:szCs w:val="28"/>
        </w:rPr>
        <w:t>）</w:t>
      </w:r>
    </w:p>
    <w:p w14:paraId="38DD7523">
      <w:pPr>
        <w:tabs>
          <w:tab w:val="left" w:pos="1269"/>
          <w:tab w:val="left" w:pos="1270"/>
        </w:tabs>
        <w:autoSpaceDE w:val="0"/>
        <w:autoSpaceDN w:val="0"/>
        <w:snapToGrid w:val="0"/>
        <w:spacing w:line="360" w:lineRule="auto"/>
        <w:rPr>
          <w:rFonts w:hint="eastAsia" w:ascii="宋体" w:hAnsi="宋体" w:eastAsia="宋体"/>
          <w:sz w:val="28"/>
          <w:szCs w:val="28"/>
        </w:rPr>
      </w:pPr>
      <m:oMath>
        <m:r>
          <m:rPr/>
          <w:rPr>
            <w:rFonts w:hint="default" w:ascii="Cambria Math" w:hAnsi="Cambria Math"/>
            <w:sz w:val="28"/>
          </w:rPr>
          <m:t>E</m:t>
        </m:r>
        <m:sSub>
          <m:sSubPr>
            <m:ctrlPr>
              <w:rPr>
                <w:rFonts w:hint="default" w:ascii="Cambria Math" w:hAnsi="Cambria Math"/>
                <w:sz w:val="28"/>
              </w:rPr>
            </m:ctrlPr>
          </m:sSubPr>
          <m:e>
            <m:r>
              <m:rPr/>
              <w:rPr>
                <w:rFonts w:hint="default" w:ascii="Cambria Math" w:hAnsi="Cambria Math"/>
                <w:sz w:val="28"/>
              </w:rPr>
              <m:t>C</m:t>
            </m:r>
            <m:ctrlPr>
              <w:rPr>
                <w:rFonts w:ascii="Cambria Math" w:hAnsi="Cambria Math"/>
                <w:sz w:val="28"/>
              </w:rPr>
            </m:ctrlPr>
          </m:e>
          <m:sub>
            <m:r>
              <m:rPr/>
              <w:rPr>
                <w:rFonts w:hint="default" w:ascii="Cambria Math" w:hAnsi="Cambria Math"/>
                <w:sz w:val="28"/>
                <w:lang w:val="en-US" w:eastAsia="zh-CN"/>
              </w:rPr>
              <m:t>BS</m:t>
            </m:r>
            <m:r>
              <m:rPr/>
              <w:rPr>
                <w:rFonts w:hint="default" w:ascii="Cambria Math" w:hAnsi="Cambria Math"/>
                <w:sz w:val="28"/>
              </w:rPr>
              <m:t>J,i,t</m:t>
            </m:r>
            <m:ctrlPr>
              <w:rPr>
                <w:rFonts w:ascii="Cambria Math" w:hAnsi="Cambria Math"/>
                <w:sz w:val="28"/>
              </w:rPr>
            </m:ctrlPr>
          </m:sub>
        </m:sSub>
      </m:oMath>
      <w:r>
        <w:rPr>
          <w:rFonts w:ascii="宋体" w:hAnsi="宋体" w:eastAsia="宋体"/>
          <w:sz w:val="28"/>
          <w:szCs w:val="28"/>
        </w:rPr>
        <w:tab/>
      </w:r>
      <w:r>
        <w:rPr>
          <w:rFonts w:hint="eastAsia" w:ascii="Times New Roman" w:hAnsi="Times New Roman" w:eastAsia="宋体"/>
          <w:i/>
          <w:iCs/>
          <w:sz w:val="28"/>
          <w:szCs w:val="28"/>
        </w:rPr>
        <w:t>t</w:t>
      </w:r>
      <w:r>
        <w:rPr>
          <w:rFonts w:hint="eastAsia" w:ascii="Times New Roman" w:hAnsi="Times New Roman" w:eastAsia="宋体"/>
          <w:sz w:val="28"/>
          <w:szCs w:val="28"/>
        </w:rPr>
        <w:t>日</w:t>
      </w:r>
      <w:r>
        <w:rPr>
          <w:rFonts w:hint="eastAsia" w:ascii="宋体" w:hAnsi="宋体" w:eastAsia="宋体"/>
          <w:sz w:val="28"/>
          <w:szCs w:val="28"/>
        </w:rPr>
        <w:t xml:space="preserve">充电桩为车型为 </w:t>
      </w:r>
      <w:r>
        <w:rPr>
          <w:rFonts w:hint="eastAsia" w:ascii="Times New Roman" w:hAnsi="Times New Roman" w:eastAsia="宋体"/>
          <w:i/>
          <w:iCs/>
          <w:sz w:val="28"/>
          <w:szCs w:val="28"/>
        </w:rPr>
        <w:t>i</w:t>
      </w:r>
      <w:r>
        <w:rPr>
          <w:rFonts w:hint="eastAsia" w:ascii="宋体" w:hAnsi="宋体" w:eastAsia="宋体"/>
          <w:sz w:val="28"/>
          <w:szCs w:val="28"/>
        </w:rPr>
        <w:t xml:space="preserve"> 的</w:t>
      </w:r>
      <w:r>
        <w:rPr>
          <w:rFonts w:hint="eastAsia" w:ascii="宋体" w:hAnsi="宋体" w:eastAsia="宋体"/>
          <w:sz w:val="28"/>
          <w:szCs w:val="28"/>
          <w:lang w:val="en-US" w:eastAsia="zh-CN"/>
        </w:rPr>
        <w:t>公交车辆</w:t>
      </w:r>
      <w:r>
        <w:rPr>
          <w:rFonts w:hint="eastAsia" w:ascii="宋体" w:hAnsi="宋体" w:eastAsia="宋体"/>
          <w:sz w:val="28"/>
          <w:szCs w:val="28"/>
        </w:rPr>
        <w:t>的充电量（</w:t>
      </w:r>
      <w:r>
        <w:rPr>
          <w:rFonts w:hint="eastAsia" w:ascii="Times New Roman" w:hAnsi="Times New Roman" w:eastAsia="宋体"/>
          <w:sz w:val="28"/>
          <w:szCs w:val="28"/>
        </w:rPr>
        <w:t>kWh</w:t>
      </w:r>
      <w:r>
        <w:rPr>
          <w:rFonts w:hint="eastAsia" w:ascii="宋体" w:hAnsi="宋体" w:eastAsia="宋体"/>
          <w:sz w:val="28"/>
          <w:szCs w:val="28"/>
        </w:rPr>
        <w:t>）</w:t>
      </w:r>
    </w:p>
    <w:p w14:paraId="22E3A2EC">
      <w:pPr>
        <w:tabs>
          <w:tab w:val="left" w:pos="1269"/>
          <w:tab w:val="left" w:pos="1270"/>
        </w:tabs>
        <w:autoSpaceDE w:val="0"/>
        <w:autoSpaceDN w:val="0"/>
        <w:snapToGrid w:val="0"/>
        <w:spacing w:line="360" w:lineRule="auto"/>
        <w:rPr>
          <w:rFonts w:hint="eastAsia" w:ascii="宋体" w:hAnsi="宋体" w:eastAsia="宋体"/>
          <w:sz w:val="28"/>
          <w:szCs w:val="28"/>
        </w:rPr>
      </w:pPr>
      <w:r>
        <w:rPr>
          <w:rFonts w:ascii="宋体" w:hAnsi="宋体" w:eastAsia="宋体"/>
          <w:position w:val="-14"/>
          <w:sz w:val="28"/>
          <w:szCs w:val="28"/>
        </w:rPr>
        <w:object>
          <v:shape id="_x0000_i1028" o:spt="75" type="#_x0000_t75" style="height:19.5pt;width:44.25pt;" o:ole="t" filled="f" o:preferrelative="t" stroked="f" coordsize="21600,21600">
            <v:path/>
            <v:fill on="f" focussize="0,0"/>
            <v:stroke on="f" joinstyle="miter"/>
            <v:imagedata r:id="rId14" o:title=""/>
            <o:lock v:ext="edit" aspectratio="t"/>
            <w10:wrap type="none"/>
            <w10:anchorlock/>
          </v:shape>
          <o:OLEObject Type="Embed" ProgID="Equation.DSMT4" ShapeID="_x0000_i1028" DrawAspect="Content" ObjectID="_1468075728" r:id="rId13">
            <o:LockedField>false</o:LockedField>
          </o:OLEObject>
        </w:object>
      </w:r>
      <w:r>
        <w:rPr>
          <w:rFonts w:ascii="宋体" w:hAnsi="宋体" w:eastAsia="宋体"/>
          <w:position w:val="-4"/>
          <w:sz w:val="28"/>
          <w:szCs w:val="28"/>
        </w:rPr>
        <w:object>
          <v:shape id="_x0000_i1029" o:spt="75" type="#_x0000_t75" style="height:14.25pt;width:9pt;" o:ole="t" filled="f" o:preferrelative="t" stroked="f" coordsize="21600,21600">
            <v:path/>
            <v:fill on="f" focussize="0,0"/>
            <v:stroke on="f" joinstyle="miter"/>
            <v:imagedata r:id="rId16" o:title=""/>
            <o:lock v:ext="edit" aspectratio="t"/>
            <w10:wrap type="none"/>
            <w10:anchorlock/>
          </v:shape>
          <o:OLEObject Type="Embed" ProgID="Equation.DSMT4" ShapeID="_x0000_i1029" DrawAspect="Content" ObjectID="_1468075729" r:id="rId15">
            <o:LockedField>false</o:LockedField>
          </o:OLEObject>
        </w:object>
      </w:r>
      <w:r>
        <w:rPr>
          <w:rFonts w:ascii="宋体" w:hAnsi="宋体" w:eastAsia="宋体"/>
          <w:sz w:val="28"/>
          <w:szCs w:val="28"/>
        </w:rPr>
        <w:tab/>
      </w:r>
      <w:r>
        <w:rPr>
          <w:rFonts w:hint="eastAsia" w:ascii="宋体" w:hAnsi="宋体" w:eastAsia="宋体"/>
          <w:sz w:val="28"/>
          <w:szCs w:val="28"/>
        </w:rPr>
        <w:t xml:space="preserve">车型为 </w:t>
      </w:r>
      <w:r>
        <w:rPr>
          <w:rFonts w:hint="eastAsia" w:ascii="Times New Roman" w:hAnsi="Times New Roman" w:eastAsia="宋体"/>
          <w:i/>
          <w:iCs/>
          <w:sz w:val="28"/>
          <w:szCs w:val="28"/>
        </w:rPr>
        <w:t xml:space="preserve">i </w:t>
      </w:r>
      <w:r>
        <w:rPr>
          <w:rFonts w:hint="eastAsia" w:ascii="宋体" w:hAnsi="宋体" w:eastAsia="宋体"/>
          <w:sz w:val="28"/>
          <w:szCs w:val="28"/>
        </w:rPr>
        <w:t>的基准线车辆消耗燃料的净热值（</w:t>
      </w:r>
      <w:r>
        <w:rPr>
          <w:rFonts w:hint="eastAsia" w:ascii="Times New Roman" w:hAnsi="Times New Roman" w:eastAsia="宋体"/>
          <w:sz w:val="28"/>
          <w:szCs w:val="28"/>
        </w:rPr>
        <w:t>MJ</w:t>
      </w:r>
      <w:r>
        <w:rPr>
          <w:rFonts w:hint="eastAsia" w:ascii="宋体" w:hAnsi="宋体" w:eastAsia="宋体"/>
          <w:sz w:val="28"/>
          <w:szCs w:val="28"/>
        </w:rPr>
        <w:t>/</w:t>
      </w:r>
      <w:r>
        <w:rPr>
          <w:rFonts w:hint="eastAsia" w:ascii="Times New Roman" w:hAnsi="Times New Roman" w:eastAsia="宋体"/>
          <w:sz w:val="28"/>
          <w:szCs w:val="28"/>
        </w:rPr>
        <w:t>kg</w:t>
      </w:r>
      <w:r>
        <w:rPr>
          <w:rFonts w:hint="eastAsia" w:ascii="宋体" w:hAnsi="宋体" w:eastAsia="宋体"/>
          <w:sz w:val="28"/>
          <w:szCs w:val="28"/>
        </w:rPr>
        <w:t>化石燃料）</w:t>
      </w:r>
    </w:p>
    <w:p w14:paraId="11EDFE18">
      <w:pPr>
        <w:tabs>
          <w:tab w:val="left" w:pos="1269"/>
          <w:tab w:val="left" w:pos="1270"/>
        </w:tabs>
        <w:autoSpaceDE w:val="0"/>
        <w:autoSpaceDN w:val="0"/>
        <w:snapToGrid w:val="0"/>
        <w:spacing w:line="360" w:lineRule="auto"/>
        <w:rPr>
          <w:rFonts w:hint="eastAsia" w:ascii="宋体" w:hAnsi="宋体" w:eastAsia="宋体"/>
          <w:sz w:val="28"/>
          <w:szCs w:val="28"/>
        </w:rPr>
      </w:pPr>
      <w:r>
        <w:rPr>
          <w:rFonts w:ascii="宋体" w:hAnsi="宋体" w:eastAsia="宋体"/>
          <w:position w:val="-14"/>
          <w:sz w:val="28"/>
          <w:szCs w:val="28"/>
        </w:rPr>
        <w:object>
          <v:shape id="_x0000_i1030" o:spt="75" type="#_x0000_t75" style="height:19.5pt;width:36pt;" o:ole="t" filled="f" o:preferrelative="t" stroked="f" coordsize="21600,21600">
            <v:path/>
            <v:fill on="f" focussize="0,0"/>
            <v:stroke on="f" joinstyle="miter"/>
            <v:imagedata r:id="rId18" o:title=""/>
            <o:lock v:ext="edit" aspectratio="t"/>
            <w10:wrap type="none"/>
            <w10:anchorlock/>
          </v:shape>
          <o:OLEObject Type="Embed" ProgID="Equation.DSMT4" ShapeID="_x0000_i1030" DrawAspect="Content" ObjectID="_1468075730" r:id="rId17">
            <o:LockedField>false</o:LockedField>
          </o:OLEObject>
        </w:object>
      </w:r>
      <w:r>
        <w:rPr>
          <w:rFonts w:ascii="宋体" w:hAnsi="宋体" w:eastAsia="宋体"/>
          <w:sz w:val="28"/>
          <w:szCs w:val="28"/>
        </w:rPr>
        <w:tab/>
      </w:r>
      <w:r>
        <w:rPr>
          <w:rFonts w:hint="eastAsia" w:ascii="宋体" w:hAnsi="宋体" w:eastAsia="宋体"/>
          <w:sz w:val="28"/>
          <w:szCs w:val="28"/>
        </w:rPr>
        <w:t xml:space="preserve">车型为 </w:t>
      </w:r>
      <w:r>
        <w:rPr>
          <w:rFonts w:hint="eastAsia" w:ascii="Times New Roman" w:hAnsi="Times New Roman" w:eastAsia="宋体"/>
          <w:i/>
          <w:iCs/>
          <w:sz w:val="28"/>
          <w:szCs w:val="28"/>
        </w:rPr>
        <w:t xml:space="preserve">i </w:t>
      </w:r>
      <w:r>
        <w:rPr>
          <w:rFonts w:hint="eastAsia" w:ascii="宋体" w:hAnsi="宋体" w:eastAsia="宋体"/>
          <w:sz w:val="28"/>
          <w:szCs w:val="28"/>
        </w:rPr>
        <w:t>的基准线车辆消耗燃料的</w:t>
      </w:r>
      <w:r>
        <w:rPr>
          <w:rFonts w:hint="eastAsia" w:ascii="Times New Roman" w:hAnsi="Times New Roman" w:eastAsia="宋体"/>
          <w:sz w:val="28"/>
          <w:szCs w:val="28"/>
        </w:rPr>
        <w:t>CO</w:t>
      </w:r>
      <w:r>
        <w:rPr>
          <w:rFonts w:hint="eastAsia" w:ascii="Times New Roman" w:hAnsi="Times New Roman" w:eastAsia="宋体"/>
          <w:sz w:val="28"/>
          <w:szCs w:val="28"/>
          <w:vertAlign w:val="subscript"/>
        </w:rPr>
        <w:t>2</w:t>
      </w:r>
      <w:r>
        <w:rPr>
          <w:rFonts w:hint="eastAsia" w:ascii="宋体" w:hAnsi="宋体" w:eastAsia="宋体"/>
          <w:sz w:val="28"/>
          <w:szCs w:val="28"/>
        </w:rPr>
        <w:t>排放因子（</w:t>
      </w:r>
      <w:r>
        <w:rPr>
          <w:rFonts w:hint="eastAsia" w:ascii="Times New Roman" w:hAnsi="Times New Roman" w:eastAsia="宋体"/>
          <w:sz w:val="28"/>
          <w:szCs w:val="28"/>
        </w:rPr>
        <w:t>kgCO</w:t>
      </w:r>
      <w:r>
        <w:rPr>
          <w:rFonts w:hint="eastAsia" w:ascii="Times New Roman" w:hAnsi="Times New Roman" w:eastAsia="宋体"/>
          <w:sz w:val="28"/>
          <w:szCs w:val="28"/>
          <w:vertAlign w:val="subscript"/>
        </w:rPr>
        <w:t>2</w:t>
      </w:r>
      <w:r>
        <w:rPr>
          <w:rFonts w:hint="eastAsia" w:ascii="宋体" w:hAnsi="宋体" w:eastAsia="宋体"/>
          <w:sz w:val="28"/>
          <w:szCs w:val="28"/>
        </w:rPr>
        <w:t>/</w:t>
      </w:r>
      <w:r>
        <w:rPr>
          <w:rFonts w:hint="eastAsia" w:ascii="Times New Roman" w:hAnsi="Times New Roman" w:eastAsia="宋体"/>
          <w:sz w:val="28"/>
          <w:szCs w:val="28"/>
        </w:rPr>
        <w:t>MJ</w:t>
      </w:r>
      <w:r>
        <w:rPr>
          <w:rFonts w:hint="eastAsia" w:ascii="宋体" w:hAnsi="宋体" w:eastAsia="宋体"/>
          <w:sz w:val="28"/>
          <w:szCs w:val="28"/>
        </w:rPr>
        <w:t>）</w:t>
      </w:r>
    </w:p>
    <w:p w14:paraId="7239A7B2">
      <w:pPr>
        <w:tabs>
          <w:tab w:val="left" w:pos="1276"/>
        </w:tabs>
        <w:autoSpaceDE w:val="0"/>
        <w:autoSpaceDN w:val="0"/>
        <w:snapToGrid w:val="0"/>
        <w:spacing w:line="360" w:lineRule="auto"/>
        <w:ind w:left="1275" w:hanging="1699" w:hangingChars="607"/>
        <w:rPr>
          <w:rFonts w:hint="eastAsia" w:ascii="宋体" w:hAnsi="宋体" w:eastAsia="宋体"/>
          <w:sz w:val="28"/>
          <w:szCs w:val="28"/>
        </w:rPr>
      </w:pPr>
      <w:r>
        <w:rPr>
          <w:rFonts w:ascii="宋体" w:hAnsi="宋体" w:eastAsia="宋体"/>
          <w:position w:val="-4"/>
          <w:sz w:val="28"/>
          <w:szCs w:val="28"/>
        </w:rPr>
        <w:object>
          <v:shape id="_x0000_i1031" o:spt="75" type="#_x0000_t75" style="height:13.5pt;width:15.75pt;" o:ole="t" filled="f" o:preferrelative="t" stroked="f" coordsize="21600,21600">
            <v:path/>
            <v:fill on="f" focussize="0,0"/>
            <v:stroke on="f" joinstyle="miter"/>
            <v:imagedata r:id="rId20" o:title=""/>
            <o:lock v:ext="edit" aspectratio="t"/>
            <w10:wrap type="none"/>
            <w10:anchorlock/>
          </v:shape>
          <o:OLEObject Type="Embed" ProgID="Equation.DSMT4" ShapeID="_x0000_i1031" DrawAspect="Content" ObjectID="_1468075731" r:id="rId19">
            <o:LockedField>false</o:LockedField>
          </o:OLEObject>
        </w:object>
      </w:r>
      <w:r>
        <w:rPr>
          <w:rFonts w:ascii="宋体" w:hAnsi="宋体" w:eastAsia="宋体"/>
          <w:sz w:val="28"/>
          <w:szCs w:val="28"/>
        </w:rPr>
        <w:tab/>
      </w:r>
      <w:r>
        <w:rPr>
          <w:rFonts w:hint="eastAsia" w:ascii="宋体" w:hAnsi="宋体" w:eastAsia="宋体"/>
          <w:sz w:val="28"/>
          <w:szCs w:val="28"/>
        </w:rPr>
        <w:t>基准线车辆的技术进步因子，技术进步率与日历年对应，所有基准线车辆的技术进步因子默认值为</w:t>
      </w:r>
      <w:r>
        <w:rPr>
          <w:rFonts w:hint="eastAsia" w:ascii="Times New Roman" w:hAnsi="Times New Roman" w:eastAsia="宋体"/>
          <w:sz w:val="28"/>
          <w:szCs w:val="28"/>
        </w:rPr>
        <w:t>0</w:t>
      </w:r>
      <w:r>
        <w:rPr>
          <w:rFonts w:hint="eastAsia" w:ascii="宋体" w:hAnsi="宋体" w:eastAsia="宋体"/>
          <w:sz w:val="28"/>
          <w:szCs w:val="28"/>
        </w:rPr>
        <w:t>.</w:t>
      </w:r>
      <w:r>
        <w:rPr>
          <w:rFonts w:hint="eastAsia" w:ascii="Times New Roman" w:hAnsi="Times New Roman" w:eastAsia="宋体"/>
          <w:sz w:val="28"/>
          <w:szCs w:val="28"/>
        </w:rPr>
        <w:t>99</w:t>
      </w:r>
    </w:p>
    <w:p w14:paraId="28E354B9">
      <w:pPr>
        <w:tabs>
          <w:tab w:val="left" w:pos="1269"/>
          <w:tab w:val="left" w:pos="1270"/>
        </w:tabs>
        <w:autoSpaceDE w:val="0"/>
        <w:autoSpaceDN w:val="0"/>
        <w:snapToGrid w:val="0"/>
        <w:spacing w:line="360" w:lineRule="auto"/>
        <w:rPr>
          <w:rFonts w:hint="eastAsia" w:ascii="宋体" w:hAnsi="宋体" w:eastAsia="宋体"/>
          <w:sz w:val="28"/>
          <w:szCs w:val="28"/>
        </w:rPr>
      </w:pPr>
      <w:r>
        <w:rPr>
          <w:rFonts w:ascii="宋体" w:hAnsi="宋体" w:eastAsia="宋体"/>
          <w:position w:val="-10"/>
          <w:sz w:val="28"/>
          <w:szCs w:val="28"/>
        </w:rPr>
        <w:object>
          <v:shape id="_x0000_i1032" o:spt="75" type="#_x0000_t75" style="height:13.5pt;width:10.5pt;" o:ole="t" filled="f" o:preferrelative="t" stroked="f" coordsize="21600,21600">
            <v:path/>
            <v:fill on="f" focussize="0,0"/>
            <v:stroke on="f" joinstyle="miter"/>
            <v:imagedata r:id="rId22" o:title=""/>
            <o:lock v:ext="edit" aspectratio="t"/>
            <w10:wrap type="none"/>
            <w10:anchorlock/>
          </v:shape>
          <o:OLEObject Type="Embed" ProgID="Equation.DSMT4" ShapeID="_x0000_i1032" DrawAspect="Content" ObjectID="_1468075732" r:id="rId21">
            <o:LockedField>false</o:LockedField>
          </o:OLEObject>
        </w:object>
      </w:r>
      <w:r>
        <w:rPr>
          <w:rFonts w:ascii="宋体" w:hAnsi="宋体" w:eastAsia="宋体"/>
          <w:sz w:val="28"/>
          <w:szCs w:val="28"/>
        </w:rPr>
        <w:tab/>
      </w:r>
      <w:r>
        <w:rPr>
          <w:rFonts w:hint="eastAsia" w:ascii="宋体" w:hAnsi="宋体" w:eastAsia="宋体"/>
          <w:sz w:val="28"/>
          <w:szCs w:val="28"/>
        </w:rPr>
        <w:t xml:space="preserve">项目活动开始后的第 </w:t>
      </w:r>
      <w:r>
        <w:rPr>
          <w:rFonts w:hint="eastAsia" w:ascii="Times New Roman" w:hAnsi="Times New Roman" w:eastAsia="宋体"/>
          <w:i/>
          <w:iCs/>
          <w:sz w:val="28"/>
          <w:szCs w:val="28"/>
        </w:rPr>
        <w:t xml:space="preserve">y </w:t>
      </w:r>
      <w:r>
        <w:rPr>
          <w:rFonts w:hint="eastAsia" w:ascii="宋体" w:hAnsi="宋体" w:eastAsia="宋体"/>
          <w:sz w:val="28"/>
          <w:szCs w:val="28"/>
        </w:rPr>
        <w:t>年</w:t>
      </w:r>
    </w:p>
    <w:p w14:paraId="154AF0A5">
      <w:pPr>
        <w:tabs>
          <w:tab w:val="left" w:pos="1269"/>
          <w:tab w:val="left" w:pos="1270"/>
        </w:tabs>
        <w:autoSpaceDE w:val="0"/>
        <w:autoSpaceDN w:val="0"/>
        <w:snapToGrid w:val="0"/>
        <w:spacing w:line="360" w:lineRule="auto"/>
        <w:rPr>
          <w:rFonts w:hint="eastAsia" w:ascii="宋体" w:hAnsi="宋体" w:eastAsia="宋体"/>
          <w:sz w:val="28"/>
          <w:szCs w:val="28"/>
          <w:highlight w:val="yellow"/>
        </w:rPr>
      </w:pPr>
      <w:r>
        <w:rPr>
          <w:rFonts w:ascii="宋体" w:hAnsi="宋体" w:eastAsia="宋体"/>
          <w:position w:val="-12"/>
          <w:sz w:val="28"/>
          <w:szCs w:val="28"/>
        </w:rPr>
        <w:object>
          <v:shape id="_x0000_i1033" o:spt="75" type="#_x0000_t75" style="height:18pt;width:12pt;" o:ole="t" filled="f" o:preferrelative="t" stroked="f" coordsize="21600,21600">
            <v:path/>
            <v:fill on="f" focussize="0,0"/>
            <v:stroke on="f" joinstyle="miter"/>
            <v:imagedata r:id="rId24" o:title=""/>
            <o:lock v:ext="edit" aspectratio="t"/>
            <w10:wrap type="none"/>
            <w10:anchorlock/>
          </v:shape>
          <o:OLEObject Type="Embed" ProgID="Equation.DSMT4" ShapeID="_x0000_i1033" DrawAspect="Content" ObjectID="_1468075733" r:id="rId23">
            <o:LockedField>false</o:LockedField>
          </o:OLEObject>
        </w:object>
      </w:r>
      <w:r>
        <w:rPr>
          <w:rFonts w:ascii="宋体" w:hAnsi="宋体" w:eastAsia="宋体"/>
          <w:sz w:val="28"/>
          <w:szCs w:val="28"/>
        </w:rPr>
        <w:tab/>
      </w:r>
      <w:r>
        <w:rPr>
          <w:rFonts w:hint="eastAsia" w:ascii="宋体" w:hAnsi="宋体" w:eastAsia="宋体"/>
          <w:sz w:val="28"/>
          <w:szCs w:val="28"/>
        </w:rPr>
        <w:t xml:space="preserve">车辆车型为 </w:t>
      </w:r>
      <w:r>
        <w:rPr>
          <w:rFonts w:hint="eastAsia" w:ascii="宋体" w:hAnsi="宋体" w:eastAsia="宋体"/>
          <w:i/>
          <w:iCs/>
          <w:sz w:val="28"/>
          <w:szCs w:val="28"/>
        </w:rPr>
        <w:t>i</w:t>
      </w:r>
      <w:r>
        <w:rPr>
          <w:rFonts w:hint="eastAsia" w:ascii="宋体" w:hAnsi="宋体" w:eastAsia="宋体"/>
          <w:sz w:val="28"/>
          <w:szCs w:val="28"/>
        </w:rPr>
        <w:t xml:space="preserve"> 的基准线</w:t>
      </w:r>
      <w:r>
        <w:rPr>
          <w:rFonts w:hint="eastAsia" w:ascii="宋体" w:hAnsi="宋体" w:eastAsia="宋体"/>
          <w:sz w:val="28"/>
          <w:szCs w:val="28"/>
          <w:lang w:val="en-US" w:eastAsia="zh-CN"/>
        </w:rPr>
        <w:t>公交</w:t>
      </w:r>
      <w:r>
        <w:rPr>
          <w:rFonts w:hint="eastAsia" w:ascii="宋体" w:hAnsi="宋体" w:eastAsia="宋体"/>
          <w:sz w:val="28"/>
          <w:szCs w:val="28"/>
        </w:rPr>
        <w:t xml:space="preserve">车辆和项目车辆单位里程能源消耗比（kg化石燃料/kWh），其计算方法如下： </w:t>
      </w:r>
    </w:p>
    <w:p w14:paraId="76FEA44F">
      <w:pPr>
        <w:tabs>
          <w:tab w:val="left" w:pos="1269"/>
          <w:tab w:val="left" w:pos="1270"/>
        </w:tabs>
        <w:autoSpaceDE w:val="0"/>
        <w:autoSpaceDN w:val="0"/>
        <w:snapToGrid w:val="0"/>
        <w:spacing w:line="360" w:lineRule="auto"/>
        <w:jc w:val="right"/>
        <w:rPr>
          <w:rFonts w:hint="eastAsia" w:ascii="宋体" w:hAnsi="宋体" w:eastAsia="宋体"/>
          <w:sz w:val="28"/>
          <w:szCs w:val="28"/>
        </w:rPr>
      </w:pPr>
      <w:r>
        <w:rPr>
          <w:rFonts w:ascii="宋体" w:hAnsi="宋体" w:eastAsia="宋体"/>
          <w:position w:val="-32"/>
          <w:sz w:val="28"/>
          <w:szCs w:val="28"/>
        </w:rPr>
        <w:object>
          <v:shape id="_x0000_i1034" o:spt="75" type="#_x0000_t75" style="height:37.5pt;width:66pt;" o:ole="t" filled="f" o:preferrelative="t" stroked="f" coordsize="21600,21600">
            <v:path/>
            <v:fill on="f" focussize="0,0"/>
            <v:stroke on="f" joinstyle="miter"/>
            <v:imagedata r:id="rId26" o:title=""/>
            <o:lock v:ext="edit" aspectratio="t"/>
            <w10:wrap type="none"/>
            <w10:anchorlock/>
          </v:shape>
          <o:OLEObject Type="Embed" ProgID="Equation.DSMT4" ShapeID="_x0000_i1034" DrawAspect="Content" ObjectID="_1468075734" r:id="rId25">
            <o:LockedField>false</o:LockedField>
          </o:OLEObject>
        </w:object>
      </w:r>
      <w:r>
        <w:rPr>
          <w:rFonts w:ascii="宋体" w:hAnsi="宋体" w:eastAsia="宋体"/>
          <w:sz w:val="28"/>
          <w:szCs w:val="28"/>
        </w:rPr>
        <w:tab/>
      </w:r>
      <w:r>
        <w:rPr>
          <w:rFonts w:ascii="宋体" w:hAnsi="宋体" w:eastAsia="宋体"/>
          <w:sz w:val="28"/>
          <w:szCs w:val="28"/>
        </w:rPr>
        <w:tab/>
      </w:r>
      <w:r>
        <w:rPr>
          <w:rFonts w:ascii="宋体" w:hAnsi="宋体" w:eastAsia="宋体"/>
          <w:sz w:val="28"/>
          <w:szCs w:val="28"/>
        </w:rPr>
        <w:tab/>
      </w:r>
      <w:r>
        <w:rPr>
          <w:rFonts w:ascii="宋体" w:hAnsi="宋体" w:eastAsia="宋体"/>
          <w:sz w:val="28"/>
          <w:szCs w:val="28"/>
        </w:rPr>
        <w:tab/>
      </w:r>
      <w:r>
        <w:rPr>
          <w:rFonts w:ascii="宋体" w:hAnsi="宋体" w:eastAsia="宋体"/>
          <w:sz w:val="28"/>
          <w:szCs w:val="28"/>
        </w:rPr>
        <w:tab/>
      </w:r>
      <w:r>
        <w:rPr>
          <w:rFonts w:ascii="宋体" w:hAnsi="宋体" w:eastAsia="宋体"/>
          <w:sz w:val="28"/>
          <w:szCs w:val="28"/>
        </w:rPr>
        <w:tab/>
      </w:r>
      <w:r>
        <w:rPr>
          <w:rFonts w:ascii="宋体" w:hAnsi="宋体" w:eastAsia="宋体"/>
          <w:sz w:val="28"/>
          <w:szCs w:val="28"/>
        </w:rPr>
        <w:tab/>
      </w:r>
      <w:r>
        <w:rPr>
          <w:rFonts w:ascii="宋体" w:hAnsi="宋体" w:eastAsia="宋体"/>
          <w:sz w:val="28"/>
          <w:szCs w:val="28"/>
        </w:rPr>
        <w:tab/>
      </w:r>
      <w:r>
        <w:rPr>
          <w:rFonts w:hint="eastAsia" w:ascii="宋体" w:hAnsi="宋体" w:eastAsia="宋体"/>
          <w:sz w:val="28"/>
          <w:szCs w:val="28"/>
          <w:lang w:eastAsia="zh-CN"/>
        </w:rPr>
        <w:t>(</w:t>
      </w:r>
      <w:r>
        <w:rPr>
          <w:rFonts w:hint="eastAsia" w:ascii="Times New Roman" w:hAnsi="Times New Roman" w:eastAsia="宋体"/>
          <w:sz w:val="28"/>
          <w:szCs w:val="28"/>
        </w:rPr>
        <w:t>2</w:t>
      </w:r>
      <w:r>
        <w:rPr>
          <w:rFonts w:hint="eastAsia" w:ascii="Times New Roman" w:hAnsi="Times New Roman" w:eastAsia="宋体"/>
          <w:sz w:val="28"/>
          <w:szCs w:val="28"/>
          <w:lang w:eastAsia="zh-CN"/>
        </w:rPr>
        <w:t>)</w:t>
      </w:r>
    </w:p>
    <w:p w14:paraId="21F257A6">
      <w:pPr>
        <w:tabs>
          <w:tab w:val="left" w:pos="1269"/>
          <w:tab w:val="left" w:pos="1270"/>
        </w:tabs>
        <w:autoSpaceDE w:val="0"/>
        <w:autoSpaceDN w:val="0"/>
        <w:snapToGrid w:val="0"/>
        <w:spacing w:line="360" w:lineRule="auto"/>
        <w:ind w:firstLine="560" w:firstLineChars="200"/>
        <w:jc w:val="left"/>
        <w:rPr>
          <w:rFonts w:hint="eastAsia" w:ascii="宋体" w:hAnsi="宋体" w:eastAsia="宋体"/>
          <w:sz w:val="28"/>
          <w:szCs w:val="28"/>
        </w:rPr>
      </w:pPr>
      <w:r>
        <w:rPr>
          <w:rFonts w:hint="eastAsia" w:ascii="宋体" w:hAnsi="宋体" w:eastAsia="宋体"/>
          <w:sz w:val="28"/>
          <w:szCs w:val="28"/>
        </w:rPr>
        <w:t>其中：</w:t>
      </w:r>
    </w:p>
    <w:p w14:paraId="691932F9">
      <w:pPr>
        <w:tabs>
          <w:tab w:val="left" w:pos="1269"/>
          <w:tab w:val="left" w:pos="1270"/>
        </w:tabs>
        <w:autoSpaceDE w:val="0"/>
        <w:autoSpaceDN w:val="0"/>
        <w:snapToGrid w:val="0"/>
        <w:spacing w:line="360" w:lineRule="auto"/>
        <w:rPr>
          <w:rFonts w:hint="eastAsia" w:ascii="宋体" w:hAnsi="宋体" w:eastAsia="宋体"/>
          <w:sz w:val="28"/>
          <w:szCs w:val="28"/>
        </w:rPr>
      </w:pPr>
      <w:r>
        <w:rPr>
          <w:rFonts w:ascii="宋体" w:hAnsi="宋体" w:eastAsia="宋体"/>
          <w:position w:val="-14"/>
          <w:sz w:val="28"/>
          <w:szCs w:val="28"/>
        </w:rPr>
        <w:object>
          <v:shape id="_x0000_i1035" o:spt="75" type="#_x0000_t75" style="height:19.5pt;width:42pt;" o:ole="t" filled="f" o:preferrelative="t" stroked="f" coordsize="21600,21600">
            <v:path/>
            <v:fill on="f" focussize="0,0"/>
            <v:stroke on="f" joinstyle="miter"/>
            <v:imagedata r:id="rId28" o:title=""/>
            <o:lock v:ext="edit" aspectratio="t"/>
            <w10:wrap type="none"/>
            <w10:anchorlock/>
          </v:shape>
          <o:OLEObject Type="Embed" ProgID="Equation.DSMT4" ShapeID="_x0000_i1035" DrawAspect="Content" ObjectID="_1468075735" r:id="rId27">
            <o:LockedField>false</o:LockedField>
          </o:OLEObject>
        </w:object>
      </w:r>
      <w:r>
        <w:rPr>
          <w:rFonts w:ascii="宋体" w:hAnsi="宋体" w:eastAsia="宋体"/>
          <w:sz w:val="28"/>
          <w:szCs w:val="28"/>
        </w:rPr>
        <w:tab/>
      </w:r>
      <w:r>
        <w:rPr>
          <w:rFonts w:hint="eastAsia" w:ascii="宋体" w:hAnsi="宋体" w:eastAsia="宋体"/>
          <w:color w:val="auto"/>
          <w:sz w:val="28"/>
          <w:szCs w:val="28"/>
        </w:rPr>
        <w:t>车辆车型为</w:t>
      </w:r>
      <w:r>
        <w:rPr>
          <w:rFonts w:hint="eastAsia" w:ascii="宋体" w:hAnsi="宋体" w:eastAsia="宋体"/>
          <w:sz w:val="28"/>
          <w:szCs w:val="28"/>
        </w:rPr>
        <w:t xml:space="preserve"> </w:t>
      </w:r>
      <w:r>
        <w:rPr>
          <w:rFonts w:hint="eastAsia" w:ascii="Times New Roman" w:hAnsi="Times New Roman" w:eastAsia="宋体"/>
          <w:i/>
          <w:iCs/>
          <w:sz w:val="28"/>
          <w:szCs w:val="28"/>
        </w:rPr>
        <w:t xml:space="preserve">i </w:t>
      </w:r>
      <w:r>
        <w:rPr>
          <w:rFonts w:hint="eastAsia" w:ascii="宋体" w:hAnsi="宋体" w:eastAsia="宋体"/>
          <w:sz w:val="28"/>
          <w:szCs w:val="28"/>
        </w:rPr>
        <w:t>的基准线</w:t>
      </w:r>
      <w:r>
        <w:rPr>
          <w:rFonts w:hint="eastAsia" w:ascii="宋体" w:hAnsi="宋体" w:eastAsia="宋体"/>
          <w:sz w:val="28"/>
          <w:szCs w:val="28"/>
          <w:lang w:val="en-US" w:eastAsia="zh-CN"/>
        </w:rPr>
        <w:t>公交</w:t>
      </w:r>
      <w:r>
        <w:rPr>
          <w:rFonts w:hint="eastAsia" w:ascii="宋体" w:hAnsi="宋体" w:eastAsia="宋体"/>
          <w:sz w:val="28"/>
          <w:szCs w:val="28"/>
        </w:rPr>
        <w:t>车辆的单位里程油耗值（</w:t>
      </w:r>
      <w:r>
        <w:rPr>
          <w:rFonts w:hint="eastAsia" w:ascii="Times New Roman" w:hAnsi="Times New Roman" w:eastAsia="宋体"/>
          <w:sz w:val="28"/>
          <w:szCs w:val="28"/>
        </w:rPr>
        <w:t>kg</w:t>
      </w:r>
      <w:r>
        <w:rPr>
          <w:rFonts w:hint="eastAsia" w:ascii="宋体" w:hAnsi="宋体" w:eastAsia="宋体"/>
          <w:sz w:val="28"/>
          <w:szCs w:val="28"/>
        </w:rPr>
        <w:t>/</w:t>
      </w:r>
      <w:r>
        <w:rPr>
          <w:rFonts w:hint="eastAsia" w:ascii="Times New Roman" w:hAnsi="Times New Roman" w:eastAsia="宋体"/>
          <w:sz w:val="28"/>
          <w:szCs w:val="28"/>
        </w:rPr>
        <w:t>km</w:t>
      </w:r>
      <w:r>
        <w:rPr>
          <w:rFonts w:hint="eastAsia" w:ascii="宋体" w:hAnsi="宋体" w:eastAsia="宋体"/>
          <w:sz w:val="28"/>
          <w:szCs w:val="28"/>
        </w:rPr>
        <w:t>）</w:t>
      </w:r>
    </w:p>
    <w:p w14:paraId="06C57917">
      <w:pPr>
        <w:tabs>
          <w:tab w:val="left" w:pos="1269"/>
          <w:tab w:val="left" w:pos="1270"/>
        </w:tabs>
        <w:autoSpaceDE w:val="0"/>
        <w:autoSpaceDN w:val="0"/>
        <w:snapToGrid w:val="0"/>
        <w:spacing w:line="360" w:lineRule="auto"/>
        <w:rPr>
          <w:rFonts w:hint="eastAsia" w:ascii="宋体" w:hAnsi="宋体" w:eastAsia="宋体"/>
          <w:sz w:val="28"/>
          <w:szCs w:val="28"/>
        </w:rPr>
      </w:pPr>
      <w:r>
        <w:rPr>
          <w:rFonts w:ascii="宋体" w:hAnsi="宋体" w:eastAsia="宋体"/>
          <w:position w:val="-14"/>
          <w:sz w:val="28"/>
          <w:szCs w:val="28"/>
        </w:rPr>
        <w:object>
          <v:shape id="_x0000_i1036" o:spt="75" type="#_x0000_t75" style="height:19.5pt;width:40.5pt;" o:ole="t" filled="f" o:preferrelative="t" stroked="f" coordsize="21600,21600">
            <v:path/>
            <v:fill on="f" focussize="0,0"/>
            <v:stroke on="f" joinstyle="miter"/>
            <v:imagedata r:id="rId30" o:title=""/>
            <o:lock v:ext="edit" aspectratio="t"/>
            <w10:wrap type="none"/>
            <w10:anchorlock/>
          </v:shape>
          <o:OLEObject Type="Embed" ProgID="Equation.DSMT4" ShapeID="_x0000_i1036" DrawAspect="Content" ObjectID="_1468075736" r:id="rId29">
            <o:LockedField>false</o:LockedField>
          </o:OLEObject>
        </w:object>
      </w:r>
      <w:r>
        <w:rPr>
          <w:rFonts w:ascii="宋体" w:hAnsi="宋体" w:eastAsia="宋体"/>
          <w:sz w:val="28"/>
          <w:szCs w:val="28"/>
        </w:rPr>
        <w:tab/>
      </w:r>
      <w:r>
        <w:rPr>
          <w:rFonts w:hint="eastAsia" w:ascii="宋体" w:hAnsi="宋体" w:eastAsia="宋体"/>
          <w:color w:val="auto"/>
          <w:sz w:val="28"/>
          <w:szCs w:val="28"/>
        </w:rPr>
        <w:t>车辆车型</w:t>
      </w:r>
      <w:r>
        <w:rPr>
          <w:rFonts w:hint="eastAsia" w:ascii="宋体" w:hAnsi="宋体" w:eastAsia="宋体"/>
          <w:sz w:val="28"/>
          <w:szCs w:val="28"/>
        </w:rPr>
        <w:t xml:space="preserve">为 </w:t>
      </w:r>
      <w:r>
        <w:rPr>
          <w:rFonts w:hint="eastAsia" w:ascii="Times New Roman" w:hAnsi="Times New Roman" w:eastAsia="宋体"/>
          <w:i/>
          <w:iCs/>
          <w:sz w:val="28"/>
          <w:szCs w:val="28"/>
        </w:rPr>
        <w:t xml:space="preserve">i </w:t>
      </w:r>
      <w:r>
        <w:rPr>
          <w:rFonts w:hint="eastAsia" w:ascii="宋体" w:hAnsi="宋体" w:eastAsia="宋体"/>
          <w:sz w:val="28"/>
          <w:szCs w:val="28"/>
        </w:rPr>
        <w:t>的项目</w:t>
      </w:r>
      <w:r>
        <w:rPr>
          <w:rFonts w:hint="eastAsia" w:ascii="宋体" w:hAnsi="宋体" w:eastAsia="宋体"/>
          <w:sz w:val="28"/>
          <w:szCs w:val="28"/>
          <w:lang w:val="en-US" w:eastAsia="zh-CN"/>
        </w:rPr>
        <w:t>公交</w:t>
      </w:r>
      <w:r>
        <w:rPr>
          <w:rFonts w:hint="eastAsia" w:ascii="宋体" w:hAnsi="宋体" w:eastAsia="宋体"/>
          <w:sz w:val="28"/>
          <w:szCs w:val="28"/>
        </w:rPr>
        <w:t>车辆的单位里程电力消耗（</w:t>
      </w:r>
      <w:r>
        <w:rPr>
          <w:rFonts w:hint="eastAsia" w:ascii="Times New Roman" w:hAnsi="Times New Roman" w:eastAsia="宋体"/>
          <w:sz w:val="28"/>
          <w:szCs w:val="28"/>
        </w:rPr>
        <w:t>kWh</w:t>
      </w:r>
      <w:r>
        <w:rPr>
          <w:rFonts w:hint="eastAsia" w:ascii="宋体" w:hAnsi="宋体" w:eastAsia="宋体"/>
          <w:sz w:val="28"/>
          <w:szCs w:val="28"/>
        </w:rPr>
        <w:t>/</w:t>
      </w:r>
      <w:r>
        <w:rPr>
          <w:rFonts w:hint="eastAsia" w:ascii="Times New Roman" w:hAnsi="Times New Roman" w:eastAsia="宋体"/>
          <w:sz w:val="28"/>
          <w:szCs w:val="28"/>
        </w:rPr>
        <w:t>km</w:t>
      </w:r>
      <w:r>
        <w:rPr>
          <w:rFonts w:hint="eastAsia" w:ascii="宋体" w:hAnsi="宋体" w:eastAsia="宋体"/>
          <w:sz w:val="28"/>
          <w:szCs w:val="28"/>
        </w:rPr>
        <w:t>）</w:t>
      </w:r>
    </w:p>
    <w:p w14:paraId="37C0F0DD">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bookmarkStart w:id="22" w:name="_Toc170134110"/>
      <w:r>
        <w:rPr>
          <w:rFonts w:hint="eastAsia" w:cs="宋体"/>
          <w:b w:val="0"/>
          <w:bCs/>
          <w:spacing w:val="-5"/>
          <w:sz w:val="28"/>
          <w:szCs w:val="28"/>
          <w:lang w:val="en-US" w:eastAsia="zh-CN"/>
        </w:rPr>
        <w:t>7.4 减排项目排放</w:t>
      </w:r>
      <w:bookmarkEnd w:id="22"/>
      <w:r>
        <w:rPr>
          <w:rFonts w:hint="eastAsia" w:cs="宋体"/>
          <w:b w:val="0"/>
          <w:bCs/>
          <w:spacing w:val="-5"/>
          <w:sz w:val="28"/>
          <w:szCs w:val="28"/>
          <w:lang w:val="en-US" w:eastAsia="zh-CN"/>
        </w:rPr>
        <w:t>计算</w:t>
      </w:r>
    </w:p>
    <w:p w14:paraId="7FE514A4">
      <w:pPr>
        <w:tabs>
          <w:tab w:val="left" w:pos="1269"/>
          <w:tab w:val="left" w:pos="1270"/>
        </w:tabs>
        <w:autoSpaceDE w:val="0"/>
        <w:autoSpaceDN w:val="0"/>
        <w:snapToGrid w:val="0"/>
        <w:spacing w:line="360" w:lineRule="auto"/>
        <w:ind w:firstLine="560" w:firstLineChars="200"/>
        <w:jc w:val="both"/>
        <w:rPr>
          <w:rFonts w:ascii="Times New Roman" w:hAnsi="Times New Roman" w:eastAsia="宋体" w:cs="Times New Roman"/>
          <w:kern w:val="0"/>
          <w:sz w:val="28"/>
          <w:szCs w:val="28"/>
        </w:rPr>
      </w:pPr>
      <w:r>
        <w:rPr>
          <w:rFonts w:hint="eastAsia" w:ascii="Times New Roman" w:hAnsi="Times New Roman" w:eastAsia="宋体" w:cs="Times New Roman"/>
          <w:kern w:val="0"/>
          <w:sz w:val="28"/>
          <w:szCs w:val="28"/>
        </w:rPr>
        <w:t>项目活动由项目车辆消耗的电力引起，计算方式如下：</w:t>
      </w:r>
    </w:p>
    <w:p w14:paraId="1255C6ED">
      <w:pPr>
        <w:tabs>
          <w:tab w:val="left" w:pos="1269"/>
          <w:tab w:val="left" w:pos="1270"/>
        </w:tabs>
        <w:autoSpaceDE w:val="0"/>
        <w:autoSpaceDN w:val="0"/>
        <w:snapToGrid w:val="0"/>
        <w:spacing w:line="360" w:lineRule="auto"/>
        <w:ind w:firstLine="560" w:firstLineChars="200"/>
        <w:jc w:val="right"/>
        <w:rPr>
          <w:rFonts w:ascii="Times New Roman" w:hAnsi="Times New Roman" w:eastAsia="宋体" w:cs="Times New Roman"/>
          <w:kern w:val="0"/>
          <w:sz w:val="28"/>
          <w:szCs w:val="28"/>
        </w:rPr>
      </w:pPr>
      <w:r>
        <w:rPr>
          <w:rFonts w:ascii="Times New Roman" w:hAnsi="Times New Roman" w:eastAsia="宋体" w:cs="Times New Roman"/>
          <w:kern w:val="0"/>
          <w:position w:val="-4"/>
          <w:sz w:val="28"/>
          <w:szCs w:val="28"/>
        </w:rPr>
        <w:object>
          <v:shape id="_x0000_i1037" o:spt="75" type="#_x0000_t75" style="height:14.25pt;width:9pt;" o:ole="t" filled="f" o:preferrelative="t" stroked="f" coordsize="21600,21600">
            <v:path/>
            <v:fill on="f" focussize="0,0"/>
            <v:stroke on="f" joinstyle="miter"/>
            <v:imagedata r:id="rId16" o:title=""/>
            <o:lock v:ext="edit" aspectratio="t"/>
            <w10:wrap type="none"/>
            <w10:anchorlock/>
          </v:shape>
          <o:OLEObject Type="Embed" ProgID="Equation.DSMT4" ShapeID="_x0000_i1037" DrawAspect="Content" ObjectID="_1468075737" r:id="rId31">
            <o:LockedField>false</o:LockedField>
          </o:OLEObject>
        </w:object>
      </w:r>
      <m:oMath>
        <m:r>
          <m:rPr/>
          <w:rPr>
            <w:rFonts w:hint="default" w:ascii="Cambria Math" w:hAnsi="Cambria Math"/>
            <w:sz w:val="28"/>
          </w:rPr>
          <m:t>P</m:t>
        </m:r>
        <m:sSub>
          <m:sSubPr>
            <m:ctrlPr>
              <w:rPr>
                <w:rFonts w:hint="default" w:ascii="Cambria Math" w:hAnsi="Cambria Math"/>
                <w:sz w:val="28"/>
              </w:rPr>
            </m:ctrlPr>
          </m:sSubPr>
          <m:e>
            <m:r>
              <m:rPr/>
              <w:rPr>
                <w:rFonts w:hint="default" w:ascii="Cambria Math" w:hAnsi="Cambria Math"/>
                <w:sz w:val="28"/>
              </w:rPr>
              <m:t>E</m:t>
            </m:r>
            <m:ctrlPr>
              <w:rPr>
                <w:rFonts w:ascii="Cambria Math" w:hAnsi="Cambria Math"/>
                <w:sz w:val="28"/>
              </w:rPr>
            </m:ctrlPr>
          </m:e>
          <m:sub>
            <m:r>
              <m:rPr/>
              <w:rPr>
                <w:rFonts w:hint="default" w:ascii="Cambria Math" w:hAnsi="Cambria Math"/>
                <w:sz w:val="28"/>
              </w:rPr>
              <m:t>t</m:t>
            </m:r>
            <m:ctrlPr>
              <w:rPr>
                <w:rFonts w:ascii="Cambria Math" w:hAnsi="Cambria Math"/>
                <w:sz w:val="28"/>
              </w:rPr>
            </m:ctrlPr>
          </m:sub>
        </m:sSub>
        <m:r>
          <m:rPr/>
          <w:rPr>
            <w:rFonts w:hint="default" w:ascii="Cambria Math" w:hAnsi="Cambria Math"/>
            <w:sz w:val="28"/>
          </w:rPr>
          <m:t>=</m:t>
        </m:r>
        <m:nary>
          <m:naryPr>
            <m:chr m:val="∑"/>
            <m:limLoc m:val="subSup"/>
            <m:supHide m:val="1"/>
            <m:ctrlPr>
              <w:rPr>
                <w:rFonts w:hint="default" w:ascii="Cambria Math" w:hAnsi="Cambria Math"/>
                <w:sz w:val="28"/>
              </w:rPr>
            </m:ctrlPr>
          </m:naryPr>
          <m:sub>
            <m:r>
              <m:rPr/>
              <w:rPr>
                <w:rFonts w:hint="default" w:ascii="Cambria Math" w:hAnsi="Cambria Math"/>
                <w:sz w:val="28"/>
              </w:rPr>
              <m:t>i</m:t>
            </m:r>
            <m:ctrlPr>
              <w:rPr>
                <w:rFonts w:ascii="Cambria Math" w:hAnsi="Cambria Math"/>
                <w:sz w:val="28"/>
              </w:rPr>
            </m:ctrlPr>
          </m:sub>
          <m:sup>
            <m:ctrlPr>
              <w:rPr>
                <w:rFonts w:ascii="Cambria Math" w:hAnsi="Cambria Math"/>
                <w:sz w:val="28"/>
              </w:rPr>
            </m:ctrlPr>
          </m:sup>
          <m:e>
            <m:r>
              <m:rPr/>
              <w:rPr>
                <w:rFonts w:hint="default" w:ascii="Cambria Math" w:hAnsi="Cambria Math"/>
                <w:sz w:val="28"/>
              </w:rPr>
              <m:t>E</m:t>
            </m:r>
            <m:ctrlPr>
              <w:rPr>
                <w:rFonts w:ascii="Cambria Math" w:hAnsi="Cambria Math"/>
                <w:sz w:val="28"/>
              </w:rPr>
            </m:ctrlPr>
          </m:e>
        </m:nary>
        <m:sSub>
          <m:sSubPr>
            <m:ctrlPr>
              <w:rPr>
                <w:rFonts w:hint="default" w:ascii="Cambria Math" w:hAnsi="Cambria Math"/>
                <w:sz w:val="28"/>
              </w:rPr>
            </m:ctrlPr>
          </m:sSubPr>
          <m:e>
            <m:r>
              <m:rPr/>
              <w:rPr>
                <w:rFonts w:hint="default" w:ascii="Cambria Math" w:hAnsi="Cambria Math"/>
                <w:sz w:val="28"/>
              </w:rPr>
              <m:t>F</m:t>
            </m:r>
            <m:ctrlPr>
              <w:rPr>
                <w:rFonts w:ascii="Cambria Math" w:hAnsi="Cambria Math"/>
                <w:sz w:val="28"/>
              </w:rPr>
            </m:ctrlPr>
          </m:e>
          <m:sub>
            <m:r>
              <m:rPr/>
              <w:rPr>
                <w:rFonts w:hint="default" w:ascii="Cambria Math" w:hAnsi="Cambria Math"/>
                <w:sz w:val="28"/>
              </w:rPr>
              <m:t>elec</m:t>
            </m:r>
            <m:ctrlPr>
              <w:rPr>
                <w:rFonts w:ascii="Cambria Math" w:hAnsi="Cambria Math"/>
                <w:sz w:val="28"/>
              </w:rPr>
            </m:ctrlPr>
          </m:sub>
        </m:sSub>
        <m:r>
          <m:rPr/>
          <w:rPr>
            <w:rFonts w:hint="default" w:ascii="Cambria Math" w:hAnsi="Cambria Math"/>
            <w:sz w:val="28"/>
          </w:rPr>
          <m:t>×E</m:t>
        </m:r>
        <m:sSub>
          <m:sSubPr>
            <m:ctrlPr>
              <w:rPr>
                <w:rFonts w:hint="default" w:ascii="Cambria Math" w:hAnsi="Cambria Math"/>
                <w:sz w:val="28"/>
              </w:rPr>
            </m:ctrlPr>
          </m:sSubPr>
          <m:e>
            <m:r>
              <m:rPr/>
              <w:rPr>
                <w:rFonts w:hint="default" w:ascii="Cambria Math" w:hAnsi="Cambria Math"/>
                <w:sz w:val="28"/>
              </w:rPr>
              <m:t>C</m:t>
            </m:r>
            <m:ctrlPr>
              <w:rPr>
                <w:rFonts w:ascii="Cambria Math" w:hAnsi="Cambria Math"/>
                <w:sz w:val="28"/>
              </w:rPr>
            </m:ctrlPr>
          </m:e>
          <m:sub>
            <m:r>
              <m:rPr/>
              <w:rPr>
                <w:rFonts w:hint="default" w:ascii="Cambria Math" w:hAnsi="Cambria Math"/>
                <w:sz w:val="28"/>
                <w:lang w:val="en-US" w:eastAsia="zh-CN"/>
              </w:rPr>
              <m:t>BS</m:t>
            </m:r>
            <m:r>
              <m:rPr/>
              <w:rPr>
                <w:rFonts w:hint="default" w:ascii="Cambria Math" w:hAnsi="Cambria Math"/>
                <w:sz w:val="28"/>
              </w:rPr>
              <m:t>,i,t</m:t>
            </m:r>
            <m:ctrlPr>
              <w:rPr>
                <w:rFonts w:ascii="Cambria Math" w:hAnsi="Cambria Math"/>
                <w:sz w:val="28"/>
              </w:rPr>
            </m:ctrlPr>
          </m:sub>
        </m:sSub>
        <m:r>
          <m:rPr/>
          <w:rPr>
            <w:rFonts w:hint="default" w:ascii="Cambria Math" w:hAnsi="Cambria Math"/>
            <w:sz w:val="28"/>
          </w:rPr>
          <m:t>×</m:t>
        </m:r>
        <m:d>
          <m:dPr>
            <m:ctrlPr>
              <w:rPr>
                <w:rFonts w:hint="default" w:ascii="Cambria Math" w:hAnsi="Cambria Math"/>
                <w:sz w:val="28"/>
              </w:rPr>
            </m:ctrlPr>
          </m:dPr>
          <m:e>
            <m:r>
              <m:rPr/>
              <w:rPr>
                <w:rFonts w:hint="default" w:ascii="Cambria Math" w:hAnsi="Cambria Math"/>
                <w:sz w:val="28"/>
              </w:rPr>
              <m:t>1+TD</m:t>
            </m:r>
            <m:sSub>
              <m:sSubPr>
                <m:ctrlPr>
                  <w:rPr>
                    <w:rFonts w:hint="default" w:ascii="Cambria Math" w:hAnsi="Cambria Math"/>
                    <w:sz w:val="28"/>
                  </w:rPr>
                </m:ctrlPr>
              </m:sSubPr>
              <m:e>
                <m:r>
                  <m:rPr/>
                  <w:rPr>
                    <w:rFonts w:hint="default" w:ascii="Cambria Math" w:hAnsi="Cambria Math"/>
                    <w:sz w:val="28"/>
                  </w:rPr>
                  <m:t>L</m:t>
                </m:r>
                <m:ctrlPr>
                  <w:rPr>
                    <w:rFonts w:ascii="Cambria Math" w:hAnsi="Cambria Math"/>
                    <w:sz w:val="28"/>
                  </w:rPr>
                </m:ctrlPr>
              </m:e>
              <m:sub>
                <m:r>
                  <m:rPr/>
                  <w:rPr>
                    <w:rFonts w:hint="default" w:ascii="Cambria Math" w:hAnsi="Cambria Math"/>
                    <w:sz w:val="28"/>
                  </w:rPr>
                  <m:t>i</m:t>
                </m:r>
                <m:ctrlPr>
                  <w:rPr>
                    <w:rFonts w:ascii="Cambria Math" w:hAnsi="Cambria Math"/>
                    <w:sz w:val="28"/>
                  </w:rPr>
                </m:ctrlPr>
              </m:sub>
            </m:sSub>
            <m:ctrlPr>
              <w:rPr>
                <w:rFonts w:hint="default" w:ascii="Cambria Math" w:hAnsi="Cambria Math"/>
                <w:sz w:val="28"/>
              </w:rPr>
            </m:ctrlPr>
          </m:e>
        </m:d>
      </m:oMath>
      <w:r>
        <w:rPr>
          <w:rFonts w:ascii="Times New Roman" w:hAnsi="Times New Roman" w:eastAsia="宋体" w:cs="Times New Roman"/>
          <w:kern w:val="0"/>
          <w:sz w:val="28"/>
          <w:szCs w:val="28"/>
        </w:rPr>
        <w:tab/>
      </w:r>
      <w:r>
        <w:rPr>
          <w:rFonts w:ascii="Times New Roman" w:hAnsi="Times New Roman" w:eastAsia="宋体" w:cs="Times New Roman"/>
          <w:kern w:val="0"/>
          <w:sz w:val="28"/>
          <w:szCs w:val="28"/>
        </w:rPr>
        <w:tab/>
      </w:r>
      <w:r>
        <w:rPr>
          <w:rFonts w:ascii="Times New Roman" w:hAnsi="Times New Roman" w:eastAsia="宋体" w:cs="Times New Roman"/>
          <w:kern w:val="0"/>
          <w:sz w:val="28"/>
          <w:szCs w:val="28"/>
        </w:rPr>
        <w:tab/>
      </w:r>
      <w:r>
        <w:rPr>
          <w:rFonts w:ascii="Times New Roman" w:hAnsi="Times New Roman" w:eastAsia="宋体" w:cs="Times New Roman"/>
          <w:kern w:val="0"/>
          <w:sz w:val="28"/>
          <w:szCs w:val="28"/>
        </w:rPr>
        <w:tab/>
      </w:r>
      <w:r>
        <w:rPr>
          <w:rFonts w:ascii="Times New Roman" w:hAnsi="Times New Roman" w:eastAsia="宋体" w:cs="Times New Roman"/>
          <w:kern w:val="0"/>
          <w:sz w:val="28"/>
          <w:szCs w:val="28"/>
        </w:rPr>
        <w:tab/>
      </w:r>
      <w:r>
        <w:rPr>
          <w:rFonts w:ascii="Times New Roman" w:hAnsi="Times New Roman" w:eastAsia="宋体" w:cs="Times New Roman"/>
          <w:kern w:val="0"/>
          <w:sz w:val="28"/>
          <w:szCs w:val="28"/>
        </w:rPr>
        <w:tab/>
      </w:r>
      <w:r>
        <w:rPr>
          <w:rFonts w:hint="eastAsia" w:ascii="Times New Roman" w:hAnsi="Times New Roman" w:eastAsia="宋体" w:cs="Times New Roman"/>
          <w:kern w:val="0"/>
          <w:sz w:val="28"/>
          <w:szCs w:val="28"/>
          <w:lang w:eastAsia="zh-CN"/>
        </w:rPr>
        <w:t>(</w:t>
      </w:r>
      <w:r>
        <w:rPr>
          <w:rFonts w:hint="eastAsia" w:ascii="Times New Roman" w:hAnsi="Times New Roman" w:eastAsia="宋体" w:cs="Times New Roman"/>
          <w:kern w:val="0"/>
          <w:sz w:val="28"/>
          <w:szCs w:val="28"/>
        </w:rPr>
        <w:t>3</w:t>
      </w:r>
      <w:r>
        <w:rPr>
          <w:rFonts w:hint="eastAsia" w:ascii="Times New Roman" w:hAnsi="Times New Roman" w:eastAsia="宋体" w:cs="Times New Roman"/>
          <w:kern w:val="0"/>
          <w:sz w:val="28"/>
          <w:szCs w:val="28"/>
          <w:lang w:eastAsia="zh-CN"/>
        </w:rPr>
        <w:t>)</w:t>
      </w:r>
    </w:p>
    <w:p w14:paraId="7FBD2293">
      <w:pPr>
        <w:tabs>
          <w:tab w:val="left" w:pos="1269"/>
          <w:tab w:val="left" w:pos="1270"/>
        </w:tabs>
        <w:autoSpaceDE w:val="0"/>
        <w:autoSpaceDN w:val="0"/>
        <w:snapToGrid w:val="0"/>
        <w:spacing w:line="360" w:lineRule="auto"/>
        <w:ind w:firstLine="560" w:firstLineChars="200"/>
        <w:jc w:val="left"/>
        <w:rPr>
          <w:rFonts w:ascii="Times New Roman" w:hAnsi="Times New Roman" w:eastAsia="宋体" w:cs="Times New Roman"/>
          <w:kern w:val="0"/>
          <w:sz w:val="28"/>
          <w:szCs w:val="28"/>
        </w:rPr>
      </w:pPr>
      <w:r>
        <w:rPr>
          <w:rFonts w:hint="eastAsia" w:ascii="Times New Roman" w:hAnsi="Times New Roman" w:eastAsia="宋体" w:cs="Times New Roman"/>
          <w:kern w:val="0"/>
          <w:sz w:val="28"/>
          <w:szCs w:val="28"/>
        </w:rPr>
        <w:t>其中：</w:t>
      </w:r>
    </w:p>
    <w:p w14:paraId="15E44F40">
      <w:pPr>
        <w:tabs>
          <w:tab w:val="left" w:pos="1269"/>
          <w:tab w:val="left" w:pos="1270"/>
        </w:tabs>
        <w:autoSpaceDE w:val="0"/>
        <w:autoSpaceDN w:val="0"/>
        <w:snapToGrid w:val="0"/>
        <w:spacing w:line="360" w:lineRule="auto"/>
        <w:jc w:val="left"/>
        <w:rPr>
          <w:rFonts w:ascii="Times New Roman" w:hAnsi="Times New Roman" w:eastAsia="宋体" w:cs="Times New Roman"/>
          <w:kern w:val="0"/>
          <w:sz w:val="28"/>
          <w:szCs w:val="28"/>
        </w:rPr>
      </w:pPr>
      <w:r>
        <w:rPr>
          <w:rFonts w:ascii="Times New Roman" w:hAnsi="Times New Roman" w:eastAsia="宋体" w:cs="Times New Roman"/>
          <w:i/>
          <w:iCs/>
          <w:kern w:val="0"/>
          <w:position w:val="-12"/>
          <w:sz w:val="28"/>
          <w:szCs w:val="28"/>
        </w:rPr>
        <w:object>
          <v:shape id="_x0000_i1038" o:spt="75" type="#_x0000_t75" style="height:18pt;width:21pt;" o:ole="t" filled="f" o:preferrelative="t" stroked="f" coordsize="21600,21600">
            <v:path/>
            <v:fill on="f" focussize="0,0"/>
            <v:stroke on="f" joinstyle="miter"/>
            <v:imagedata r:id="rId33" o:title=""/>
            <o:lock v:ext="edit" aspectratio="t"/>
            <w10:wrap type="none"/>
            <w10:anchorlock/>
          </v:shape>
          <o:OLEObject Type="Embed" ProgID="Equation.DSMT4" ShapeID="_x0000_i1038" DrawAspect="Content" ObjectID="_1468075738" r:id="rId32">
            <o:LockedField>false</o:LockedField>
          </o:OLEObject>
        </w:object>
      </w:r>
      <w:r>
        <w:rPr>
          <w:rFonts w:ascii="Times New Roman" w:hAnsi="Times New Roman" w:eastAsia="宋体" w:cs="Times New Roman"/>
          <w:kern w:val="0"/>
          <w:sz w:val="28"/>
          <w:szCs w:val="28"/>
        </w:rPr>
        <w:t xml:space="preserve"> </w:t>
      </w:r>
      <w:r>
        <w:rPr>
          <w:rFonts w:ascii="Times New Roman" w:hAnsi="Times New Roman" w:eastAsia="宋体" w:cs="Times New Roman"/>
          <w:kern w:val="0"/>
          <w:sz w:val="28"/>
          <w:szCs w:val="28"/>
        </w:rPr>
        <w:tab/>
      </w:r>
      <w:r>
        <w:rPr>
          <w:rFonts w:hint="eastAsia" w:ascii="Times New Roman" w:hAnsi="Times New Roman" w:eastAsia="宋体" w:cs="Times New Roman"/>
          <w:i/>
          <w:iCs/>
          <w:kern w:val="0"/>
          <w:sz w:val="28"/>
          <w:szCs w:val="28"/>
        </w:rPr>
        <w:t xml:space="preserve">t </w:t>
      </w:r>
      <w:r>
        <w:rPr>
          <w:rFonts w:hint="eastAsia" w:ascii="Times New Roman" w:hAnsi="Times New Roman" w:eastAsia="宋体" w:cs="Times New Roman"/>
          <w:kern w:val="0"/>
          <w:sz w:val="28"/>
          <w:szCs w:val="28"/>
        </w:rPr>
        <w:t>日</w:t>
      </w:r>
      <w:r>
        <w:rPr>
          <w:rFonts w:ascii="Times New Roman" w:hAnsi="Times New Roman" w:eastAsia="宋体" w:cs="Times New Roman"/>
          <w:kern w:val="0"/>
          <w:sz w:val="28"/>
          <w:szCs w:val="28"/>
        </w:rPr>
        <w:t>项目活动产生的排放</w:t>
      </w:r>
      <w:r>
        <w:rPr>
          <w:rFonts w:hint="eastAsia" w:ascii="Times New Roman" w:hAnsi="Times New Roman" w:eastAsia="宋体" w:cs="Times New Roman"/>
          <w:kern w:val="0"/>
          <w:sz w:val="28"/>
          <w:szCs w:val="28"/>
        </w:rPr>
        <w:t>（kg</w:t>
      </w:r>
      <w:r>
        <w:rPr>
          <w:rFonts w:ascii="Times New Roman" w:hAnsi="Times New Roman" w:eastAsia="宋体" w:cs="Times New Roman"/>
          <w:kern w:val="0"/>
          <w:sz w:val="28"/>
          <w:szCs w:val="28"/>
        </w:rPr>
        <w:t>CO</w:t>
      </w:r>
      <w:r>
        <w:rPr>
          <w:rFonts w:ascii="Times New Roman" w:hAnsi="Times New Roman" w:eastAsia="宋体" w:cs="Times New Roman"/>
          <w:kern w:val="0"/>
          <w:sz w:val="28"/>
          <w:szCs w:val="28"/>
          <w:vertAlign w:val="subscript"/>
        </w:rPr>
        <w:t>2</w:t>
      </w:r>
      <w:r>
        <w:rPr>
          <w:rFonts w:hint="eastAsia" w:ascii="Times New Roman" w:hAnsi="Times New Roman" w:eastAsia="宋体" w:cs="Times New Roman"/>
          <w:kern w:val="0"/>
          <w:sz w:val="28"/>
          <w:szCs w:val="28"/>
        </w:rPr>
        <w:t>）</w:t>
      </w:r>
    </w:p>
    <w:p w14:paraId="72C108D0">
      <w:pPr>
        <w:tabs>
          <w:tab w:val="left" w:pos="1269"/>
          <w:tab w:val="left" w:pos="1270"/>
        </w:tabs>
        <w:autoSpaceDE w:val="0"/>
        <w:autoSpaceDN w:val="0"/>
        <w:snapToGrid w:val="0"/>
        <w:spacing w:line="360" w:lineRule="auto"/>
        <w:jc w:val="left"/>
        <w:rPr>
          <w:rFonts w:ascii="Times New Roman" w:hAnsi="Times New Roman" w:eastAsia="宋体" w:cs="Times New Roman"/>
          <w:kern w:val="0"/>
          <w:sz w:val="28"/>
          <w:szCs w:val="28"/>
        </w:rPr>
      </w:pPr>
      <w:r>
        <w:rPr>
          <w:rFonts w:ascii="Times New Roman" w:hAnsi="Times New Roman" w:eastAsia="宋体" w:cs="Times New Roman"/>
          <w:i/>
          <w:iCs/>
          <w:kern w:val="0"/>
          <w:position w:val="-12"/>
          <w:sz w:val="28"/>
          <w:szCs w:val="28"/>
        </w:rPr>
        <w:object>
          <v:shape id="_x0000_i1039" o:spt="75" type="#_x0000_t75" style="height:18pt;width:28.5pt;" o:ole="t" filled="f" o:preferrelative="t" stroked="f" coordsize="21600,21600">
            <v:path/>
            <v:fill on="f" focussize="0,0"/>
            <v:stroke on="f" joinstyle="miter"/>
            <v:imagedata r:id="rId35" o:title=""/>
            <o:lock v:ext="edit" aspectratio="t"/>
            <w10:wrap type="none"/>
            <w10:anchorlock/>
          </v:shape>
          <o:OLEObject Type="Embed" ProgID="Equation.DSMT4" ShapeID="_x0000_i1039" DrawAspect="Content" ObjectID="_1468075739" r:id="rId34">
            <o:LockedField>false</o:LockedField>
          </o:OLEObject>
        </w:object>
      </w:r>
      <w:r>
        <w:rPr>
          <w:rFonts w:ascii="Times New Roman" w:hAnsi="Times New Roman" w:eastAsia="宋体" w:cs="Times New Roman"/>
          <w:kern w:val="0"/>
          <w:sz w:val="28"/>
          <w:szCs w:val="28"/>
        </w:rPr>
        <w:tab/>
      </w:r>
      <w:r>
        <w:rPr>
          <w:rFonts w:hint="eastAsia" w:ascii="Times New Roman" w:hAnsi="Times New Roman" w:eastAsia="宋体" w:cs="Times New Roman"/>
          <w:kern w:val="0"/>
          <w:sz w:val="28"/>
          <w:szCs w:val="28"/>
          <w:lang w:val="en-US" w:eastAsia="zh-CN"/>
        </w:rPr>
        <w:t>电力二氧化碳</w:t>
      </w:r>
      <w:r>
        <w:rPr>
          <w:rFonts w:hint="eastAsia" w:ascii="Times New Roman" w:hAnsi="Times New Roman" w:eastAsia="宋体" w:cs="Times New Roman"/>
          <w:kern w:val="0"/>
          <w:sz w:val="28"/>
          <w:szCs w:val="28"/>
        </w:rPr>
        <w:t>排放因子（kg</w:t>
      </w:r>
      <w:r>
        <w:rPr>
          <w:rFonts w:ascii="Times New Roman" w:hAnsi="Times New Roman" w:eastAsia="宋体" w:cs="Times New Roman"/>
          <w:kern w:val="0"/>
          <w:sz w:val="28"/>
          <w:szCs w:val="28"/>
        </w:rPr>
        <w:t>CO</w:t>
      </w:r>
      <w:r>
        <w:rPr>
          <w:rFonts w:ascii="Times New Roman" w:hAnsi="Times New Roman" w:eastAsia="宋体" w:cs="Times New Roman"/>
          <w:kern w:val="0"/>
          <w:sz w:val="28"/>
          <w:szCs w:val="28"/>
          <w:vertAlign w:val="subscript"/>
        </w:rPr>
        <w:t>2</w:t>
      </w:r>
      <w:r>
        <w:rPr>
          <w:rFonts w:ascii="Times New Roman" w:hAnsi="Times New Roman" w:eastAsia="宋体" w:cs="Times New Roman"/>
          <w:kern w:val="0"/>
          <w:sz w:val="28"/>
          <w:szCs w:val="28"/>
        </w:rPr>
        <w:t>/</w:t>
      </w:r>
      <w:r>
        <w:rPr>
          <w:rFonts w:hint="eastAsia" w:ascii="Times New Roman" w:hAnsi="Times New Roman" w:eastAsia="宋体" w:cs="Times New Roman"/>
          <w:kern w:val="0"/>
          <w:sz w:val="28"/>
          <w:szCs w:val="28"/>
        </w:rPr>
        <w:t>k</w:t>
      </w:r>
      <w:r>
        <w:rPr>
          <w:rFonts w:ascii="Times New Roman" w:hAnsi="Times New Roman" w:eastAsia="宋体" w:cs="Times New Roman"/>
          <w:kern w:val="0"/>
          <w:sz w:val="28"/>
          <w:szCs w:val="28"/>
        </w:rPr>
        <w:t>Wh</w:t>
      </w:r>
      <w:r>
        <w:rPr>
          <w:rFonts w:hint="eastAsia" w:ascii="Times New Roman" w:hAnsi="Times New Roman" w:eastAsia="宋体" w:cs="Times New Roman"/>
          <w:kern w:val="0"/>
          <w:sz w:val="28"/>
          <w:szCs w:val="28"/>
        </w:rPr>
        <w:t>）</w:t>
      </w:r>
    </w:p>
    <w:p w14:paraId="727C0719">
      <w:pPr>
        <w:tabs>
          <w:tab w:val="left" w:pos="1269"/>
          <w:tab w:val="left" w:pos="1270"/>
        </w:tabs>
        <w:autoSpaceDE w:val="0"/>
        <w:autoSpaceDN w:val="0"/>
        <w:snapToGrid w:val="0"/>
        <w:spacing w:line="360" w:lineRule="auto"/>
        <w:jc w:val="left"/>
        <w:rPr>
          <w:rFonts w:hint="eastAsia" w:ascii="Times New Roman" w:hAnsi="Times New Roman" w:eastAsia="宋体" w:cs="Times New Roman"/>
          <w:kern w:val="0"/>
          <w:sz w:val="28"/>
          <w:szCs w:val="28"/>
        </w:rPr>
      </w:pPr>
      <w:r>
        <w:rPr>
          <w:rFonts w:ascii="Times New Roman" w:hAnsi="Times New Roman" w:eastAsia="宋体" w:cs="Times New Roman"/>
          <w:i/>
          <w:iCs/>
          <w:kern w:val="0"/>
          <w:position w:val="-12"/>
          <w:sz w:val="28"/>
          <w:szCs w:val="28"/>
        </w:rPr>
        <w:object>
          <v:shape id="_x0000_i1040" o:spt="75" type="#_x0000_t75" style="height:18pt;width:27pt;" o:ole="t" filled="f" o:preferrelative="t" stroked="f" coordsize="21600,21600">
            <v:path/>
            <v:fill on="f" focussize="0,0"/>
            <v:stroke on="f" joinstyle="miter"/>
            <v:imagedata r:id="rId37" o:title=""/>
            <o:lock v:ext="edit" aspectratio="t"/>
            <w10:wrap type="none"/>
            <w10:anchorlock/>
          </v:shape>
          <o:OLEObject Type="Embed" ProgID="Equation.DSMT4" ShapeID="_x0000_i1040" DrawAspect="Content" ObjectID="_1468075740" r:id="rId36">
            <o:LockedField>false</o:LockedField>
          </o:OLEObject>
        </w:object>
      </w:r>
      <w:r>
        <w:rPr>
          <w:rFonts w:ascii="Times New Roman" w:hAnsi="Times New Roman" w:eastAsia="宋体" w:cs="Times New Roman"/>
          <w:i/>
          <w:iCs/>
          <w:kern w:val="0"/>
          <w:sz w:val="28"/>
          <w:szCs w:val="28"/>
          <w:vertAlign w:val="subscript"/>
        </w:rPr>
        <w:tab/>
      </w:r>
      <w:r>
        <w:rPr>
          <w:rFonts w:hint="eastAsia" w:ascii="Times New Roman" w:hAnsi="Times New Roman" w:eastAsia="宋体" w:cs="Times New Roman"/>
          <w:kern w:val="0"/>
          <w:sz w:val="28"/>
          <w:szCs w:val="28"/>
        </w:rPr>
        <w:t>电动车辆充电的电力的技术传输与分配的平均损失（%）</w:t>
      </w:r>
    </w:p>
    <w:p w14:paraId="56A496E2">
      <w:pPr>
        <w:tabs>
          <w:tab w:val="left" w:pos="1269"/>
          <w:tab w:val="left" w:pos="1270"/>
        </w:tabs>
        <w:autoSpaceDE w:val="0"/>
        <w:autoSpaceDN w:val="0"/>
        <w:snapToGrid w:val="0"/>
        <w:spacing w:line="360" w:lineRule="auto"/>
        <w:jc w:val="left"/>
        <w:rPr>
          <w:rFonts w:ascii="Times New Roman" w:hAnsi="Times New Roman" w:eastAsia="宋体" w:cs="Times New Roman"/>
          <w:kern w:val="0"/>
          <w:sz w:val="28"/>
          <w:szCs w:val="28"/>
        </w:rPr>
      </w:pPr>
      <m:oMath>
        <m:r>
          <m:rPr/>
          <w:rPr>
            <w:rFonts w:ascii="Cambria Math" w:hAnsi="Cambria Math" w:eastAsia="宋体" w:cs="Times New Roman"/>
            <w:kern w:val="0"/>
            <w:sz w:val="28"/>
            <w:szCs w:val="28"/>
          </w:rPr>
          <m:t>E</m:t>
        </m:r>
        <m:sSub>
          <m:sSubPr>
            <m:ctrlPr>
              <w:rPr>
                <w:rFonts w:ascii="Cambria Math" w:hAnsi="Cambria Math" w:eastAsia="宋体" w:cs="Times New Roman"/>
                <w:kern w:val="0"/>
                <w:sz w:val="28"/>
                <w:szCs w:val="28"/>
              </w:rPr>
            </m:ctrlPr>
          </m:sSubPr>
          <m:e>
            <m:r>
              <m:rPr/>
              <w:rPr>
                <w:rFonts w:ascii="Cambria Math" w:hAnsi="Cambria Math" w:eastAsia="宋体" w:cs="Times New Roman"/>
                <w:kern w:val="0"/>
                <w:sz w:val="28"/>
                <w:szCs w:val="28"/>
              </w:rPr>
              <m:t>C</m:t>
            </m:r>
            <m:ctrlPr>
              <w:rPr>
                <w:rFonts w:ascii="Cambria Math" w:hAnsi="Cambria Math" w:eastAsia="宋体" w:cs="Times New Roman"/>
                <w:kern w:val="0"/>
                <w:sz w:val="28"/>
                <w:szCs w:val="28"/>
              </w:rPr>
            </m:ctrlPr>
          </m:e>
          <m:sub>
            <m:r>
              <m:rPr/>
              <w:rPr>
                <w:rFonts w:hint="default" w:ascii="Cambria Math" w:hAnsi="Cambria Math" w:eastAsia="宋体" w:cs="Times New Roman"/>
                <w:kern w:val="0"/>
                <w:sz w:val="28"/>
                <w:szCs w:val="28"/>
                <w:lang w:val="en-US" w:eastAsia="zh-CN"/>
              </w:rPr>
              <m:t>BS</m:t>
            </m:r>
            <m:r>
              <m:rPr/>
              <w:rPr>
                <w:rFonts w:ascii="Cambria Math" w:hAnsi="Cambria Math" w:eastAsia="宋体" w:cs="Times New Roman"/>
                <w:kern w:val="0"/>
                <w:sz w:val="28"/>
                <w:szCs w:val="28"/>
              </w:rPr>
              <m:t>,i,t</m:t>
            </m:r>
            <m:ctrlPr>
              <w:rPr>
                <w:rFonts w:ascii="Cambria Math" w:hAnsi="Cambria Math" w:eastAsia="宋体" w:cs="Times New Roman"/>
                <w:kern w:val="0"/>
                <w:sz w:val="28"/>
                <w:szCs w:val="28"/>
              </w:rPr>
            </m:ctrlPr>
          </m:sub>
        </m:sSub>
      </m:oMath>
      <w:r>
        <w:rPr>
          <w:rFonts w:ascii="Times New Roman" w:hAnsi="Times New Roman" w:eastAsia="宋体" w:cs="Times New Roman"/>
          <w:kern w:val="0"/>
          <w:sz w:val="28"/>
          <w:szCs w:val="28"/>
        </w:rPr>
        <w:tab/>
      </w:r>
      <w:r>
        <w:rPr>
          <w:rFonts w:hint="eastAsia" w:ascii="Times New Roman" w:hAnsi="Times New Roman" w:eastAsia="宋体" w:cs="Times New Roman"/>
          <w:i/>
          <w:iCs/>
          <w:kern w:val="0"/>
          <w:sz w:val="28"/>
          <w:szCs w:val="28"/>
        </w:rPr>
        <w:t>t</w:t>
      </w:r>
      <w:r>
        <w:rPr>
          <w:rFonts w:ascii="Times New Roman" w:hAnsi="Times New Roman" w:eastAsia="宋体" w:cs="Times New Roman"/>
          <w:kern w:val="0"/>
          <w:sz w:val="28"/>
          <w:szCs w:val="28"/>
        </w:rPr>
        <w:t xml:space="preserve"> </w:t>
      </w:r>
      <w:r>
        <w:rPr>
          <w:rFonts w:hint="eastAsia" w:ascii="Times New Roman" w:hAnsi="Times New Roman" w:eastAsia="宋体" w:cs="Times New Roman"/>
          <w:kern w:val="0"/>
          <w:sz w:val="28"/>
          <w:szCs w:val="28"/>
        </w:rPr>
        <w:t>日</w:t>
      </w:r>
      <w:r>
        <w:rPr>
          <w:rFonts w:ascii="Times New Roman" w:hAnsi="Times New Roman" w:eastAsia="宋体" w:cs="Times New Roman"/>
          <w:kern w:val="0"/>
          <w:sz w:val="28"/>
          <w:szCs w:val="28"/>
        </w:rPr>
        <w:t>充电桩为车型</w:t>
      </w:r>
      <w:r>
        <w:rPr>
          <w:rFonts w:hint="eastAsia" w:ascii="Times New Roman" w:hAnsi="Times New Roman" w:eastAsia="宋体" w:cs="Times New Roman"/>
          <w:kern w:val="0"/>
          <w:sz w:val="28"/>
          <w:szCs w:val="28"/>
        </w:rPr>
        <w:t xml:space="preserve"> </w:t>
      </w:r>
      <w:r>
        <w:rPr>
          <w:rFonts w:ascii="Times New Roman" w:hAnsi="Times New Roman" w:eastAsia="宋体" w:cs="Times New Roman"/>
          <w:i/>
          <w:iCs/>
          <w:kern w:val="0"/>
          <w:sz w:val="28"/>
          <w:szCs w:val="28"/>
        </w:rPr>
        <w:t>i</w:t>
      </w:r>
      <w:r>
        <w:rPr>
          <w:rFonts w:ascii="Times New Roman" w:hAnsi="Times New Roman" w:eastAsia="宋体" w:cs="Times New Roman"/>
          <w:kern w:val="0"/>
          <w:sz w:val="28"/>
          <w:szCs w:val="28"/>
        </w:rPr>
        <w:t xml:space="preserve"> 的项目</w:t>
      </w:r>
      <w:r>
        <w:rPr>
          <w:rFonts w:hint="eastAsia" w:ascii="Times New Roman" w:hAnsi="Times New Roman" w:eastAsia="宋体" w:cs="Times New Roman"/>
          <w:kern w:val="0"/>
          <w:sz w:val="28"/>
          <w:szCs w:val="28"/>
          <w:lang w:val="en-US" w:eastAsia="zh-CN"/>
        </w:rPr>
        <w:t>公交</w:t>
      </w:r>
      <w:r>
        <w:rPr>
          <w:rFonts w:ascii="Times New Roman" w:hAnsi="Times New Roman" w:eastAsia="宋体" w:cs="Times New Roman"/>
          <w:kern w:val="0"/>
          <w:sz w:val="28"/>
          <w:szCs w:val="28"/>
        </w:rPr>
        <w:t>车辆的充电量</w:t>
      </w:r>
      <w:r>
        <w:rPr>
          <w:rFonts w:hint="eastAsia" w:ascii="Times New Roman" w:hAnsi="Times New Roman" w:eastAsia="宋体" w:cs="Times New Roman"/>
          <w:kern w:val="0"/>
          <w:sz w:val="28"/>
          <w:szCs w:val="28"/>
        </w:rPr>
        <w:t>（k</w:t>
      </w:r>
      <w:r>
        <w:rPr>
          <w:rFonts w:ascii="Times New Roman" w:hAnsi="Times New Roman" w:eastAsia="宋体" w:cs="Times New Roman"/>
          <w:kern w:val="0"/>
          <w:sz w:val="28"/>
          <w:szCs w:val="28"/>
        </w:rPr>
        <w:t>Wh</w:t>
      </w:r>
      <w:r>
        <w:rPr>
          <w:rFonts w:hint="eastAsia" w:ascii="Times New Roman" w:hAnsi="Times New Roman" w:eastAsia="宋体" w:cs="Times New Roman"/>
          <w:kern w:val="0"/>
          <w:sz w:val="28"/>
          <w:szCs w:val="28"/>
        </w:rPr>
        <w:t>）</w:t>
      </w:r>
    </w:p>
    <w:p w14:paraId="1B294DE2">
      <w:pPr>
        <w:tabs>
          <w:tab w:val="left" w:pos="1269"/>
          <w:tab w:val="left" w:pos="1270"/>
        </w:tabs>
        <w:autoSpaceDE w:val="0"/>
        <w:autoSpaceDN w:val="0"/>
        <w:snapToGrid w:val="0"/>
        <w:spacing w:line="360" w:lineRule="auto"/>
        <w:jc w:val="left"/>
        <w:rPr>
          <w:rFonts w:ascii="Times New Roman" w:hAnsi="Times New Roman" w:eastAsia="宋体" w:cs="Times New Roman"/>
          <w:kern w:val="0"/>
          <w:sz w:val="28"/>
          <w:szCs w:val="28"/>
        </w:rPr>
      </w:pPr>
      <w:r>
        <w:rPr>
          <w:rFonts w:ascii="Times New Roman" w:hAnsi="Times New Roman" w:eastAsia="宋体" w:cs="Times New Roman"/>
          <w:i/>
          <w:iCs/>
          <w:kern w:val="0"/>
          <w:position w:val="-6"/>
          <w:sz w:val="28"/>
          <w:szCs w:val="28"/>
        </w:rPr>
        <w:object>
          <v:shape id="_x0000_i1041" o:spt="75" type="#_x0000_t75" style="height:13.5pt;width:7.5pt;" o:ole="t" filled="f" o:preferrelative="t" stroked="f" coordsize="21600,21600">
            <v:path/>
            <v:fill on="f" focussize="0,0"/>
            <v:stroke on="f" joinstyle="miter"/>
            <v:imagedata r:id="rId39" o:title=""/>
            <o:lock v:ext="edit" aspectratio="t"/>
            <w10:wrap type="none"/>
            <w10:anchorlock/>
          </v:shape>
          <o:OLEObject Type="Embed" ProgID="Equation.DSMT4" ShapeID="_x0000_i1041" DrawAspect="Content" ObjectID="_1468075741" r:id="rId38">
            <o:LockedField>false</o:LockedField>
          </o:OLEObject>
        </w:object>
      </w:r>
      <w:r>
        <w:rPr>
          <w:rFonts w:ascii="Times New Roman" w:hAnsi="Times New Roman" w:eastAsia="宋体" w:cs="Times New Roman"/>
          <w:kern w:val="0"/>
          <w:sz w:val="28"/>
          <w:szCs w:val="28"/>
        </w:rPr>
        <w:tab/>
      </w:r>
      <w:r>
        <w:rPr>
          <w:rFonts w:ascii="Times New Roman" w:hAnsi="Times New Roman" w:eastAsia="宋体" w:cs="Times New Roman"/>
          <w:kern w:val="0"/>
          <w:sz w:val="28"/>
          <w:szCs w:val="28"/>
        </w:rPr>
        <w:t>车辆车型</w:t>
      </w:r>
    </w:p>
    <w:p w14:paraId="75757E3B">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bookmarkStart w:id="23" w:name="_Toc170134111"/>
      <w:r>
        <w:rPr>
          <w:rFonts w:hint="eastAsia" w:cs="宋体"/>
          <w:b w:val="0"/>
          <w:bCs/>
          <w:spacing w:val="-5"/>
          <w:sz w:val="28"/>
          <w:szCs w:val="28"/>
          <w:lang w:val="en-US" w:eastAsia="zh-CN"/>
        </w:rPr>
        <w:t>7.5 泄漏计算</w:t>
      </w:r>
    </w:p>
    <w:p w14:paraId="52392026">
      <w:pPr>
        <w:tabs>
          <w:tab w:val="left" w:pos="1269"/>
          <w:tab w:val="left" w:pos="1270"/>
        </w:tabs>
        <w:autoSpaceDE w:val="0"/>
        <w:autoSpaceDN w:val="0"/>
        <w:snapToGrid w:val="0"/>
        <w:spacing w:line="360" w:lineRule="auto"/>
        <w:ind w:firstLine="560" w:firstLineChars="200"/>
        <w:jc w:val="left"/>
        <w:rPr>
          <w:rFonts w:hint="eastAsia" w:ascii="宋体" w:hAnsi="宋体" w:eastAsia="宋体" w:cs="宋体"/>
          <w:kern w:val="0"/>
          <w:sz w:val="28"/>
          <w:szCs w:val="28"/>
          <w:lang w:val="en-US" w:eastAsia="zh-CN"/>
        </w:rPr>
      </w:pPr>
      <w:r>
        <w:rPr>
          <w:rFonts w:hint="eastAsia" w:ascii="宋体" w:hAnsi="宋体" w:eastAsia="宋体" w:cs="宋体"/>
          <w:kern w:val="0"/>
          <w:sz w:val="28"/>
          <w:szCs w:val="28"/>
        </w:rPr>
        <w:t>本方法学不考虑泄漏。</w:t>
      </w:r>
    </w:p>
    <w:p w14:paraId="3991C040">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r>
        <w:rPr>
          <w:rFonts w:hint="eastAsia" w:cs="宋体"/>
          <w:b w:val="0"/>
          <w:bCs/>
          <w:spacing w:val="-5"/>
          <w:sz w:val="28"/>
          <w:szCs w:val="28"/>
          <w:lang w:val="en-US" w:eastAsia="zh-CN"/>
        </w:rPr>
        <w:t>7.6 减排量核算</w:t>
      </w:r>
    </w:p>
    <w:p w14:paraId="278939A2">
      <w:pPr>
        <w:tabs>
          <w:tab w:val="left" w:pos="1269"/>
          <w:tab w:val="left" w:pos="1270"/>
        </w:tabs>
        <w:autoSpaceDE w:val="0"/>
        <w:autoSpaceDN w:val="0"/>
        <w:snapToGrid w:val="0"/>
        <w:spacing w:line="360" w:lineRule="auto"/>
        <w:ind w:firstLine="560" w:firstLineChars="200"/>
        <w:jc w:val="both"/>
        <w:rPr>
          <w:rFonts w:hint="eastAsia" w:ascii="Times New Roman" w:hAnsi="Times New Roman" w:eastAsia="宋体" w:cs="Times New Roman"/>
          <w:kern w:val="0"/>
          <w:sz w:val="28"/>
          <w:szCs w:val="28"/>
        </w:rPr>
      </w:pPr>
      <w:r>
        <w:rPr>
          <w:rFonts w:hint="eastAsia" w:ascii="Times New Roman" w:hAnsi="Times New Roman" w:eastAsia="宋体" w:cs="Times New Roman"/>
          <w:kern w:val="0"/>
          <w:sz w:val="28"/>
          <w:szCs w:val="28"/>
        </w:rPr>
        <w:t>根据基准线情景和项目排放计算充电行为碳排放，</w:t>
      </w:r>
      <w:r>
        <w:rPr>
          <w:rFonts w:hint="eastAsia" w:ascii="Times New Roman" w:hAnsi="Times New Roman" w:eastAsia="宋体" w:cs="Times New Roman"/>
          <w:kern w:val="0"/>
          <w:sz w:val="28"/>
          <w:szCs w:val="28"/>
          <w:lang w:eastAsia="zh-CN"/>
        </w:rPr>
        <w:t>减排</w:t>
      </w:r>
      <w:r>
        <w:rPr>
          <w:rFonts w:hint="eastAsia" w:ascii="Times New Roman" w:hAnsi="Times New Roman" w:eastAsia="宋体" w:cs="Times New Roman"/>
          <w:kern w:val="0"/>
          <w:sz w:val="28"/>
          <w:szCs w:val="28"/>
        </w:rPr>
        <w:t>量为：</w:t>
      </w:r>
    </w:p>
    <w:p w14:paraId="5674C248">
      <w:pPr>
        <w:jc w:val="right"/>
        <w:rPr>
          <w:rFonts w:hint="eastAsia" w:ascii="宋体" w:hAnsi="宋体" w:eastAsia="宋体"/>
          <w:sz w:val="28"/>
          <w:szCs w:val="28"/>
        </w:rPr>
      </w:pPr>
      <m:oMath>
        <m:r>
          <m:rPr/>
          <w:rPr>
            <w:rFonts w:hint="default" w:ascii="Cambria Math" w:hAnsi="Cambria Math"/>
            <w:sz w:val="28"/>
          </w:rPr>
          <m:t>E</m:t>
        </m:r>
        <m:sSub>
          <m:sSubPr>
            <m:ctrlPr>
              <w:rPr>
                <w:rFonts w:hint="default" w:ascii="Cambria Math" w:hAnsi="Cambria Math"/>
                <w:sz w:val="28"/>
              </w:rPr>
            </m:ctrlPr>
          </m:sSubPr>
          <m:e>
            <m:r>
              <m:rPr/>
              <w:rPr>
                <w:rFonts w:hint="default" w:ascii="Cambria Math" w:hAnsi="Cambria Math"/>
                <w:sz w:val="28"/>
              </w:rPr>
              <m:t>R</m:t>
            </m:r>
            <m:ctrlPr>
              <w:rPr>
                <w:rFonts w:ascii="Cambria Math" w:hAnsi="Cambria Math"/>
                <w:sz w:val="28"/>
              </w:rPr>
            </m:ctrlPr>
          </m:e>
          <m:sub>
            <m:r>
              <m:rPr/>
              <w:rPr>
                <w:rFonts w:hint="default" w:ascii="Cambria Math" w:hAnsi="Cambria Math"/>
                <w:sz w:val="28"/>
              </w:rPr>
              <m:t>t</m:t>
            </m:r>
            <m:ctrlPr>
              <w:rPr>
                <w:rFonts w:ascii="Cambria Math" w:hAnsi="Cambria Math"/>
                <w:sz w:val="28"/>
              </w:rPr>
            </m:ctrlPr>
          </m:sub>
        </m:sSub>
        <m:r>
          <m:rPr/>
          <w:rPr>
            <w:rFonts w:hint="default" w:ascii="Cambria Math" w:hAnsi="Cambria Math"/>
            <w:sz w:val="28"/>
          </w:rPr>
          <m:t>=B</m:t>
        </m:r>
        <m:sSub>
          <m:sSubPr>
            <m:ctrlPr>
              <w:rPr>
                <w:rFonts w:hint="default" w:ascii="Cambria Math" w:hAnsi="Cambria Math"/>
                <w:sz w:val="28"/>
              </w:rPr>
            </m:ctrlPr>
          </m:sSubPr>
          <m:e>
            <m:r>
              <m:rPr/>
              <w:rPr>
                <w:rFonts w:hint="default" w:ascii="Cambria Math" w:hAnsi="Cambria Math"/>
                <w:sz w:val="28"/>
              </w:rPr>
              <m:t>E</m:t>
            </m:r>
            <m:ctrlPr>
              <w:rPr>
                <w:rFonts w:ascii="Cambria Math" w:hAnsi="Cambria Math"/>
                <w:sz w:val="28"/>
              </w:rPr>
            </m:ctrlPr>
          </m:e>
          <m:sub>
            <m:r>
              <m:rPr/>
              <w:rPr>
                <w:rFonts w:hint="default" w:ascii="Cambria Math" w:hAnsi="Cambria Math"/>
                <w:sz w:val="28"/>
                <w:lang w:val="en-US" w:eastAsia="zh-CN"/>
              </w:rPr>
              <m:t>t</m:t>
            </m:r>
            <m:ctrlPr>
              <w:rPr>
                <w:rFonts w:ascii="Cambria Math" w:hAnsi="Cambria Math"/>
                <w:sz w:val="28"/>
              </w:rPr>
            </m:ctrlPr>
          </m:sub>
        </m:sSub>
        <m:r>
          <m:rPr/>
          <w:rPr>
            <w:rFonts w:hint="default" w:ascii="Cambria Math" w:hAnsi="Cambria Math"/>
            <w:sz w:val="28"/>
          </w:rPr>
          <m:t>−P</m:t>
        </m:r>
        <m:sSub>
          <m:sSubPr>
            <m:ctrlPr>
              <w:rPr>
                <w:rFonts w:hint="default" w:ascii="Cambria Math" w:hAnsi="Cambria Math"/>
                <w:sz w:val="28"/>
              </w:rPr>
            </m:ctrlPr>
          </m:sSubPr>
          <m:e>
            <m:r>
              <m:rPr/>
              <w:rPr>
                <w:rFonts w:hint="default" w:ascii="Cambria Math" w:hAnsi="Cambria Math"/>
                <w:sz w:val="28"/>
              </w:rPr>
              <m:t>E</m:t>
            </m:r>
            <m:ctrlPr>
              <w:rPr>
                <w:rFonts w:ascii="Cambria Math" w:hAnsi="Cambria Math"/>
                <w:sz w:val="28"/>
              </w:rPr>
            </m:ctrlPr>
          </m:e>
          <m:sub>
            <m:r>
              <m:rPr/>
              <w:rPr>
                <w:rFonts w:hint="default" w:ascii="Cambria Math" w:hAnsi="Cambria Math"/>
                <w:sz w:val="28"/>
                <w:lang w:val="en-US" w:eastAsia="zh-CN"/>
              </w:rPr>
              <m:t>t</m:t>
            </m:r>
            <m:ctrlPr>
              <w:rPr>
                <w:rFonts w:ascii="Cambria Math" w:hAnsi="Cambria Math"/>
                <w:sz w:val="28"/>
              </w:rPr>
            </m:ctrlPr>
          </m:sub>
        </m:sSub>
      </m:oMath>
      <w:r>
        <w:rPr>
          <w:rFonts w:ascii="宋体" w:hAnsi="宋体" w:eastAsia="宋体"/>
          <w:sz w:val="28"/>
          <w:szCs w:val="28"/>
        </w:rPr>
        <w:tab/>
      </w:r>
      <w:r>
        <w:rPr>
          <w:rFonts w:ascii="宋体" w:hAnsi="宋体" w:eastAsia="宋体"/>
          <w:sz w:val="28"/>
          <w:szCs w:val="28"/>
        </w:rPr>
        <w:tab/>
      </w:r>
      <w:r>
        <w:rPr>
          <w:rFonts w:hint="eastAsia" w:ascii="宋体" w:hAnsi="宋体" w:eastAsia="宋体"/>
          <w:sz w:val="28"/>
          <w:szCs w:val="28"/>
          <w:lang w:val="en-US" w:eastAsia="zh-CN"/>
        </w:rPr>
        <w:t xml:space="preserve">       </w:t>
      </w:r>
      <w:r>
        <w:rPr>
          <w:rFonts w:ascii="宋体" w:hAnsi="宋体" w:eastAsia="宋体"/>
          <w:sz w:val="28"/>
          <w:szCs w:val="28"/>
        </w:rPr>
        <w:tab/>
      </w:r>
      <w:r>
        <w:rPr>
          <w:rFonts w:ascii="宋体" w:hAnsi="宋体" w:eastAsia="宋体"/>
          <w:sz w:val="28"/>
          <w:szCs w:val="28"/>
        </w:rPr>
        <w:tab/>
      </w:r>
      <w:r>
        <w:rPr>
          <w:rFonts w:ascii="宋体" w:hAnsi="宋体" w:eastAsia="宋体"/>
          <w:sz w:val="28"/>
          <w:szCs w:val="28"/>
        </w:rPr>
        <w:tab/>
      </w:r>
      <w:r>
        <w:rPr>
          <w:rFonts w:hint="eastAsia" w:ascii="宋体" w:hAnsi="宋体" w:eastAsia="宋体"/>
          <w:sz w:val="28"/>
          <w:szCs w:val="28"/>
          <w:lang w:eastAsia="zh-CN"/>
        </w:rPr>
        <w:t>(</w:t>
      </w:r>
      <w:r>
        <w:rPr>
          <w:rFonts w:hint="eastAsia" w:ascii="Times New Roman" w:hAnsi="Times New Roman" w:eastAsia="宋体"/>
          <w:sz w:val="28"/>
          <w:szCs w:val="28"/>
          <w:lang w:val="en-US" w:eastAsia="zh-CN"/>
        </w:rPr>
        <w:t>4)</w:t>
      </w:r>
    </w:p>
    <w:p w14:paraId="63B756C2">
      <w:pPr>
        <w:tabs>
          <w:tab w:val="left" w:pos="1269"/>
          <w:tab w:val="left" w:pos="1270"/>
        </w:tabs>
        <w:autoSpaceDE w:val="0"/>
        <w:autoSpaceDN w:val="0"/>
        <w:snapToGrid w:val="0"/>
        <w:spacing w:line="360" w:lineRule="auto"/>
        <w:jc w:val="left"/>
        <w:rPr>
          <w:rFonts w:hint="eastAsia" w:ascii="Times New Roman" w:hAnsi="Times New Roman" w:eastAsia="宋体" w:cs="Times New Roman"/>
          <w:kern w:val="0"/>
          <w:sz w:val="28"/>
          <w:szCs w:val="28"/>
          <w:lang w:eastAsia="zh-CN"/>
        </w:rPr>
      </w:pPr>
      <m:oMath>
        <m:sSub>
          <m:sSubPr>
            <m:ctrlPr>
              <w:rPr>
                <w:rFonts w:hint="default" w:ascii="Cambria Math" w:hAnsi="Cambria Math"/>
                <w:sz w:val="28"/>
              </w:rPr>
            </m:ctrlPr>
          </m:sSubPr>
          <m:e>
            <m:r>
              <m:rPr/>
              <w:rPr>
                <w:rFonts w:hint="default" w:ascii="Cambria Math" w:hAnsi="Cambria Math"/>
                <w:sz w:val="28"/>
              </w:rPr>
              <m:t>E</m:t>
            </m:r>
            <m:r>
              <m:rPr/>
              <w:rPr>
                <w:rFonts w:hint="default" w:ascii="Cambria Math" w:hAnsi="Cambria Math"/>
                <w:sz w:val="28"/>
                <w:lang w:val="en-US" w:eastAsia="zh-CN"/>
              </w:rPr>
              <m:t>R</m:t>
            </m:r>
            <m:ctrlPr>
              <w:rPr>
                <w:rFonts w:ascii="Cambria Math" w:hAnsi="Cambria Math"/>
                <w:sz w:val="28"/>
              </w:rPr>
            </m:ctrlPr>
          </m:e>
          <m:sub>
            <m:r>
              <m:rPr/>
              <w:rPr>
                <w:rFonts w:hint="default" w:ascii="Cambria Math" w:hAnsi="Cambria Math"/>
                <w:sz w:val="28"/>
              </w:rPr>
              <m:t>t</m:t>
            </m:r>
            <m:ctrlPr>
              <w:rPr>
                <w:rFonts w:ascii="Cambria Math" w:hAnsi="Cambria Math"/>
                <w:sz w:val="28"/>
              </w:rPr>
            </m:ctrlPr>
          </m:sub>
        </m:sSub>
      </m:oMath>
      <w:r>
        <w:rPr>
          <w:rFonts w:ascii="Times New Roman" w:hAnsi="Times New Roman" w:eastAsia="宋体" w:cs="Times New Roman"/>
          <w:kern w:val="0"/>
          <w:sz w:val="28"/>
          <w:szCs w:val="28"/>
        </w:rPr>
        <w:t xml:space="preserve"> </w:t>
      </w:r>
      <w:r>
        <w:rPr>
          <w:rFonts w:ascii="Times New Roman" w:hAnsi="Times New Roman" w:eastAsia="宋体" w:cs="Times New Roman"/>
          <w:kern w:val="0"/>
          <w:sz w:val="28"/>
          <w:szCs w:val="28"/>
        </w:rPr>
        <w:tab/>
      </w:r>
      <w:r>
        <w:rPr>
          <w:rFonts w:hint="eastAsia" w:ascii="Times New Roman" w:hAnsi="Times New Roman" w:eastAsia="宋体" w:cs="Times New Roman"/>
          <w:i/>
          <w:iCs/>
          <w:kern w:val="0"/>
          <w:sz w:val="28"/>
          <w:szCs w:val="28"/>
        </w:rPr>
        <w:t xml:space="preserve">t </w:t>
      </w:r>
      <w:r>
        <w:rPr>
          <w:rFonts w:hint="eastAsia" w:ascii="Times New Roman" w:hAnsi="Times New Roman" w:eastAsia="宋体" w:cs="Times New Roman"/>
          <w:kern w:val="0"/>
          <w:sz w:val="28"/>
          <w:szCs w:val="28"/>
        </w:rPr>
        <w:t>日</w:t>
      </w:r>
      <w:r>
        <w:rPr>
          <w:rFonts w:ascii="Times New Roman" w:hAnsi="Times New Roman" w:eastAsia="宋体" w:cs="Times New Roman"/>
          <w:kern w:val="0"/>
          <w:sz w:val="28"/>
          <w:szCs w:val="28"/>
        </w:rPr>
        <w:t>项目活动产生的</w:t>
      </w:r>
      <w:r>
        <w:rPr>
          <w:rFonts w:hint="eastAsia" w:ascii="Times New Roman" w:hAnsi="Times New Roman" w:eastAsia="宋体" w:cs="Times New Roman"/>
          <w:kern w:val="0"/>
          <w:sz w:val="28"/>
          <w:szCs w:val="28"/>
          <w:lang w:val="en-US" w:eastAsia="zh-CN"/>
        </w:rPr>
        <w:t>减排量</w:t>
      </w:r>
      <w:r>
        <w:rPr>
          <w:rFonts w:hint="eastAsia" w:ascii="Times New Roman" w:hAnsi="Times New Roman" w:eastAsia="宋体" w:cs="Times New Roman"/>
          <w:kern w:val="0"/>
          <w:sz w:val="28"/>
          <w:szCs w:val="28"/>
        </w:rPr>
        <w:t>（kg</w:t>
      </w:r>
      <w:r>
        <w:rPr>
          <w:rFonts w:ascii="Times New Roman" w:hAnsi="Times New Roman" w:eastAsia="宋体" w:cs="Times New Roman"/>
          <w:kern w:val="0"/>
          <w:sz w:val="28"/>
          <w:szCs w:val="28"/>
        </w:rPr>
        <w:t>CO</w:t>
      </w:r>
      <w:r>
        <w:rPr>
          <w:rFonts w:ascii="Times New Roman" w:hAnsi="Times New Roman" w:eastAsia="宋体" w:cs="Times New Roman"/>
          <w:kern w:val="0"/>
          <w:sz w:val="28"/>
          <w:szCs w:val="28"/>
          <w:vertAlign w:val="subscript"/>
        </w:rPr>
        <w:t>2</w:t>
      </w:r>
      <w:r>
        <w:rPr>
          <w:rFonts w:hint="eastAsia" w:ascii="Times New Roman" w:hAnsi="Times New Roman" w:eastAsia="宋体" w:cs="Times New Roman"/>
          <w:kern w:val="0"/>
          <w:sz w:val="28"/>
          <w:szCs w:val="28"/>
        </w:rPr>
        <w:t>）</w:t>
      </w:r>
      <w:r>
        <w:rPr>
          <w:rFonts w:hint="eastAsia" w:ascii="Times New Roman" w:hAnsi="Times New Roman" w:eastAsia="宋体" w:cs="Times New Roman"/>
          <w:kern w:val="0"/>
          <w:sz w:val="28"/>
          <w:szCs w:val="28"/>
          <w:lang w:eastAsia="zh-CN"/>
        </w:rPr>
        <w:t>。</w:t>
      </w:r>
    </w:p>
    <w:bookmarkEnd w:id="23"/>
    <w:p w14:paraId="788AE6EA">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zh-CN"/>
        </w:rPr>
      </w:pPr>
      <w:bookmarkStart w:id="24" w:name="_Toc4144"/>
      <w:bookmarkStart w:id="25" w:name="_Toc170134112"/>
      <w:r>
        <w:rPr>
          <w:rFonts w:hint="eastAsia" w:ascii="黑体" w:hAnsi="黑体" w:eastAsia="黑体" w:cs="黑体"/>
          <w:b w:val="0"/>
          <w:bCs w:val="0"/>
          <w:spacing w:val="-2"/>
          <w:w w:val="95"/>
          <w:kern w:val="0"/>
          <w:sz w:val="28"/>
          <w:szCs w:val="28"/>
          <w:lang w:val="en-US" w:eastAsia="zh-CN"/>
        </w:rPr>
        <w:t>数据来源及监测</w:t>
      </w:r>
      <w:bookmarkEnd w:id="24"/>
      <w:bookmarkEnd w:id="25"/>
    </w:p>
    <w:p w14:paraId="03C9A3A3">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8.1 减排项目设计阶段确定的参数和数据</w:t>
      </w:r>
    </w:p>
    <w:p w14:paraId="5B068F8C">
      <w:pPr>
        <w:keepNext w:val="0"/>
        <w:keepLines w:val="0"/>
        <w:pageBreakBefore w:val="0"/>
        <w:widowControl/>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项目设计阶段需确定的参数和数据的技术内容和确定方法见表2到表8。</w:t>
      </w:r>
    </w:p>
    <w:p w14:paraId="61A0939B">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jc w:val="center"/>
        <w:textAlignment w:val="auto"/>
        <w:rPr>
          <w:rFonts w:hint="default" w:ascii="黑体" w:hAnsi="黑体" w:eastAsia="黑体" w:cs="黑体"/>
          <w:kern w:val="0"/>
          <w:sz w:val="24"/>
          <w:szCs w:val="24"/>
          <w:lang w:val="en-US" w:eastAsia="zh-CN"/>
        </w:rPr>
      </w:pPr>
      <w:r>
        <w:rPr>
          <w:rFonts w:hint="eastAsia" w:ascii="黑体" w:hAnsi="黑体" w:eastAsia="黑体" w:cs="黑体"/>
          <w:kern w:val="0"/>
          <w:sz w:val="24"/>
          <w:szCs w:val="24"/>
          <w:lang w:val="en-US" w:eastAsia="zh-CN"/>
        </w:rPr>
        <w:t xml:space="preserve">表2  </w:t>
      </w:r>
      <w:r>
        <w:rPr>
          <w:rFonts w:hint="eastAsia" w:ascii="Times New Roman" w:hAnsi="Times New Roman" w:eastAsia="黑体" w:cs="Times New Roman"/>
          <w:i/>
          <w:iCs/>
          <w:kern w:val="0"/>
          <w:sz w:val="24"/>
          <w:szCs w:val="24"/>
        </w:rPr>
        <w:t>TDLi</w:t>
      </w:r>
      <w:r>
        <w:rPr>
          <w:rFonts w:hint="eastAsia" w:ascii="黑体" w:hAnsi="黑体" w:eastAsia="黑体" w:cs="黑体"/>
          <w:kern w:val="0"/>
          <w:sz w:val="24"/>
          <w:szCs w:val="24"/>
        </w:rPr>
        <w:t>的技术内容和确定方法</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9"/>
        <w:gridCol w:w="6357"/>
      </w:tblGrid>
      <w:tr w14:paraId="4E24D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699744CE">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57" w:type="dxa"/>
            <w:vAlign w:val="center"/>
          </w:tcPr>
          <w:p w14:paraId="6B37938F">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hint="eastAsia" w:ascii="Times New Roman" w:hAnsi="Times New Roman" w:eastAsia="宋体" w:cs="Times New Roman"/>
                <w:i/>
                <w:iCs/>
                <w:kern w:val="0"/>
                <w:sz w:val="24"/>
                <w:szCs w:val="24"/>
              </w:rPr>
              <w:t>TDL</w:t>
            </w:r>
            <w:r>
              <w:rPr>
                <w:rFonts w:hint="eastAsia" w:ascii="Times New Roman" w:hAnsi="Times New Roman" w:eastAsia="宋体" w:cs="Times New Roman"/>
                <w:i/>
                <w:iCs/>
                <w:kern w:val="0"/>
                <w:sz w:val="24"/>
                <w:szCs w:val="24"/>
                <w:vertAlign w:val="subscript"/>
              </w:rPr>
              <w:t>i</w:t>
            </w:r>
          </w:p>
        </w:tc>
      </w:tr>
      <w:tr w14:paraId="35A59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16BBA618">
            <w:pPr>
              <w:tabs>
                <w:tab w:val="left" w:pos="1269"/>
                <w:tab w:val="left" w:pos="1270"/>
              </w:tabs>
              <w:autoSpaceDE w:val="0"/>
              <w:autoSpaceDN w:val="0"/>
              <w:snapToGrid w:val="0"/>
              <w:spacing w:line="276" w:lineRule="auto"/>
              <w:jc w:val="left"/>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rPr>
              <w:t>应用的公式编号</w:t>
            </w:r>
          </w:p>
        </w:tc>
        <w:tc>
          <w:tcPr>
            <w:tcW w:w="6357" w:type="dxa"/>
            <w:vAlign w:val="center"/>
          </w:tcPr>
          <w:p w14:paraId="4E523D8A">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(3)</w:t>
            </w:r>
          </w:p>
        </w:tc>
      </w:tr>
      <w:tr w14:paraId="40B91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68AE91CF">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57" w:type="dxa"/>
            <w:vAlign w:val="center"/>
          </w:tcPr>
          <w:p w14:paraId="0C1C9CD3">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电动车辆充电的技术传输与分配的平均损失</w:t>
            </w:r>
          </w:p>
        </w:tc>
      </w:tr>
      <w:tr w14:paraId="3AE1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1A3FC31B">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57" w:type="dxa"/>
            <w:shd w:val="clear" w:color="auto" w:fill="auto"/>
            <w:vAlign w:val="center"/>
          </w:tcPr>
          <w:p w14:paraId="7F1B90AD">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w:t>
            </w:r>
          </w:p>
        </w:tc>
      </w:tr>
      <w:tr w14:paraId="42F71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atLeast"/>
        </w:trPr>
        <w:tc>
          <w:tcPr>
            <w:tcW w:w="1939" w:type="dxa"/>
            <w:vAlign w:val="center"/>
          </w:tcPr>
          <w:p w14:paraId="16B48A3D">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57" w:type="dxa"/>
            <w:vAlign w:val="center"/>
          </w:tcPr>
          <w:p w14:paraId="274D73E3">
            <w:pPr>
              <w:pStyle w:val="25"/>
              <w:numPr>
                <w:ilvl w:val="2"/>
                <w:numId w:val="2"/>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采用国家权威机构公布值；</w:t>
            </w:r>
          </w:p>
          <w:p w14:paraId="2727F538">
            <w:pPr>
              <w:pStyle w:val="25"/>
              <w:numPr>
                <w:ilvl w:val="2"/>
                <w:numId w:val="2"/>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根据</w:t>
            </w:r>
            <w:r>
              <w:rPr>
                <w:rFonts w:hint="eastAsia" w:ascii="Times New Roman" w:hAnsi="Times New Roman" w:eastAsia="宋体" w:cs="Times New Roman"/>
                <w:kern w:val="0"/>
                <w:sz w:val="24"/>
                <w:szCs w:val="24"/>
                <w:lang w:eastAsia="zh-CN"/>
              </w:rPr>
              <w:t>CDM-EB Tool05</w:t>
            </w:r>
            <w:r>
              <w:rPr>
                <w:rFonts w:hint="eastAsia" w:ascii="Times New Roman" w:hAnsi="Times New Roman" w:eastAsia="宋体" w:cs="Times New Roman"/>
                <w:kern w:val="0"/>
                <w:sz w:val="24"/>
                <w:szCs w:val="24"/>
              </w:rPr>
              <w:t>“电力消耗导致的基准线、项目和/或</w:t>
            </w:r>
            <w:r>
              <w:rPr>
                <w:rFonts w:hint="eastAsia" w:ascii="Times New Roman" w:hAnsi="Times New Roman" w:eastAsia="宋体" w:cs="Times New Roman"/>
                <w:kern w:val="0"/>
                <w:sz w:val="24"/>
                <w:szCs w:val="24"/>
                <w:lang w:eastAsia="zh-CN"/>
              </w:rPr>
              <w:t>泄漏</w:t>
            </w:r>
            <w:r>
              <w:rPr>
                <w:rFonts w:hint="eastAsia" w:ascii="Times New Roman" w:hAnsi="Times New Roman" w:eastAsia="宋体" w:cs="Times New Roman"/>
                <w:kern w:val="0"/>
                <w:sz w:val="24"/>
                <w:szCs w:val="24"/>
              </w:rPr>
              <w:t>排放计算公式”项目排放计算</w:t>
            </w:r>
            <w:r>
              <w:rPr>
                <w:rFonts w:hint="eastAsia" w:ascii="Times New Roman" w:hAnsi="Times New Roman" w:eastAsia="宋体" w:cs="Times New Roman"/>
                <w:kern w:val="0"/>
                <w:sz w:val="24"/>
                <w:szCs w:val="24"/>
                <w:lang w:eastAsia="zh-CN"/>
              </w:rPr>
              <w:t>项目</w:t>
            </w:r>
            <w:r>
              <w:rPr>
                <w:rFonts w:hint="eastAsia" w:ascii="Times New Roman" w:hAnsi="Times New Roman" w:eastAsia="宋体" w:cs="Times New Roman"/>
                <w:kern w:val="0"/>
                <w:sz w:val="24"/>
                <w:szCs w:val="24"/>
              </w:rPr>
              <w:t>缺省值</w:t>
            </w: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rPr>
              <w:t>20%</w:t>
            </w: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rPr>
              <w:t>。</w:t>
            </w:r>
          </w:p>
        </w:tc>
      </w:tr>
    </w:tbl>
    <w:p w14:paraId="66731DC4">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t xml:space="preserve">表3 </w:t>
      </w:r>
      <w:r>
        <w:rPr>
          <w:rFonts w:ascii="宋体" w:hAnsi="宋体" w:eastAsia="宋体"/>
          <w:position w:val="-14"/>
          <w:sz w:val="24"/>
          <w:szCs w:val="24"/>
        </w:rPr>
        <w:object>
          <v:shape id="_x0000_i1042" o:spt="75" type="#_x0000_t75" style="height:19.5pt;width:42pt;" o:ole="t" filled="f" o:preferrelative="t" stroked="f" coordsize="21600,21600">
            <v:path/>
            <v:fill on="f" focussize="0,0"/>
            <v:stroke on="f" joinstyle="miter"/>
            <v:imagedata r:id="rId28" o:title=""/>
            <o:lock v:ext="edit" aspectratio="t"/>
            <w10:wrap type="none"/>
            <w10:anchorlock/>
          </v:shape>
          <o:OLEObject Type="Embed" ProgID="Equation.DSMT4" ShapeID="_x0000_i1042" DrawAspect="Content" ObjectID="_1468075742" r:id="rId40">
            <o:LockedField>false</o:LockedField>
          </o:OLEObject>
        </w:object>
      </w:r>
      <w:r>
        <w:rPr>
          <w:rFonts w:hint="eastAsia" w:ascii="黑体" w:hAnsi="黑体" w:eastAsia="黑体" w:cs="黑体"/>
          <w:kern w:val="0"/>
          <w:sz w:val="24"/>
          <w:szCs w:val="24"/>
        </w:rPr>
        <w:t>的技术内容和确定方法</w:t>
      </w:r>
    </w:p>
    <w:tbl>
      <w:tblPr>
        <w:tblStyle w:val="11"/>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9"/>
        <w:gridCol w:w="6357"/>
      </w:tblGrid>
      <w:tr w14:paraId="58EA5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77BEF7D1">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57" w:type="dxa"/>
            <w:vAlign w:val="center"/>
          </w:tcPr>
          <w:p w14:paraId="74360F00">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ascii="宋体" w:hAnsi="宋体" w:eastAsia="宋体"/>
                <w:position w:val="-14"/>
                <w:sz w:val="24"/>
                <w:szCs w:val="24"/>
              </w:rPr>
              <w:object>
                <v:shape id="_x0000_i1043" o:spt="75" type="#_x0000_t75" style="height:19.5pt;width:42pt;" o:ole="t" filled="f" o:preferrelative="t" stroked="f" coordsize="21600,21600">
                  <v:path/>
                  <v:fill on="f" focussize="0,0"/>
                  <v:stroke on="f" joinstyle="miter"/>
                  <v:imagedata r:id="rId28" o:title=""/>
                  <o:lock v:ext="edit" aspectratio="t"/>
                  <w10:wrap type="none"/>
                  <w10:anchorlock/>
                </v:shape>
                <o:OLEObject Type="Embed" ProgID="Equation.DSMT4" ShapeID="_x0000_i1043" DrawAspect="Content" ObjectID="_1468075743" r:id="rId41">
                  <o:LockedField>false</o:LockedField>
                </o:OLEObject>
              </w:object>
            </w:r>
          </w:p>
        </w:tc>
      </w:tr>
      <w:tr w14:paraId="2058B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31759020">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应用的公式编号</w:t>
            </w:r>
          </w:p>
        </w:tc>
        <w:tc>
          <w:tcPr>
            <w:tcW w:w="6357" w:type="dxa"/>
            <w:vAlign w:val="center"/>
          </w:tcPr>
          <w:p w14:paraId="0626FA30">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2)</w:t>
            </w:r>
          </w:p>
        </w:tc>
      </w:tr>
      <w:tr w14:paraId="06DA9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939" w:type="dxa"/>
            <w:vAlign w:val="center"/>
          </w:tcPr>
          <w:p w14:paraId="07C1316C">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57" w:type="dxa"/>
            <w:vAlign w:val="center"/>
          </w:tcPr>
          <w:p w14:paraId="1991BBB4">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highlight w:val="none"/>
              </w:rPr>
              <w:t xml:space="preserve">车辆车型为 </w:t>
            </w:r>
            <w:r>
              <w:rPr>
                <w:rFonts w:hint="eastAsia" w:ascii="Times New Roman" w:hAnsi="Times New Roman" w:eastAsia="宋体" w:cs="Times New Roman"/>
                <w:i/>
                <w:iCs/>
                <w:kern w:val="0"/>
                <w:sz w:val="24"/>
                <w:szCs w:val="24"/>
                <w:highlight w:val="none"/>
              </w:rPr>
              <w:t xml:space="preserve">i </w:t>
            </w:r>
            <w:r>
              <w:rPr>
                <w:rFonts w:hint="eastAsia" w:ascii="Times New Roman" w:hAnsi="Times New Roman" w:eastAsia="宋体" w:cs="Times New Roman"/>
                <w:kern w:val="0"/>
                <w:sz w:val="24"/>
                <w:szCs w:val="24"/>
                <w:highlight w:val="none"/>
              </w:rPr>
              <w:t>的基准</w:t>
            </w:r>
            <w:r>
              <w:rPr>
                <w:rFonts w:hint="eastAsia" w:ascii="Times New Roman" w:hAnsi="Times New Roman" w:eastAsia="宋体" w:cs="Times New Roman"/>
                <w:kern w:val="0"/>
                <w:sz w:val="24"/>
                <w:szCs w:val="24"/>
              </w:rPr>
              <w:t>线的单位里程油耗</w:t>
            </w:r>
          </w:p>
        </w:tc>
      </w:tr>
      <w:tr w14:paraId="55F16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939" w:type="dxa"/>
            <w:shd w:val="clear" w:color="auto" w:fill="auto"/>
            <w:vAlign w:val="center"/>
          </w:tcPr>
          <w:p w14:paraId="28C098D9">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57" w:type="dxa"/>
            <w:shd w:val="clear" w:color="auto" w:fill="auto"/>
            <w:vAlign w:val="center"/>
          </w:tcPr>
          <w:p w14:paraId="26BEBDB6">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kg化石燃料/km</w:t>
            </w:r>
          </w:p>
        </w:tc>
      </w:tr>
      <w:tr w14:paraId="219F2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7" w:hRule="atLeast"/>
        </w:trPr>
        <w:tc>
          <w:tcPr>
            <w:tcW w:w="1939" w:type="dxa"/>
            <w:vAlign w:val="center"/>
          </w:tcPr>
          <w:p w14:paraId="0ABD0F48">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57" w:type="dxa"/>
            <w:vAlign w:val="center"/>
          </w:tcPr>
          <w:p w14:paraId="11FFFA9A">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基准线单位里程油耗通过以下顺序进行选择：</w:t>
            </w:r>
          </w:p>
          <w:p w14:paraId="243D9753">
            <w:pPr>
              <w:pStyle w:val="25"/>
              <w:numPr>
                <w:ilvl w:val="2"/>
                <w:numId w:val="2"/>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国家权威机构、交通行业等的公布值；</w:t>
            </w:r>
          </w:p>
          <w:p w14:paraId="69E31986">
            <w:pPr>
              <w:pStyle w:val="25"/>
              <w:numPr>
                <w:ilvl w:val="2"/>
                <w:numId w:val="2"/>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制造厂商设计值；</w:t>
            </w:r>
          </w:p>
          <w:p w14:paraId="485729BB">
            <w:pPr>
              <w:pStyle w:val="25"/>
              <w:numPr>
                <w:ilvl w:val="2"/>
                <w:numId w:val="2"/>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学术研究数据；</w:t>
            </w:r>
          </w:p>
          <w:p w14:paraId="52E8D508">
            <w:pPr>
              <w:pStyle w:val="25"/>
              <w:numPr>
                <w:ilvl w:val="2"/>
                <w:numId w:val="2"/>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IPCC或者其他国家默认值；</w:t>
            </w:r>
          </w:p>
          <w:p w14:paraId="4941758A">
            <w:pPr>
              <w:pStyle w:val="25"/>
              <w:numPr>
                <w:ilvl w:val="2"/>
                <w:numId w:val="2"/>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相同路线基准线车辆的单位里程油耗；</w:t>
            </w:r>
          </w:p>
          <w:p w14:paraId="6F46FC9B">
            <w:pPr>
              <w:pStyle w:val="25"/>
              <w:numPr>
                <w:ilvl w:val="2"/>
                <w:numId w:val="2"/>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抽样确定。抽样车辆采样应参照适用的最新版本的“项目活动和规划活动的采样和调查指南”。</w:t>
            </w:r>
          </w:p>
          <w:p w14:paraId="1155BF79">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对于（e）</w:t>
            </w: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rPr>
              <w:t>（f）选项，对照组必须在车龄（相同或更新）、交通状况（相同或更好）、荷载（相同或更多）和空调具有类似或连续的特性。</w:t>
            </w:r>
          </w:p>
        </w:tc>
      </w:tr>
    </w:tbl>
    <w:p w14:paraId="7F8F10D9">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t xml:space="preserve">表4 </w:t>
      </w:r>
      <w:r>
        <w:rPr>
          <w:rFonts w:ascii="宋体" w:hAnsi="宋体" w:eastAsia="宋体"/>
          <w:position w:val="-14"/>
          <w:sz w:val="24"/>
          <w:szCs w:val="24"/>
        </w:rPr>
        <w:object>
          <v:shape id="_x0000_i1044" o:spt="75" type="#_x0000_t75" style="height:19.5pt;width:40.5pt;" o:ole="t" filled="f" o:preferrelative="t" stroked="f" coordsize="21600,21600">
            <v:path/>
            <v:fill on="f" focussize="0,0"/>
            <v:stroke on="f" joinstyle="miter"/>
            <v:imagedata r:id="rId30" o:title=""/>
            <o:lock v:ext="edit" aspectratio="t"/>
            <w10:wrap type="none"/>
            <w10:anchorlock/>
          </v:shape>
          <o:OLEObject Type="Embed" ProgID="Equation.DSMT4" ShapeID="_x0000_i1044" DrawAspect="Content" ObjectID="_1468075744" r:id="rId42">
            <o:LockedField>false</o:LockedField>
          </o:OLEObject>
        </w:object>
      </w:r>
      <w:r>
        <w:rPr>
          <w:rFonts w:hint="eastAsia" w:ascii="黑体" w:hAnsi="黑体" w:eastAsia="黑体" w:cs="黑体"/>
          <w:kern w:val="0"/>
          <w:sz w:val="24"/>
          <w:szCs w:val="24"/>
        </w:rPr>
        <w:t>的技术内容和确定方法</w:t>
      </w:r>
    </w:p>
    <w:tbl>
      <w:tblPr>
        <w:tblStyle w:val="11"/>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9"/>
        <w:gridCol w:w="6357"/>
      </w:tblGrid>
      <w:tr w14:paraId="08AE1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2A2A6AFE">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57" w:type="dxa"/>
            <w:vAlign w:val="center"/>
          </w:tcPr>
          <w:p w14:paraId="3857503D">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ascii="宋体" w:hAnsi="宋体" w:eastAsia="宋体"/>
                <w:position w:val="-14"/>
                <w:sz w:val="24"/>
                <w:szCs w:val="24"/>
              </w:rPr>
              <w:object>
                <v:shape id="_x0000_i1045" o:spt="75" type="#_x0000_t75" style="height:19.5pt;width:40.5pt;" o:ole="t" filled="f" o:preferrelative="t" stroked="f" coordsize="21600,21600">
                  <v:path/>
                  <v:fill on="f" focussize="0,0"/>
                  <v:stroke on="f" joinstyle="miter"/>
                  <v:imagedata r:id="rId30" o:title=""/>
                  <o:lock v:ext="edit" aspectratio="t"/>
                  <w10:wrap type="none"/>
                  <w10:anchorlock/>
                </v:shape>
                <o:OLEObject Type="Embed" ProgID="Equation.DSMT4" ShapeID="_x0000_i1045" DrawAspect="Content" ObjectID="_1468075745" r:id="rId43">
                  <o:LockedField>false</o:LockedField>
                </o:OLEObject>
              </w:object>
            </w:r>
          </w:p>
        </w:tc>
      </w:tr>
      <w:tr w14:paraId="749A4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199AF952">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应用的公式编号</w:t>
            </w:r>
          </w:p>
        </w:tc>
        <w:tc>
          <w:tcPr>
            <w:tcW w:w="6357" w:type="dxa"/>
            <w:vAlign w:val="center"/>
          </w:tcPr>
          <w:p w14:paraId="695B74BC">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2)</w:t>
            </w:r>
          </w:p>
        </w:tc>
      </w:tr>
      <w:tr w14:paraId="14377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5DCD1EA8">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57" w:type="dxa"/>
            <w:vAlign w:val="center"/>
          </w:tcPr>
          <w:p w14:paraId="211DEDC6">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项目车辆车型</w:t>
            </w:r>
            <w:r>
              <w:rPr>
                <w:rFonts w:hint="eastAsia" w:ascii="Times New Roman" w:hAnsi="Times New Roman" w:eastAsia="宋体" w:cs="Times New Roman"/>
                <w:i/>
                <w:iCs/>
                <w:kern w:val="0"/>
                <w:sz w:val="24"/>
                <w:szCs w:val="24"/>
              </w:rPr>
              <w:t>i</w:t>
            </w:r>
            <w:r>
              <w:rPr>
                <w:rFonts w:hint="eastAsia" w:ascii="Times New Roman" w:hAnsi="Times New Roman" w:eastAsia="宋体" w:cs="Times New Roman"/>
                <w:kern w:val="0"/>
                <w:sz w:val="24"/>
                <w:szCs w:val="24"/>
              </w:rPr>
              <w:t>单位里程电力消耗</w:t>
            </w:r>
          </w:p>
        </w:tc>
      </w:tr>
      <w:tr w14:paraId="6C653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1CCB9474">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57" w:type="dxa"/>
            <w:shd w:val="clear" w:color="auto" w:fill="auto"/>
            <w:vAlign w:val="center"/>
          </w:tcPr>
          <w:p w14:paraId="34074D39">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kWh/km</w:t>
            </w:r>
          </w:p>
        </w:tc>
      </w:tr>
      <w:tr w14:paraId="4AD5D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2EE221A7">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57" w:type="dxa"/>
            <w:vAlign w:val="center"/>
          </w:tcPr>
          <w:p w14:paraId="3431D664">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基准线单位里程油耗通过以下顺序进行选择：</w:t>
            </w:r>
          </w:p>
          <w:p w14:paraId="76FA822E">
            <w:pPr>
              <w:pStyle w:val="25"/>
              <w:numPr>
                <w:ilvl w:val="2"/>
                <w:numId w:val="3"/>
              </w:numPr>
              <w:tabs>
                <w:tab w:val="left" w:pos="463"/>
              </w:tabs>
              <w:autoSpaceDE w:val="0"/>
              <w:autoSpaceDN w:val="0"/>
              <w:snapToGrid w:val="0"/>
              <w:spacing w:line="276" w:lineRule="auto"/>
              <w:ind w:hanging="1231"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国家权威机构、交通行业等的公布值；</w:t>
            </w:r>
          </w:p>
          <w:p w14:paraId="03612656">
            <w:pPr>
              <w:pStyle w:val="25"/>
              <w:numPr>
                <w:ilvl w:val="2"/>
                <w:numId w:val="3"/>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制造厂商设计值；</w:t>
            </w:r>
          </w:p>
          <w:p w14:paraId="41085C07">
            <w:pPr>
              <w:pStyle w:val="25"/>
              <w:numPr>
                <w:ilvl w:val="2"/>
                <w:numId w:val="3"/>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学术研究数据；</w:t>
            </w:r>
          </w:p>
          <w:p w14:paraId="78BF4784">
            <w:pPr>
              <w:pStyle w:val="25"/>
              <w:numPr>
                <w:ilvl w:val="2"/>
                <w:numId w:val="3"/>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IPCC或者其他国家默认值；</w:t>
            </w:r>
          </w:p>
          <w:p w14:paraId="5D277E06">
            <w:pPr>
              <w:pStyle w:val="25"/>
              <w:numPr>
                <w:ilvl w:val="2"/>
                <w:numId w:val="3"/>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对项目车辆采用抽样方式确定，抽样车辆采样应参照适用的最新版本的“项目活动和规划活动的采样和调查指南”；</w:t>
            </w:r>
          </w:p>
          <w:p w14:paraId="4F1A9BBF">
            <w:pPr>
              <w:pStyle w:val="25"/>
              <w:numPr>
                <w:ilvl w:val="2"/>
                <w:numId w:val="3"/>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 xml:space="preserve">监测所有项目车辆的电力消耗和运行里程，计算车辆车型 </w:t>
            </w:r>
            <w:r>
              <w:rPr>
                <w:rFonts w:hint="eastAsia" w:ascii="Times New Roman" w:hAnsi="Times New Roman" w:eastAsia="宋体" w:cs="Times New Roman"/>
                <w:i/>
                <w:iCs/>
                <w:kern w:val="0"/>
                <w:sz w:val="24"/>
                <w:szCs w:val="24"/>
              </w:rPr>
              <w:t>i</w:t>
            </w:r>
            <w:r>
              <w:rPr>
                <w:rFonts w:hint="eastAsia" w:ascii="Times New Roman" w:hAnsi="Times New Roman" w:eastAsia="宋体" w:cs="Times New Roman"/>
                <w:kern w:val="0"/>
                <w:sz w:val="24"/>
                <w:szCs w:val="24"/>
              </w:rPr>
              <w:t xml:space="preserve"> 的平均单位里程电力消耗。</w:t>
            </w:r>
          </w:p>
        </w:tc>
      </w:tr>
      <w:tr w14:paraId="1E3BB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09186C18">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监测程序</w:t>
            </w:r>
          </w:p>
        </w:tc>
        <w:tc>
          <w:tcPr>
            <w:tcW w:w="6357" w:type="dxa"/>
            <w:vAlign w:val="center"/>
          </w:tcPr>
          <w:p w14:paraId="08F79C81">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如果采用选项（f），所有项目车辆的电力消耗监测程序见12.2的监测参数表。车辆里程数据采用里程表读数，与行驶日志或</w:t>
            </w:r>
            <w:r>
              <w:rPr>
                <w:rFonts w:ascii="Times New Roman" w:hAnsi="Times New Roman" w:eastAsia="宋体" w:cs="Times New Roman"/>
                <w:kern w:val="0"/>
                <w:sz w:val="24"/>
                <w:szCs w:val="24"/>
              </w:rPr>
              <w:t>GPS 信息进行交叉检查。</w:t>
            </w:r>
          </w:p>
        </w:tc>
      </w:tr>
    </w:tbl>
    <w:p w14:paraId="043899F3">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t xml:space="preserve">表5 </w:t>
      </w:r>
      <w:r>
        <w:rPr>
          <w:rFonts w:ascii="宋体" w:hAnsi="宋体" w:eastAsia="宋体"/>
          <w:position w:val="-14"/>
          <w:sz w:val="24"/>
          <w:szCs w:val="24"/>
        </w:rPr>
        <w:object>
          <v:shape id="_x0000_i1046" o:spt="75" type="#_x0000_t75" style="height:19.5pt;width:44.25pt;" o:ole="t" filled="f" o:preferrelative="t" stroked="f" coordsize="21600,21600">
            <v:path/>
            <v:fill on="f" focussize="0,0"/>
            <v:stroke on="f" joinstyle="miter"/>
            <v:imagedata r:id="rId14" o:title=""/>
            <o:lock v:ext="edit" aspectratio="t"/>
            <w10:wrap type="none"/>
            <w10:anchorlock/>
          </v:shape>
          <o:OLEObject Type="Embed" ProgID="Equation.DSMT4" ShapeID="_x0000_i1046" DrawAspect="Content" ObjectID="_1468075746" r:id="rId44">
            <o:LockedField>false</o:LockedField>
          </o:OLEObject>
        </w:object>
      </w:r>
      <w:r>
        <w:rPr>
          <w:rFonts w:hint="eastAsia" w:ascii="黑体" w:hAnsi="黑体" w:eastAsia="黑体" w:cs="黑体"/>
          <w:kern w:val="0"/>
          <w:sz w:val="24"/>
          <w:szCs w:val="24"/>
        </w:rPr>
        <w:t>的技术内容和确定方法</w:t>
      </w:r>
    </w:p>
    <w:tbl>
      <w:tblPr>
        <w:tblStyle w:val="11"/>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7"/>
        <w:gridCol w:w="6369"/>
      </w:tblGrid>
      <w:tr w14:paraId="5AC97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7C68DB86">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69" w:type="dxa"/>
            <w:vAlign w:val="center"/>
          </w:tcPr>
          <w:p w14:paraId="5DBA9A97">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ascii="宋体" w:hAnsi="宋体" w:eastAsia="宋体"/>
                <w:position w:val="-14"/>
                <w:sz w:val="24"/>
                <w:szCs w:val="24"/>
              </w:rPr>
              <w:object>
                <v:shape id="_x0000_i1047" o:spt="75" type="#_x0000_t75" style="height:19.5pt;width:44.25pt;" o:ole="t" filled="f" o:preferrelative="t" stroked="f" coordsize="21600,21600">
                  <v:path/>
                  <v:fill on="f" focussize="0,0"/>
                  <v:stroke on="f" joinstyle="miter"/>
                  <v:imagedata r:id="rId14" o:title=""/>
                  <o:lock v:ext="edit" aspectratio="t"/>
                  <w10:wrap type="none"/>
                  <w10:anchorlock/>
                </v:shape>
                <o:OLEObject Type="Embed" ProgID="Equation.DSMT4" ShapeID="_x0000_i1047" DrawAspect="Content" ObjectID="_1468075747" r:id="rId45">
                  <o:LockedField>false</o:LockedField>
                </o:OLEObject>
              </w:object>
            </w:r>
          </w:p>
        </w:tc>
      </w:tr>
      <w:tr w14:paraId="28480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7DE2A8BE">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应用的公式编号</w:t>
            </w:r>
          </w:p>
        </w:tc>
        <w:tc>
          <w:tcPr>
            <w:tcW w:w="6369" w:type="dxa"/>
            <w:vAlign w:val="center"/>
          </w:tcPr>
          <w:p w14:paraId="7B708FC2">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1)</w:t>
            </w:r>
          </w:p>
        </w:tc>
      </w:tr>
      <w:tr w14:paraId="56E21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6E36F425">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69" w:type="dxa"/>
            <w:vAlign w:val="center"/>
          </w:tcPr>
          <w:p w14:paraId="4D4122D5">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车型为</w:t>
            </w:r>
            <w:r>
              <w:rPr>
                <w:rFonts w:hint="eastAsia" w:ascii="Times New Roman" w:hAnsi="Times New Roman" w:eastAsia="宋体" w:cs="Times New Roman"/>
                <w:i/>
                <w:iCs/>
                <w:kern w:val="0"/>
                <w:sz w:val="24"/>
                <w:szCs w:val="24"/>
              </w:rPr>
              <w:t>i</w:t>
            </w:r>
            <w:r>
              <w:rPr>
                <w:rFonts w:hint="eastAsia" w:ascii="Times New Roman" w:hAnsi="Times New Roman" w:eastAsia="宋体" w:cs="Times New Roman"/>
                <w:kern w:val="0"/>
                <w:sz w:val="24"/>
                <w:szCs w:val="24"/>
              </w:rPr>
              <w:t>的基准线车辆消耗燃料的净热值</w:t>
            </w:r>
          </w:p>
        </w:tc>
      </w:tr>
      <w:tr w14:paraId="518C9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2BFFB8B2">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69" w:type="dxa"/>
            <w:shd w:val="clear" w:color="auto" w:fill="auto"/>
            <w:vAlign w:val="center"/>
          </w:tcPr>
          <w:p w14:paraId="12941F2F">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sz w:val="24"/>
                <w:szCs w:val="24"/>
              </w:rPr>
              <w:t>MJ</w:t>
            </w:r>
            <w:r>
              <w:rPr>
                <w:rFonts w:hint="eastAsia" w:ascii="宋体" w:hAnsi="宋体" w:eastAsia="宋体"/>
                <w:sz w:val="24"/>
                <w:szCs w:val="24"/>
              </w:rPr>
              <w:t>/</w:t>
            </w:r>
            <w:r>
              <w:rPr>
                <w:rFonts w:hint="eastAsia" w:ascii="Times New Roman" w:hAnsi="Times New Roman" w:eastAsia="宋体"/>
                <w:sz w:val="24"/>
                <w:szCs w:val="24"/>
              </w:rPr>
              <w:t>kg</w:t>
            </w:r>
            <w:r>
              <w:rPr>
                <w:rFonts w:hint="eastAsia" w:ascii="宋体" w:hAnsi="宋体" w:eastAsia="宋体"/>
                <w:sz w:val="24"/>
                <w:szCs w:val="24"/>
              </w:rPr>
              <w:t>化石燃料</w:t>
            </w:r>
          </w:p>
        </w:tc>
      </w:tr>
      <w:tr w14:paraId="3E67B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3A420B1F">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69" w:type="dxa"/>
            <w:vAlign w:val="center"/>
          </w:tcPr>
          <w:p w14:paraId="12B17F27">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国家文献数据或IPCC缺省值</w:t>
            </w:r>
          </w:p>
        </w:tc>
      </w:tr>
    </w:tbl>
    <w:p w14:paraId="416DE72D">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t xml:space="preserve">表6 </w:t>
      </w:r>
      <w:r>
        <w:rPr>
          <w:rFonts w:ascii="宋体" w:hAnsi="宋体" w:eastAsia="宋体"/>
          <w:position w:val="-14"/>
          <w:sz w:val="24"/>
          <w:szCs w:val="24"/>
        </w:rPr>
        <w:object>
          <v:shape id="_x0000_i1048" o:spt="75" type="#_x0000_t75" style="height:19.5pt;width:36pt;" o:ole="t" filled="f" o:preferrelative="t" stroked="f" coordsize="21600,21600">
            <v:path/>
            <v:fill on="f" focussize="0,0"/>
            <v:stroke on="f" joinstyle="miter"/>
            <v:imagedata r:id="rId18" o:title=""/>
            <o:lock v:ext="edit" aspectratio="t"/>
            <w10:wrap type="none"/>
            <w10:anchorlock/>
          </v:shape>
          <o:OLEObject Type="Embed" ProgID="Equation.DSMT4" ShapeID="_x0000_i1048" DrawAspect="Content" ObjectID="_1468075748" r:id="rId46">
            <o:LockedField>false</o:LockedField>
          </o:OLEObject>
        </w:object>
      </w:r>
      <w:r>
        <w:rPr>
          <w:rFonts w:hint="eastAsia" w:ascii="黑体" w:hAnsi="黑体" w:eastAsia="黑体" w:cs="黑体"/>
          <w:kern w:val="0"/>
          <w:sz w:val="24"/>
          <w:szCs w:val="24"/>
        </w:rPr>
        <w:t>的技术内容和确定方法</w:t>
      </w:r>
    </w:p>
    <w:tbl>
      <w:tblPr>
        <w:tblStyle w:val="11"/>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9"/>
        <w:gridCol w:w="6357"/>
      </w:tblGrid>
      <w:tr w14:paraId="498C7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33C364F3">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57" w:type="dxa"/>
            <w:vAlign w:val="center"/>
          </w:tcPr>
          <w:p w14:paraId="6A047F17">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ascii="宋体" w:hAnsi="宋体" w:eastAsia="宋体"/>
                <w:position w:val="-14"/>
                <w:sz w:val="24"/>
                <w:szCs w:val="24"/>
              </w:rPr>
              <w:object>
                <v:shape id="_x0000_i1049" o:spt="75" type="#_x0000_t75" style="height:19.5pt;width:36pt;" o:ole="t" filled="f" o:preferrelative="t" stroked="f" coordsize="21600,21600">
                  <v:path/>
                  <v:fill on="f" focussize="0,0"/>
                  <v:stroke on="f" joinstyle="miter"/>
                  <v:imagedata r:id="rId18" o:title=""/>
                  <o:lock v:ext="edit" aspectratio="t"/>
                  <w10:wrap type="none"/>
                  <w10:anchorlock/>
                </v:shape>
                <o:OLEObject Type="Embed" ProgID="Equation.DSMT4" ShapeID="_x0000_i1049" DrawAspect="Content" ObjectID="_1468075749" r:id="rId47">
                  <o:LockedField>false</o:LockedField>
                </o:OLEObject>
              </w:object>
            </w:r>
          </w:p>
        </w:tc>
      </w:tr>
      <w:tr w14:paraId="442F9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2C41FAF3">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应用的公式编号</w:t>
            </w:r>
          </w:p>
        </w:tc>
        <w:tc>
          <w:tcPr>
            <w:tcW w:w="6357" w:type="dxa"/>
            <w:vAlign w:val="center"/>
          </w:tcPr>
          <w:p w14:paraId="7A450075">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1)</w:t>
            </w:r>
          </w:p>
        </w:tc>
      </w:tr>
      <w:tr w14:paraId="5414B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704B8619">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57" w:type="dxa"/>
            <w:vAlign w:val="center"/>
          </w:tcPr>
          <w:p w14:paraId="1C646F76">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车型为</w:t>
            </w:r>
            <w:r>
              <w:rPr>
                <w:rFonts w:hint="eastAsia" w:ascii="Times New Roman" w:hAnsi="Times New Roman" w:eastAsia="宋体" w:cs="Times New Roman"/>
                <w:i/>
                <w:iCs/>
                <w:kern w:val="0"/>
                <w:sz w:val="24"/>
                <w:szCs w:val="24"/>
              </w:rPr>
              <w:t>i</w:t>
            </w:r>
            <w:r>
              <w:rPr>
                <w:rFonts w:hint="eastAsia" w:ascii="Times New Roman" w:hAnsi="Times New Roman" w:eastAsia="宋体" w:cs="Times New Roman"/>
                <w:kern w:val="0"/>
                <w:sz w:val="24"/>
                <w:szCs w:val="24"/>
              </w:rPr>
              <w:t>的基准线车辆消耗燃料的CO</w:t>
            </w:r>
            <w:r>
              <w:rPr>
                <w:rFonts w:hint="eastAsia" w:ascii="Times New Roman" w:hAnsi="Times New Roman" w:eastAsia="宋体" w:cs="Times New Roman"/>
                <w:kern w:val="0"/>
                <w:sz w:val="24"/>
                <w:szCs w:val="24"/>
                <w:vertAlign w:val="subscript"/>
              </w:rPr>
              <w:t>2</w:t>
            </w:r>
            <w:r>
              <w:rPr>
                <w:rFonts w:hint="eastAsia" w:ascii="Times New Roman" w:hAnsi="Times New Roman" w:eastAsia="宋体" w:cs="Times New Roman"/>
                <w:kern w:val="0"/>
                <w:sz w:val="24"/>
                <w:szCs w:val="24"/>
              </w:rPr>
              <w:t>排放因子</w:t>
            </w:r>
          </w:p>
        </w:tc>
      </w:tr>
      <w:tr w14:paraId="55E9C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939" w:type="dxa"/>
            <w:shd w:val="clear" w:color="auto" w:fill="auto"/>
            <w:vAlign w:val="center"/>
          </w:tcPr>
          <w:p w14:paraId="7C0D66E9">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57" w:type="dxa"/>
            <w:shd w:val="clear" w:color="auto" w:fill="auto"/>
            <w:vAlign w:val="center"/>
          </w:tcPr>
          <w:p w14:paraId="3FDD5F02">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sz w:val="24"/>
                <w:szCs w:val="24"/>
              </w:rPr>
              <w:t>kgCO</w:t>
            </w:r>
            <w:r>
              <w:rPr>
                <w:rFonts w:hint="eastAsia" w:ascii="Times New Roman" w:hAnsi="Times New Roman" w:eastAsia="宋体"/>
                <w:sz w:val="24"/>
                <w:szCs w:val="24"/>
                <w:vertAlign w:val="subscript"/>
              </w:rPr>
              <w:t>2</w:t>
            </w:r>
            <w:r>
              <w:rPr>
                <w:rFonts w:hint="eastAsia" w:ascii="宋体" w:hAnsi="宋体" w:eastAsia="宋体"/>
                <w:sz w:val="24"/>
                <w:szCs w:val="24"/>
              </w:rPr>
              <w:t>/</w:t>
            </w:r>
            <w:r>
              <w:rPr>
                <w:rFonts w:hint="eastAsia" w:ascii="Times New Roman" w:hAnsi="Times New Roman" w:eastAsia="宋体"/>
                <w:sz w:val="24"/>
                <w:szCs w:val="24"/>
              </w:rPr>
              <w:t>MJ</w:t>
            </w:r>
          </w:p>
        </w:tc>
      </w:tr>
      <w:tr w14:paraId="1C224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939" w:type="dxa"/>
            <w:vAlign w:val="center"/>
          </w:tcPr>
          <w:p w14:paraId="39CE3F05">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57" w:type="dxa"/>
            <w:vAlign w:val="center"/>
          </w:tcPr>
          <w:p w14:paraId="38547BE8">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国家文献数据或IPCC缺省值</w:t>
            </w:r>
          </w:p>
        </w:tc>
      </w:tr>
    </w:tbl>
    <w:p w14:paraId="567E753D">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t xml:space="preserve">表7  </w:t>
      </w:r>
      <w:r>
        <w:rPr>
          <w:rFonts w:hint="eastAsia" w:ascii="Times New Roman" w:hAnsi="Times New Roman" w:eastAsia="宋体" w:cs="Times New Roman"/>
          <w:i/>
          <w:iCs/>
          <w:kern w:val="0"/>
          <w:sz w:val="24"/>
          <w:szCs w:val="24"/>
        </w:rPr>
        <w:t>IR</w:t>
      </w:r>
      <w:r>
        <w:rPr>
          <w:rFonts w:hint="eastAsia" w:ascii="黑体" w:hAnsi="黑体" w:eastAsia="黑体" w:cs="黑体"/>
          <w:kern w:val="0"/>
          <w:sz w:val="24"/>
          <w:szCs w:val="24"/>
        </w:rPr>
        <w:t>的技术内容和确定方法</w:t>
      </w:r>
    </w:p>
    <w:tbl>
      <w:tblPr>
        <w:tblStyle w:val="11"/>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9"/>
        <w:gridCol w:w="6357"/>
      </w:tblGrid>
      <w:tr w14:paraId="1D55D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6EB3C8DA">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57" w:type="dxa"/>
            <w:vAlign w:val="center"/>
          </w:tcPr>
          <w:p w14:paraId="022D4251">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hint="eastAsia" w:ascii="Times New Roman" w:hAnsi="Times New Roman" w:eastAsia="宋体" w:cs="Times New Roman"/>
                <w:i/>
                <w:iCs/>
                <w:kern w:val="0"/>
                <w:sz w:val="24"/>
                <w:szCs w:val="24"/>
              </w:rPr>
              <w:t>IR</w:t>
            </w:r>
          </w:p>
        </w:tc>
      </w:tr>
      <w:tr w14:paraId="73226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0263E6C4">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应用的公式编号</w:t>
            </w:r>
          </w:p>
        </w:tc>
        <w:tc>
          <w:tcPr>
            <w:tcW w:w="6357" w:type="dxa"/>
            <w:vAlign w:val="center"/>
          </w:tcPr>
          <w:p w14:paraId="4D989F41">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1)</w:t>
            </w:r>
          </w:p>
        </w:tc>
      </w:tr>
      <w:tr w14:paraId="5FD95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09E36693">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57" w:type="dxa"/>
            <w:vAlign w:val="center"/>
          </w:tcPr>
          <w:p w14:paraId="73E2D384">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eastAsia="zh-CN"/>
              </w:rPr>
              <w:t>基准线车辆的技术进步因子</w:t>
            </w:r>
            <w:r>
              <w:rPr>
                <w:rFonts w:hint="eastAsia" w:ascii="Times New Roman" w:hAnsi="Times New Roman" w:eastAsia="宋体" w:cs="Times New Roman"/>
                <w:kern w:val="0"/>
                <w:sz w:val="24"/>
                <w:szCs w:val="24"/>
              </w:rPr>
              <w:t xml:space="preserve"> </w:t>
            </w:r>
          </w:p>
        </w:tc>
      </w:tr>
      <w:tr w14:paraId="03970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11949545">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57" w:type="dxa"/>
            <w:shd w:val="clear" w:color="auto" w:fill="auto"/>
            <w:vAlign w:val="center"/>
          </w:tcPr>
          <w:p w14:paraId="0B147CF9">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w:t>
            </w:r>
          </w:p>
        </w:tc>
      </w:tr>
      <w:tr w14:paraId="4D244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31201F02">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57" w:type="dxa"/>
            <w:vAlign w:val="center"/>
          </w:tcPr>
          <w:p w14:paraId="38526CCA">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技术进步率应用于每一日历年。对于基准线所有车辆车型来说其技术改进因子的缺省值为0.99。</w:t>
            </w:r>
          </w:p>
        </w:tc>
      </w:tr>
    </w:tbl>
    <w:p w14:paraId="747025C0">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t xml:space="preserve">表8 </w:t>
      </w:r>
      <w:r>
        <w:rPr>
          <w:rFonts w:ascii="Times New Roman" w:hAnsi="Times New Roman" w:eastAsia="宋体" w:cs="Times New Roman"/>
          <w:i/>
          <w:iCs/>
          <w:kern w:val="0"/>
          <w:position w:val="-12"/>
          <w:sz w:val="28"/>
          <w:szCs w:val="28"/>
        </w:rPr>
        <w:object>
          <v:shape id="_x0000_i1050" o:spt="75" type="#_x0000_t75" style="height:18pt;width:28.5pt;" o:ole="t" filled="f" o:preferrelative="t" stroked="f" coordsize="21600,21600">
            <v:path/>
            <v:fill on="f" focussize="0,0"/>
            <v:stroke on="f" joinstyle="miter"/>
            <v:imagedata r:id="rId35" o:title=""/>
            <o:lock v:ext="edit" aspectratio="t"/>
            <w10:wrap type="none"/>
            <w10:anchorlock/>
          </v:shape>
          <o:OLEObject Type="Embed" ProgID="Equation.DSMT4" ShapeID="_x0000_i1050" DrawAspect="Content" ObjectID="_1468075750" r:id="rId48">
            <o:LockedField>false</o:LockedField>
          </o:OLEObject>
        </w:object>
      </w:r>
      <w:r>
        <w:rPr>
          <w:rFonts w:hint="eastAsia" w:ascii="黑体" w:hAnsi="黑体" w:eastAsia="黑体" w:cs="黑体"/>
          <w:kern w:val="0"/>
          <w:sz w:val="24"/>
          <w:szCs w:val="24"/>
        </w:rPr>
        <w:t>的技术内容和确定方法</w:t>
      </w:r>
    </w:p>
    <w:tbl>
      <w:tblPr>
        <w:tblStyle w:val="11"/>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7"/>
        <w:gridCol w:w="6369"/>
      </w:tblGrid>
      <w:tr w14:paraId="7AE95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79FD55A8">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69" w:type="dxa"/>
            <w:vAlign w:val="center"/>
          </w:tcPr>
          <w:p w14:paraId="43C76D0D">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ascii="Times New Roman" w:hAnsi="Times New Roman" w:eastAsia="宋体" w:cs="Times New Roman"/>
                <w:i/>
                <w:iCs/>
                <w:kern w:val="0"/>
                <w:position w:val="-12"/>
                <w:sz w:val="28"/>
                <w:szCs w:val="28"/>
              </w:rPr>
              <w:object>
                <v:shape id="_x0000_i1051" o:spt="75" type="#_x0000_t75" style="height:18pt;width:28.5pt;" o:ole="t" filled="f" o:preferrelative="t" stroked="f" coordsize="21600,21600">
                  <v:path/>
                  <v:fill on="f" focussize="0,0"/>
                  <v:stroke on="f" joinstyle="miter"/>
                  <v:imagedata r:id="rId35" o:title=""/>
                  <o:lock v:ext="edit" aspectratio="t"/>
                  <w10:wrap type="none"/>
                  <w10:anchorlock/>
                </v:shape>
                <o:OLEObject Type="Embed" ProgID="Equation.DSMT4" ShapeID="_x0000_i1051" DrawAspect="Content" ObjectID="_1468075751" r:id="rId49">
                  <o:LockedField>false</o:LockedField>
                </o:OLEObject>
              </w:object>
            </w:r>
            <w:r>
              <w:rPr>
                <w:rFonts w:ascii="Times New Roman" w:hAnsi="Times New Roman" w:eastAsia="宋体" w:cs="Times New Roman"/>
                <w:i/>
                <w:iCs/>
                <w:kern w:val="0"/>
                <w:sz w:val="24"/>
                <w:szCs w:val="24"/>
              </w:rPr>
              <w:t xml:space="preserve"> </w:t>
            </w:r>
          </w:p>
        </w:tc>
      </w:tr>
      <w:tr w14:paraId="35152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115448BB">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应用的公式编号</w:t>
            </w:r>
          </w:p>
        </w:tc>
        <w:tc>
          <w:tcPr>
            <w:tcW w:w="6369" w:type="dxa"/>
            <w:vAlign w:val="center"/>
          </w:tcPr>
          <w:p w14:paraId="3C464940">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3)</w:t>
            </w:r>
          </w:p>
        </w:tc>
      </w:tr>
      <w:tr w14:paraId="4C9CE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2B49EEBD">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69" w:type="dxa"/>
            <w:vAlign w:val="center"/>
          </w:tcPr>
          <w:p w14:paraId="75E6C934">
            <w:pPr>
              <w:tabs>
                <w:tab w:val="left" w:pos="1269"/>
                <w:tab w:val="left" w:pos="1270"/>
              </w:tabs>
              <w:autoSpaceDE w:val="0"/>
              <w:autoSpaceDN w:val="0"/>
              <w:snapToGrid w:val="0"/>
              <w:spacing w:line="276" w:lineRule="auto"/>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电力二氧化碳排放因子</w:t>
            </w:r>
          </w:p>
        </w:tc>
      </w:tr>
      <w:tr w14:paraId="6F74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6A6ACEAE">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69" w:type="dxa"/>
            <w:shd w:val="clear" w:color="auto" w:fill="auto"/>
            <w:vAlign w:val="center"/>
          </w:tcPr>
          <w:p w14:paraId="4F94010D">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kgCO</w:t>
            </w:r>
            <w:r>
              <w:rPr>
                <w:rFonts w:hint="eastAsia" w:ascii="Times New Roman" w:hAnsi="Times New Roman" w:eastAsia="宋体" w:cs="Times New Roman"/>
                <w:kern w:val="0"/>
                <w:sz w:val="24"/>
                <w:szCs w:val="24"/>
                <w:vertAlign w:val="subscript"/>
              </w:rPr>
              <w:t>2</w:t>
            </w:r>
            <w:r>
              <w:rPr>
                <w:rFonts w:hint="eastAsia" w:ascii="Times New Roman" w:hAnsi="Times New Roman" w:eastAsia="宋体" w:cs="Times New Roman"/>
                <w:kern w:val="0"/>
                <w:sz w:val="24"/>
                <w:szCs w:val="24"/>
              </w:rPr>
              <w:t>/kWh</w:t>
            </w:r>
          </w:p>
        </w:tc>
      </w:tr>
      <w:tr w14:paraId="07767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62F3C45C">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69" w:type="dxa"/>
            <w:vAlign w:val="center"/>
          </w:tcPr>
          <w:p w14:paraId="4DF00C72">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1</w:t>
            </w: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rPr>
              <w:t>江苏分时分区电碳因子</w:t>
            </w:r>
            <w:r>
              <w:rPr>
                <w:rFonts w:hint="eastAsia" w:ascii="Times New Roman" w:hAnsi="Times New Roman" w:eastAsia="宋体" w:cs="Times New Roman"/>
                <w:kern w:val="0"/>
                <w:sz w:val="24"/>
                <w:szCs w:val="24"/>
                <w:lang w:val="en-US" w:eastAsia="zh-CN"/>
              </w:rPr>
              <w:t>数据库</w:t>
            </w:r>
            <w:r>
              <w:rPr>
                <w:rFonts w:hint="eastAsia" w:ascii="Times New Roman" w:hAnsi="Times New Roman" w:eastAsia="宋体" w:cs="Times New Roman"/>
                <w:kern w:val="0"/>
                <w:sz w:val="24"/>
                <w:szCs w:val="24"/>
              </w:rPr>
              <w:t>中对应南京区域的</w:t>
            </w:r>
            <w:r>
              <w:rPr>
                <w:rFonts w:hint="eastAsia" w:ascii="Times New Roman" w:hAnsi="Times New Roman" w:eastAsia="宋体" w:cs="Times New Roman"/>
                <w:kern w:val="0"/>
                <w:sz w:val="24"/>
                <w:szCs w:val="24"/>
                <w:lang w:val="en-US" w:eastAsia="zh-CN"/>
              </w:rPr>
              <w:t>分时排放因子；</w:t>
            </w:r>
          </w:p>
          <w:p w14:paraId="79BD4BD1">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（2）国家生态环境部发布的最新电力二氧化碳排放因子值；</w:t>
            </w:r>
          </w:p>
          <w:p w14:paraId="3D74CA4B">
            <w:pPr>
              <w:tabs>
                <w:tab w:val="left" w:pos="1269"/>
                <w:tab w:val="left" w:pos="1270"/>
              </w:tabs>
              <w:autoSpaceDE w:val="0"/>
              <w:autoSpaceDN w:val="0"/>
              <w:snapToGrid w:val="0"/>
              <w:spacing w:line="276" w:lineRule="auto"/>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（3）场站配套光伏直供电场景：光伏自发自用充电电量部分，不计入电网碳排放，单独建立光伏电量台账分拆核算，对应时段排放因子取值为0；无法拆分光伏直供电电量时，统一采用电网分时因子保守核算。</w:t>
            </w:r>
          </w:p>
        </w:tc>
      </w:tr>
    </w:tbl>
    <w:p w14:paraId="49AAA0C3">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8.2 减排项目实施阶段需要监测的参数和数据</w:t>
      </w:r>
    </w:p>
    <w:p w14:paraId="6D7EBDD9">
      <w:pPr>
        <w:keepNext w:val="0"/>
        <w:keepLines w:val="0"/>
        <w:pageBreakBefore w:val="0"/>
        <w:widowControl/>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减排项目实施阶段需监测的参数的技术内容和确定方法见表9。</w:t>
      </w:r>
    </w:p>
    <w:p w14:paraId="01724F76">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t xml:space="preserve">表9  </w:t>
      </w:r>
      <m:oMath>
        <m:r>
          <m:rPr/>
          <w:rPr>
            <w:rFonts w:ascii="Cambria Math" w:hAnsi="Cambria Math" w:eastAsia="宋体" w:cs="Times New Roman"/>
            <w:kern w:val="0"/>
            <w:sz w:val="24"/>
            <w:szCs w:val="24"/>
          </w:rPr>
          <m:t>E</m:t>
        </m:r>
        <m:sSub>
          <m:sSubPr>
            <m:ctrlPr>
              <w:rPr>
                <w:rFonts w:ascii="Cambria Math" w:hAnsi="Cambria Math" w:eastAsia="宋体" w:cs="Times New Roman"/>
                <w:iCs/>
                <w:kern w:val="0"/>
                <w:sz w:val="24"/>
                <w:szCs w:val="24"/>
              </w:rPr>
            </m:ctrlPr>
          </m:sSubPr>
          <m:e>
            <m:r>
              <m:rPr/>
              <w:rPr>
                <w:rFonts w:ascii="Cambria Math" w:hAnsi="Cambria Math" w:eastAsia="宋体" w:cs="Times New Roman"/>
                <w:kern w:val="0"/>
                <w:sz w:val="24"/>
                <w:szCs w:val="24"/>
              </w:rPr>
              <m:t>C</m:t>
            </m:r>
            <m:ctrlPr>
              <w:rPr>
                <w:rFonts w:ascii="Cambria Math" w:hAnsi="Cambria Math" w:eastAsia="宋体" w:cs="Times New Roman"/>
                <w:iCs/>
                <w:kern w:val="0"/>
                <w:sz w:val="24"/>
                <w:szCs w:val="24"/>
              </w:rPr>
            </m:ctrlPr>
          </m:e>
          <m:sub>
            <m:r>
              <m:rPr/>
              <w:rPr>
                <w:rFonts w:hint="default" w:ascii="Cambria Math" w:hAnsi="Cambria Math" w:eastAsia="宋体" w:cs="Times New Roman"/>
                <w:kern w:val="0"/>
                <w:sz w:val="24"/>
                <w:szCs w:val="24"/>
                <w:lang w:val="en-US" w:eastAsia="zh-CN"/>
              </w:rPr>
              <m:t>BS</m:t>
            </m:r>
            <m:r>
              <m:rPr/>
              <w:rPr>
                <w:rFonts w:ascii="Cambria Math" w:hAnsi="Cambria Math" w:eastAsia="宋体" w:cs="Times New Roman"/>
                <w:kern w:val="0"/>
                <w:sz w:val="24"/>
                <w:szCs w:val="24"/>
              </w:rPr>
              <m:t>,i,t</m:t>
            </m:r>
            <m:ctrlPr>
              <w:rPr>
                <w:rFonts w:ascii="Cambria Math" w:hAnsi="Cambria Math" w:eastAsia="宋体" w:cs="Times New Roman"/>
                <w:iCs/>
                <w:kern w:val="0"/>
                <w:sz w:val="24"/>
                <w:szCs w:val="24"/>
              </w:rPr>
            </m:ctrlPr>
          </m:sub>
        </m:sSub>
      </m:oMath>
      <w:r>
        <w:rPr>
          <w:rFonts w:hint="eastAsia" w:ascii="黑体" w:hAnsi="黑体" w:eastAsia="黑体" w:cs="黑体"/>
          <w:kern w:val="0"/>
          <w:sz w:val="24"/>
          <w:szCs w:val="24"/>
        </w:rPr>
        <w:t>的技术内容和确定方法</w:t>
      </w:r>
    </w:p>
    <w:tbl>
      <w:tblPr>
        <w:tblStyle w:val="11"/>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7"/>
        <w:gridCol w:w="6369"/>
      </w:tblGrid>
      <w:tr w14:paraId="79C72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31E62BDD">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69" w:type="dxa"/>
            <w:vAlign w:val="center"/>
          </w:tcPr>
          <w:p w14:paraId="662D7AA6">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m:oMathPara>
              <m:oMathParaPr>
                <m:jc m:val="left"/>
              </m:oMathParaPr>
              <m:oMath>
                <m:r>
                  <m:rPr/>
                  <w:rPr>
                    <w:rFonts w:ascii="Cambria Math" w:hAnsi="Cambria Math" w:eastAsia="宋体" w:cs="Times New Roman"/>
                    <w:kern w:val="0"/>
                    <w:sz w:val="24"/>
                    <w:szCs w:val="24"/>
                  </w:rPr>
                  <m:t>E</m:t>
                </m:r>
                <m:sSub>
                  <m:sSubPr>
                    <m:ctrlPr>
                      <w:rPr>
                        <w:rFonts w:ascii="Cambria Math" w:hAnsi="Cambria Math" w:eastAsia="宋体" w:cs="Times New Roman"/>
                        <w:iCs/>
                        <w:kern w:val="0"/>
                        <w:sz w:val="24"/>
                        <w:szCs w:val="24"/>
                      </w:rPr>
                    </m:ctrlPr>
                  </m:sSubPr>
                  <m:e>
                    <m:r>
                      <m:rPr/>
                      <w:rPr>
                        <w:rFonts w:ascii="Cambria Math" w:hAnsi="Cambria Math" w:eastAsia="宋体" w:cs="Times New Roman"/>
                        <w:kern w:val="0"/>
                        <w:sz w:val="24"/>
                        <w:szCs w:val="24"/>
                      </w:rPr>
                      <m:t>C</m:t>
                    </m:r>
                    <m:ctrlPr>
                      <w:rPr>
                        <w:rFonts w:ascii="Cambria Math" w:hAnsi="Cambria Math" w:eastAsia="宋体" w:cs="Times New Roman"/>
                        <w:iCs/>
                        <w:kern w:val="0"/>
                        <w:sz w:val="24"/>
                        <w:szCs w:val="24"/>
                      </w:rPr>
                    </m:ctrlPr>
                  </m:e>
                  <m:sub>
                    <m:r>
                      <m:rPr/>
                      <w:rPr>
                        <w:rFonts w:hint="default" w:ascii="Cambria Math" w:hAnsi="Cambria Math" w:eastAsia="宋体" w:cs="Times New Roman"/>
                        <w:kern w:val="0"/>
                        <w:sz w:val="24"/>
                        <w:szCs w:val="24"/>
                        <w:lang w:val="en-US" w:eastAsia="zh-CN"/>
                      </w:rPr>
                      <m:t>BS</m:t>
                    </m:r>
                    <m:r>
                      <m:rPr/>
                      <w:rPr>
                        <w:rFonts w:ascii="Cambria Math" w:hAnsi="Cambria Math" w:eastAsia="宋体" w:cs="Times New Roman"/>
                        <w:kern w:val="0"/>
                        <w:sz w:val="24"/>
                        <w:szCs w:val="24"/>
                      </w:rPr>
                      <m:t>,i,t</m:t>
                    </m:r>
                    <m:ctrlPr>
                      <w:rPr>
                        <w:rFonts w:ascii="Cambria Math" w:hAnsi="Cambria Math" w:eastAsia="宋体" w:cs="Times New Roman"/>
                        <w:iCs/>
                        <w:kern w:val="0"/>
                        <w:sz w:val="24"/>
                        <w:szCs w:val="24"/>
                      </w:rPr>
                    </m:ctrlPr>
                  </m:sub>
                </m:sSub>
              </m:oMath>
            </m:oMathPara>
          </w:p>
        </w:tc>
      </w:tr>
      <w:tr w14:paraId="009DB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688DA68B">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应用的公式编号</w:t>
            </w:r>
          </w:p>
        </w:tc>
        <w:tc>
          <w:tcPr>
            <w:tcW w:w="6369" w:type="dxa"/>
            <w:vAlign w:val="center"/>
          </w:tcPr>
          <w:p w14:paraId="1D3B2240">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3)</w:t>
            </w:r>
          </w:p>
        </w:tc>
      </w:tr>
      <w:tr w14:paraId="18ACA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3EC77713">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69" w:type="dxa"/>
            <w:vAlign w:val="center"/>
          </w:tcPr>
          <w:p w14:paraId="052FDFE2">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i/>
                <w:iCs/>
                <w:kern w:val="0"/>
                <w:sz w:val="24"/>
                <w:szCs w:val="24"/>
              </w:rPr>
              <w:t>t</w:t>
            </w:r>
            <w:r>
              <w:rPr>
                <w:rFonts w:ascii="Times New Roman" w:hAnsi="Times New Roman" w:eastAsia="宋体" w:cs="Times New Roman"/>
                <w:kern w:val="0"/>
                <w:sz w:val="24"/>
                <w:szCs w:val="24"/>
              </w:rPr>
              <w:t xml:space="preserve"> </w:t>
            </w:r>
            <w:r>
              <w:rPr>
                <w:rFonts w:hint="eastAsia" w:ascii="Times New Roman" w:hAnsi="Times New Roman" w:eastAsia="宋体" w:cs="Times New Roman"/>
                <w:kern w:val="0"/>
                <w:sz w:val="24"/>
                <w:szCs w:val="24"/>
              </w:rPr>
              <w:t>日</w:t>
            </w:r>
            <w:r>
              <w:rPr>
                <w:rFonts w:ascii="Times New Roman" w:hAnsi="Times New Roman" w:eastAsia="宋体" w:cs="Times New Roman"/>
                <w:kern w:val="0"/>
                <w:sz w:val="24"/>
                <w:szCs w:val="24"/>
              </w:rPr>
              <w:t>充电桩为车型</w:t>
            </w:r>
            <w:r>
              <w:rPr>
                <w:rFonts w:hint="eastAsia" w:ascii="Times New Roman" w:hAnsi="Times New Roman" w:eastAsia="宋体" w:cs="Times New Roman"/>
                <w:kern w:val="0"/>
                <w:sz w:val="24"/>
                <w:szCs w:val="24"/>
              </w:rPr>
              <w:t xml:space="preserve"> </w:t>
            </w:r>
            <w:r>
              <w:rPr>
                <w:rFonts w:ascii="Times New Roman" w:hAnsi="Times New Roman" w:eastAsia="宋体" w:cs="Times New Roman"/>
                <w:i/>
                <w:iCs/>
                <w:kern w:val="0"/>
                <w:sz w:val="24"/>
                <w:szCs w:val="24"/>
              </w:rPr>
              <w:t>i</w:t>
            </w:r>
            <w:r>
              <w:rPr>
                <w:rFonts w:ascii="Times New Roman" w:hAnsi="Times New Roman" w:eastAsia="宋体" w:cs="Times New Roman"/>
                <w:kern w:val="0"/>
                <w:sz w:val="24"/>
                <w:szCs w:val="24"/>
              </w:rPr>
              <w:t xml:space="preserve"> 的项目车辆的充电量</w:t>
            </w:r>
          </w:p>
        </w:tc>
      </w:tr>
      <w:tr w14:paraId="31754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195B0F65">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69" w:type="dxa"/>
            <w:shd w:val="clear" w:color="auto" w:fill="auto"/>
            <w:vAlign w:val="center"/>
          </w:tcPr>
          <w:p w14:paraId="6D46BBD1">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kWh</w:t>
            </w:r>
          </w:p>
        </w:tc>
      </w:tr>
      <w:tr w14:paraId="3A3D2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3292C37F">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69" w:type="dxa"/>
            <w:vAlign w:val="center"/>
          </w:tcPr>
          <w:p w14:paraId="4362A412">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现场测量</w:t>
            </w:r>
          </w:p>
        </w:tc>
      </w:tr>
      <w:tr w14:paraId="2F4F3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56B0F3AB">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监测程序</w:t>
            </w:r>
          </w:p>
        </w:tc>
        <w:tc>
          <w:tcPr>
            <w:tcW w:w="6369" w:type="dxa"/>
            <w:vAlign w:val="center"/>
          </w:tcPr>
          <w:p w14:paraId="5D80BFE9">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项目活动充电桩为车型i的</w:t>
            </w:r>
            <w:r>
              <w:rPr>
                <w:rFonts w:hint="eastAsia" w:ascii="Times New Roman" w:hAnsi="Times New Roman" w:eastAsia="宋体" w:cs="Times New Roman"/>
                <w:kern w:val="0"/>
                <w:sz w:val="24"/>
                <w:szCs w:val="24"/>
                <w:lang w:val="en-US" w:eastAsia="zh-CN"/>
              </w:rPr>
              <w:t>公交</w:t>
            </w:r>
            <w:r>
              <w:rPr>
                <w:rFonts w:hint="eastAsia" w:ascii="Times New Roman" w:hAnsi="Times New Roman" w:eastAsia="宋体" w:cs="Times New Roman"/>
                <w:kern w:val="0"/>
                <w:sz w:val="24"/>
                <w:szCs w:val="24"/>
              </w:rPr>
              <w:t>车辆的充电量通过充电桩的充电监测系统进行测量。</w:t>
            </w:r>
          </w:p>
        </w:tc>
      </w:tr>
      <w:tr w14:paraId="11090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0C11E18E">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监测频率</w:t>
            </w:r>
          </w:p>
        </w:tc>
        <w:tc>
          <w:tcPr>
            <w:tcW w:w="6369" w:type="dxa"/>
            <w:vAlign w:val="center"/>
          </w:tcPr>
          <w:p w14:paraId="2506CD91">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连续</w:t>
            </w:r>
          </w:p>
        </w:tc>
      </w:tr>
      <w:tr w14:paraId="07307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927" w:type="dxa"/>
            <w:vAlign w:val="center"/>
          </w:tcPr>
          <w:p w14:paraId="22DF980F">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质量控制程序</w:t>
            </w:r>
          </w:p>
        </w:tc>
        <w:tc>
          <w:tcPr>
            <w:tcW w:w="6369" w:type="dxa"/>
            <w:vAlign w:val="center"/>
          </w:tcPr>
          <w:p w14:paraId="76D93E1B">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充电监测系统测量数据将与行驶日志或充电桩提供结算单进行交叉检查。</w:t>
            </w:r>
          </w:p>
        </w:tc>
      </w:tr>
      <w:tr w14:paraId="60BA5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4C53A443">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质量控制程序</w:t>
            </w:r>
          </w:p>
        </w:tc>
        <w:tc>
          <w:tcPr>
            <w:tcW w:w="6369" w:type="dxa"/>
            <w:vAlign w:val="center"/>
          </w:tcPr>
          <w:p w14:paraId="3FD16FCA">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充电监测系统测量数据将与行驶日志或充电桩提供结算单进行交叉检查。</w:t>
            </w:r>
          </w:p>
        </w:tc>
      </w:tr>
    </w:tbl>
    <w:p w14:paraId="28EE26F1">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r>
        <w:rPr>
          <w:rFonts w:hint="eastAsia" w:cs="宋体"/>
          <w:b w:val="0"/>
          <w:bCs/>
          <w:spacing w:val="-5"/>
          <w:sz w:val="28"/>
          <w:szCs w:val="28"/>
          <w:lang w:val="en-US" w:eastAsia="zh-CN"/>
        </w:rPr>
        <w:t>8.3 减排项目实施及监测的数据管理要求</w:t>
      </w:r>
    </w:p>
    <w:p w14:paraId="0C061B82">
      <w:pPr>
        <w:keepNext w:val="0"/>
        <w:keepLines w:val="0"/>
        <w:pageBreakBefore w:val="0"/>
        <w:widowControl/>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（1）公交场站充电桩全部充电计量数据，须依托场站智能充电管理系统实现全天候自动采集、实时存储与标准化上传，建立常态化、全流程的数据质量管控体系。</w:t>
      </w:r>
    </w:p>
    <w:p w14:paraId="4E8733F5">
      <w:pPr>
        <w:keepNext w:val="0"/>
        <w:keepLines w:val="0"/>
        <w:pageBreakBefore w:val="0"/>
        <w:widowControl/>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2）日常需按日对分场站、分车型、分时段的充电电量数据进行合规校验，定期将充电桩原始计量读数、场站电费结算凭证、公交车载能耗终端记录进行多方交叉核对，及时排查数据缺失、数值异常、重复统计等问题，并形成异常溯源与整改台账。</w:t>
      </w:r>
    </w:p>
    <w:p w14:paraId="10859D1C">
      <w:pPr>
        <w:keepNext w:val="0"/>
        <w:keepLines w:val="0"/>
        <w:pageBreakBefore w:val="0"/>
        <w:widowControl/>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3）严格规范原始数据的备份、归档与留存管理，健全数据安全防护机制，严禁私自篡改、删减、补录监测原始数据。所有采集日志、校验记录、异常处置凭证需按监管规定长期存档，保障监测数据真实完整、连续可靠、全程可追溯，满足碳普惠核算、项目审定及后期核查的各项技术要求。</w:t>
      </w:r>
    </w:p>
    <w:p w14:paraId="6B909B28">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zh-CN"/>
        </w:rPr>
      </w:pPr>
      <w:bookmarkStart w:id="26" w:name="_Toc19855"/>
      <w:r>
        <w:rPr>
          <w:rFonts w:hint="eastAsia" w:ascii="黑体" w:hAnsi="黑体" w:eastAsia="黑体" w:cs="黑体"/>
          <w:b w:val="0"/>
          <w:bCs w:val="0"/>
          <w:spacing w:val="-2"/>
          <w:w w:val="95"/>
          <w:kern w:val="0"/>
          <w:sz w:val="28"/>
          <w:szCs w:val="28"/>
          <w:lang w:val="en-US" w:eastAsia="zh-CN"/>
        </w:rPr>
        <w:t>项目审定与核查要点</w:t>
      </w:r>
      <w:bookmarkEnd w:id="26"/>
    </w:p>
    <w:p w14:paraId="7EC04408">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9.1 项目适用条件的审定与核查要点</w:t>
      </w:r>
    </w:p>
    <w:p w14:paraId="52E8A777">
      <w:pPr>
        <w:keepNext w:val="0"/>
        <w:keepLines w:val="0"/>
        <w:pageBreakBefore w:val="0"/>
        <w:widowControl/>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1）审定核查阶段需系统查阅公交企业资质证照、碳普惠平台注册备案信息、充电桩电网报装资料及电价执行凭证，核实项目主体为南京市行政区域内合法经营的公交运营企业，参与碳普惠属于自愿申报、自主践行低碳减排的行为。</w:t>
      </w:r>
    </w:p>
    <w:p w14:paraId="415F141E">
      <w:pPr>
        <w:keepNext w:val="0"/>
        <w:keepLines w:val="0"/>
        <w:pageBreakBefore w:val="0"/>
        <w:widowControl/>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（2）严格核验公交场站充电桩权属归属、建设审批手续及电价执行类别，重点甄别场站专用充电设施与社会经营性充电设施差异，排除转供电、混用工商业电价、无正规报装手续等不符合准入条件的情形。</w:t>
      </w:r>
    </w:p>
    <w:p w14:paraId="5077222B">
      <w:pPr>
        <w:keepNext w:val="0"/>
        <w:keepLines w:val="0"/>
        <w:pageBreakBefore w:val="0"/>
        <w:widowControl/>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（3）逐一核验参与充电服务的车辆资质与动力类型，以车辆行驶证、营运资质材料为依据，仅限纯电动公交营运车辆纳入核算，剔除混合动力、燃油车辆、非营运客车及其他不符合项目要求的车型。</w:t>
      </w:r>
    </w:p>
    <w:p w14:paraId="165E6B0C">
      <w:pPr>
        <w:keepNext w:val="0"/>
        <w:keepLines w:val="0"/>
        <w:pageBreakBefore w:val="0"/>
        <w:widowControl/>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（4）同步开展重复申报排查，确认同一充电电量、同一减排活动未在其他碳市场、碳普惠渠道重复计算、重复申领权益，从准入源头保障项目合规性与核算唯一性。</w:t>
      </w:r>
    </w:p>
    <w:p w14:paraId="33BC03B5">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r>
        <w:rPr>
          <w:rFonts w:hint="default" w:cs="宋体"/>
          <w:b w:val="0"/>
          <w:bCs/>
          <w:spacing w:val="-5"/>
          <w:sz w:val="28"/>
          <w:szCs w:val="28"/>
          <w:lang w:val="en-US" w:eastAsia="zh-CN"/>
        </w:rPr>
        <w:t>9.2 项目边界的审定与核查要点</w:t>
      </w:r>
    </w:p>
    <w:p w14:paraId="2A77358C">
      <w:pPr>
        <w:keepNext w:val="0"/>
        <w:keepLines w:val="0"/>
        <w:pageBreakBefore w:val="0"/>
        <w:widowControl/>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（1）核查过程中需对照项目申报材料、场站权属证明、充电桩布局台账及日常充电运行原始记录，明确项目地理边界，严格限定在南京市行政区域内备案公交场站及配套公交运营线路范围。</w:t>
      </w:r>
    </w:p>
    <w:p w14:paraId="31630466">
      <w:pPr>
        <w:keepNext w:val="0"/>
        <w:keepLines w:val="0"/>
        <w:pageBreakBefore w:val="0"/>
        <w:widowControl/>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2）精准界定设施核算边界，仅将场站专用充电设备、站内配电配套设施、公共电网供电环节以及接受充电的纯电动公交车辆纳入核算范围，不得将场站办公用房、后勤配套、公共照明等无关耗能设施纳入核算范畴。</w:t>
      </w:r>
    </w:p>
    <w:p w14:paraId="158AC9BD">
      <w:pPr>
        <w:keepNext w:val="0"/>
        <w:keepLines w:val="0"/>
        <w:pageBreakBefore w:val="0"/>
        <w:widowControl/>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（3）严格把控核算边界的稳定性与严肃性，不允许人为随意扩大或缩小核算范围，严防跨场站、跨主体拆分充电电量、重复纳入核算等情形，确保边界划定清晰、范围固定、无重叠、无遗漏。</w:t>
      </w:r>
    </w:p>
    <w:p w14:paraId="191C1C09">
      <w:pPr>
        <w:pStyle w:val="24"/>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r>
        <w:rPr>
          <w:rFonts w:hint="default" w:cs="宋体"/>
          <w:b w:val="0"/>
          <w:bCs/>
          <w:spacing w:val="-5"/>
          <w:sz w:val="28"/>
          <w:szCs w:val="28"/>
          <w:lang w:val="en-US" w:eastAsia="zh-CN"/>
        </w:rPr>
        <w:t>9.3 项目监测计划的审定与核查要点</w:t>
      </w:r>
    </w:p>
    <w:p w14:paraId="6465C26D">
      <w:pPr>
        <w:keepNext w:val="0"/>
        <w:keepLines w:val="0"/>
        <w:pageBreakBefore w:val="0"/>
        <w:widowControl/>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（1）重点审核企业制定的监测实施方案、充电计量设备检定校准记录、数据采集日志及碳普惠平台对接技术文档，核查监测设备精度、采集频率、数据传输流程是否符合本方法学技术规范。</w:t>
      </w:r>
    </w:p>
    <w:p w14:paraId="203AFF13">
      <w:pPr>
        <w:keepNext w:val="0"/>
        <w:keepLines w:val="0"/>
        <w:pageBreakBefore w:val="0"/>
        <w:widowControl/>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（2）针对接入市级碳普惠智能服务平台自动核算的场站，需核验平台数据对接口径、减排计算公式、参数取值规则均与本方法学保持一致，具备原始数据上链存证、全流程轨迹可追溯的能力。</w:t>
      </w:r>
    </w:p>
    <w:p w14:paraId="0D6E7255">
      <w:pPr>
        <w:keepNext w:val="0"/>
        <w:keepLines w:val="0"/>
        <w:pageBreakBefore w:val="0"/>
        <w:widowControl/>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（3）核查监测数据是否严格以自然日为最小统计单元连续记录，杜绝人为数据断档、事后批量补录、人为修饰调整监测数值等影响数据真实性的行为。</w:t>
      </w:r>
    </w:p>
    <w:p w14:paraId="4DEC25FE">
      <w:pPr>
        <w:keepNext w:val="0"/>
        <w:keepLines w:val="0"/>
        <w:pageBreakBefore w:val="0"/>
        <w:widowControl/>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（4）同步审查企业用户信息采集、存储、传输的安全管控与隐私保护措施，确认符合数据安全相关法律法规要求，监测原始档案、核算台账、核查佐证资料的留存年限满足碳普惠长效监管与审计核查要求。</w:t>
      </w:r>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5A1B3">
    <w:pPr>
      <w:pStyle w:val="5"/>
      <w:jc w:val="center"/>
      <w:rPr>
        <w:rFonts w:hint="eastAsia"/>
      </w:rPr>
    </w:pPr>
  </w:p>
  <w:p w14:paraId="2058FF4F">
    <w:pPr>
      <w:pStyle w:val="5"/>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66047">
    <w:pPr>
      <w:pStyle w:val="5"/>
      <w:jc w:val="center"/>
      <w:rPr>
        <w:rFonts w:hint="eastAsia"/>
      </w:rPr>
    </w:pPr>
  </w:p>
  <w:p w14:paraId="394889C4">
    <w:pPr>
      <w:pStyle w:val="5"/>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6528284"/>
    </w:sdtPr>
    <w:sdtContent>
      <w:p w14:paraId="7AA64CAB">
        <w:pPr>
          <w:pStyle w:val="5"/>
          <w:jc w:val="center"/>
          <w:rPr>
            <w:rFonts w:hint="eastAsia"/>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p w14:paraId="58D82731">
    <w:pPr>
      <w:pStyle w:val="5"/>
      <w:rPr>
        <w:rFonts w:hint="eastAsi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EA5CB9"/>
    <w:multiLevelType w:val="multilevel"/>
    <w:tmpl w:val="15EA5CB9"/>
    <w:lvl w:ilvl="0" w:tentative="0">
      <w:start w:val="1"/>
      <w:numFmt w:val="decimal"/>
      <w:lvlText w:val="%1"/>
      <w:lvlJc w:val="left"/>
      <w:pPr>
        <w:ind w:left="564" w:hanging="442"/>
      </w:pPr>
      <w:rPr>
        <w:rFonts w:hint="default" w:ascii="宋体" w:hAnsi="宋体" w:eastAsia="宋体" w:cs="宋体"/>
        <w:b w:val="0"/>
        <w:bCs w:val="0"/>
        <w:i w:val="0"/>
        <w:iCs w:val="0"/>
        <w:w w:val="99"/>
        <w:sz w:val="21"/>
        <w:szCs w:val="21"/>
      </w:rPr>
    </w:lvl>
    <w:lvl w:ilvl="1" w:tentative="0">
      <w:start w:val="1"/>
      <w:numFmt w:val="decimal"/>
      <w:lvlText w:val="%2"/>
      <w:lvlJc w:val="left"/>
      <w:pPr>
        <w:ind w:left="284" w:hanging="284"/>
      </w:pPr>
      <w:rPr>
        <w:rFonts w:hint="default" w:ascii="黑体" w:hAnsi="黑体" w:eastAsia="黑体" w:cs="黑体"/>
        <w:b/>
        <w:bCs/>
        <w:i w:val="0"/>
        <w:iCs w:val="0"/>
        <w:w w:val="98"/>
        <w:sz w:val="21"/>
        <w:szCs w:val="21"/>
      </w:rPr>
    </w:lvl>
    <w:lvl w:ilvl="2" w:tentative="0">
      <w:start w:val="1"/>
      <w:numFmt w:val="lowerLetter"/>
      <w:lvlText w:val="%3)"/>
      <w:lvlJc w:val="left"/>
      <w:pPr>
        <w:ind w:left="1269" w:hanging="442"/>
      </w:pPr>
      <w:rPr>
        <w:rFonts w:hint="default" w:ascii="Times New Roman" w:hAnsi="Times New Roman" w:eastAsia="Times New Roman" w:cs="Times New Roman"/>
        <w:b w:val="0"/>
        <w:bCs w:val="0"/>
        <w:i w:val="0"/>
        <w:iCs w:val="0"/>
        <w:w w:val="99"/>
        <w:sz w:val="21"/>
        <w:szCs w:val="21"/>
      </w:rPr>
    </w:lvl>
    <w:lvl w:ilvl="3" w:tentative="0">
      <w:start w:val="0"/>
      <w:numFmt w:val="bullet"/>
      <w:lvlText w:val="•"/>
      <w:lvlJc w:val="left"/>
      <w:pPr>
        <w:ind w:left="2308" w:hanging="442"/>
      </w:pPr>
      <w:rPr>
        <w:rFonts w:hint="default"/>
      </w:rPr>
    </w:lvl>
    <w:lvl w:ilvl="4" w:tentative="0">
      <w:start w:val="0"/>
      <w:numFmt w:val="bullet"/>
      <w:lvlText w:val="•"/>
      <w:lvlJc w:val="left"/>
      <w:pPr>
        <w:ind w:left="3356" w:hanging="442"/>
      </w:pPr>
      <w:rPr>
        <w:rFonts w:hint="default"/>
      </w:rPr>
    </w:lvl>
    <w:lvl w:ilvl="5" w:tentative="0">
      <w:start w:val="0"/>
      <w:numFmt w:val="bullet"/>
      <w:lvlText w:val="•"/>
      <w:lvlJc w:val="left"/>
      <w:pPr>
        <w:ind w:left="4404" w:hanging="442"/>
      </w:pPr>
      <w:rPr>
        <w:rFonts w:hint="default"/>
      </w:rPr>
    </w:lvl>
    <w:lvl w:ilvl="6" w:tentative="0">
      <w:start w:val="0"/>
      <w:numFmt w:val="bullet"/>
      <w:lvlText w:val="•"/>
      <w:lvlJc w:val="left"/>
      <w:pPr>
        <w:ind w:left="5453" w:hanging="442"/>
      </w:pPr>
      <w:rPr>
        <w:rFonts w:hint="default"/>
      </w:rPr>
    </w:lvl>
    <w:lvl w:ilvl="7" w:tentative="0">
      <w:start w:val="0"/>
      <w:numFmt w:val="bullet"/>
      <w:lvlText w:val="•"/>
      <w:lvlJc w:val="left"/>
      <w:pPr>
        <w:ind w:left="6501" w:hanging="442"/>
      </w:pPr>
      <w:rPr>
        <w:rFonts w:hint="default"/>
      </w:rPr>
    </w:lvl>
    <w:lvl w:ilvl="8" w:tentative="0">
      <w:start w:val="0"/>
      <w:numFmt w:val="bullet"/>
      <w:lvlText w:val="•"/>
      <w:lvlJc w:val="left"/>
      <w:pPr>
        <w:ind w:left="7549" w:hanging="442"/>
      </w:pPr>
      <w:rPr>
        <w:rFonts w:hint="default"/>
      </w:rPr>
    </w:lvl>
  </w:abstractNum>
  <w:abstractNum w:abstractNumId="1">
    <w:nsid w:val="21D35FEC"/>
    <w:multiLevelType w:val="multilevel"/>
    <w:tmpl w:val="21D35FEC"/>
    <w:lvl w:ilvl="0" w:tentative="0">
      <w:start w:val="1"/>
      <w:numFmt w:val="decimal"/>
      <w:lvlText w:val="%1"/>
      <w:lvlJc w:val="left"/>
      <w:pPr>
        <w:ind w:left="564" w:hanging="442"/>
      </w:pPr>
      <w:rPr>
        <w:rFonts w:hint="default" w:ascii="宋体" w:hAnsi="宋体" w:eastAsia="宋体" w:cs="宋体"/>
        <w:b w:val="0"/>
        <w:bCs w:val="0"/>
        <w:i w:val="0"/>
        <w:iCs w:val="0"/>
        <w:w w:val="99"/>
        <w:sz w:val="21"/>
        <w:szCs w:val="21"/>
      </w:rPr>
    </w:lvl>
    <w:lvl w:ilvl="1" w:tentative="0">
      <w:start w:val="1"/>
      <w:numFmt w:val="decimal"/>
      <w:lvlText w:val="%2"/>
      <w:lvlJc w:val="left"/>
      <w:pPr>
        <w:ind w:left="284" w:hanging="284"/>
      </w:pPr>
      <w:rPr>
        <w:rFonts w:hint="default" w:ascii="黑体" w:hAnsi="黑体" w:eastAsia="黑体" w:cs="黑体"/>
        <w:b w:val="0"/>
        <w:bCs w:val="0"/>
        <w:i w:val="0"/>
        <w:iCs w:val="0"/>
        <w:w w:val="98"/>
        <w:sz w:val="28"/>
        <w:szCs w:val="28"/>
      </w:rPr>
    </w:lvl>
    <w:lvl w:ilvl="2" w:tentative="0">
      <w:start w:val="1"/>
      <w:numFmt w:val="lowerLetter"/>
      <w:lvlText w:val="%3)"/>
      <w:lvlJc w:val="left"/>
      <w:pPr>
        <w:ind w:left="1269" w:hanging="442"/>
      </w:pPr>
      <w:rPr>
        <w:rFonts w:hint="default" w:ascii="Times New Roman" w:hAnsi="Times New Roman" w:eastAsia="Times New Roman" w:cs="Times New Roman"/>
        <w:b w:val="0"/>
        <w:bCs w:val="0"/>
        <w:i w:val="0"/>
        <w:iCs w:val="0"/>
        <w:w w:val="99"/>
        <w:sz w:val="28"/>
        <w:szCs w:val="28"/>
      </w:rPr>
    </w:lvl>
    <w:lvl w:ilvl="3" w:tentative="0">
      <w:start w:val="0"/>
      <w:numFmt w:val="bullet"/>
      <w:lvlText w:val="•"/>
      <w:lvlJc w:val="left"/>
      <w:pPr>
        <w:ind w:left="2308" w:hanging="442"/>
      </w:pPr>
      <w:rPr>
        <w:rFonts w:hint="default"/>
      </w:rPr>
    </w:lvl>
    <w:lvl w:ilvl="4" w:tentative="0">
      <w:start w:val="0"/>
      <w:numFmt w:val="bullet"/>
      <w:lvlText w:val="•"/>
      <w:lvlJc w:val="left"/>
      <w:pPr>
        <w:ind w:left="3356" w:hanging="442"/>
      </w:pPr>
      <w:rPr>
        <w:rFonts w:hint="default"/>
      </w:rPr>
    </w:lvl>
    <w:lvl w:ilvl="5" w:tentative="0">
      <w:start w:val="0"/>
      <w:numFmt w:val="bullet"/>
      <w:lvlText w:val="•"/>
      <w:lvlJc w:val="left"/>
      <w:pPr>
        <w:ind w:left="4404" w:hanging="442"/>
      </w:pPr>
      <w:rPr>
        <w:rFonts w:hint="default"/>
      </w:rPr>
    </w:lvl>
    <w:lvl w:ilvl="6" w:tentative="0">
      <w:start w:val="0"/>
      <w:numFmt w:val="bullet"/>
      <w:lvlText w:val="•"/>
      <w:lvlJc w:val="left"/>
      <w:pPr>
        <w:ind w:left="5453" w:hanging="442"/>
      </w:pPr>
      <w:rPr>
        <w:rFonts w:hint="default"/>
      </w:rPr>
    </w:lvl>
    <w:lvl w:ilvl="7" w:tentative="0">
      <w:start w:val="0"/>
      <w:numFmt w:val="bullet"/>
      <w:lvlText w:val="•"/>
      <w:lvlJc w:val="left"/>
      <w:pPr>
        <w:ind w:left="6501" w:hanging="442"/>
      </w:pPr>
      <w:rPr>
        <w:rFonts w:hint="default"/>
      </w:rPr>
    </w:lvl>
    <w:lvl w:ilvl="8" w:tentative="0">
      <w:start w:val="0"/>
      <w:numFmt w:val="bullet"/>
      <w:lvlText w:val="•"/>
      <w:lvlJc w:val="left"/>
      <w:pPr>
        <w:ind w:left="7549" w:hanging="442"/>
      </w:pPr>
      <w:rPr>
        <w:rFonts w:hint="default"/>
      </w:rPr>
    </w:lvl>
  </w:abstractNum>
  <w:abstractNum w:abstractNumId="2">
    <w:nsid w:val="4BFB2C8D"/>
    <w:multiLevelType w:val="multilevel"/>
    <w:tmpl w:val="4BFB2C8D"/>
    <w:lvl w:ilvl="0" w:tentative="0">
      <w:start w:val="1"/>
      <w:numFmt w:val="japaneseCounting"/>
      <w:lvlText w:val="%1、"/>
      <w:lvlJc w:val="left"/>
      <w:pPr>
        <w:ind w:left="1997" w:hanging="720"/>
      </w:pPr>
    </w:lvl>
    <w:lvl w:ilvl="1" w:tentative="0">
      <w:start w:val="1"/>
      <w:numFmt w:val="lowerLetter"/>
      <w:pStyle w:val="24"/>
      <w:lvlText w:val="%2)"/>
      <w:lvlJc w:val="left"/>
      <w:pPr>
        <w:ind w:left="2157" w:hanging="440"/>
      </w:pPr>
    </w:lvl>
    <w:lvl w:ilvl="2" w:tentative="0">
      <w:start w:val="1"/>
      <w:numFmt w:val="lowerRoman"/>
      <w:lvlText w:val="%3."/>
      <w:lvlJc w:val="right"/>
      <w:pPr>
        <w:ind w:left="2597" w:hanging="440"/>
      </w:pPr>
    </w:lvl>
    <w:lvl w:ilvl="3" w:tentative="0">
      <w:start w:val="1"/>
      <w:numFmt w:val="decimal"/>
      <w:lvlText w:val="%4."/>
      <w:lvlJc w:val="left"/>
      <w:pPr>
        <w:ind w:left="3037" w:hanging="440"/>
      </w:pPr>
    </w:lvl>
    <w:lvl w:ilvl="4" w:tentative="0">
      <w:start w:val="1"/>
      <w:numFmt w:val="lowerLetter"/>
      <w:lvlText w:val="%5)"/>
      <w:lvlJc w:val="left"/>
      <w:pPr>
        <w:ind w:left="3477" w:hanging="440"/>
      </w:pPr>
    </w:lvl>
    <w:lvl w:ilvl="5" w:tentative="0">
      <w:start w:val="1"/>
      <w:numFmt w:val="lowerRoman"/>
      <w:lvlText w:val="%6."/>
      <w:lvlJc w:val="right"/>
      <w:pPr>
        <w:ind w:left="3917" w:hanging="440"/>
      </w:pPr>
    </w:lvl>
    <w:lvl w:ilvl="6" w:tentative="0">
      <w:start w:val="1"/>
      <w:numFmt w:val="decimal"/>
      <w:lvlText w:val="%7."/>
      <w:lvlJc w:val="left"/>
      <w:pPr>
        <w:ind w:left="4357" w:hanging="440"/>
      </w:pPr>
    </w:lvl>
    <w:lvl w:ilvl="7" w:tentative="0">
      <w:start w:val="1"/>
      <w:numFmt w:val="lowerLetter"/>
      <w:lvlText w:val="%8)"/>
      <w:lvlJc w:val="left"/>
      <w:pPr>
        <w:ind w:left="4797" w:hanging="440"/>
      </w:pPr>
    </w:lvl>
    <w:lvl w:ilvl="8" w:tentative="0">
      <w:start w:val="1"/>
      <w:numFmt w:val="lowerRoman"/>
      <w:lvlText w:val="%9."/>
      <w:lvlJc w:val="right"/>
      <w:pPr>
        <w:ind w:left="5237" w:hanging="44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E4MGFkYTkwNjZjODA3YTU3OGUyNDFjZDZiMjMyMWMifQ=="/>
  </w:docVars>
  <w:rsids>
    <w:rsidRoot w:val="00172A27"/>
    <w:rsid w:val="00033D01"/>
    <w:rsid w:val="00064323"/>
    <w:rsid w:val="00064630"/>
    <w:rsid w:val="00066DD6"/>
    <w:rsid w:val="0008299C"/>
    <w:rsid w:val="000E2DD6"/>
    <w:rsid w:val="000F4A9D"/>
    <w:rsid w:val="00107E28"/>
    <w:rsid w:val="00135E9E"/>
    <w:rsid w:val="0014492B"/>
    <w:rsid w:val="00144C16"/>
    <w:rsid w:val="00163A9B"/>
    <w:rsid w:val="00172A27"/>
    <w:rsid w:val="001E58B7"/>
    <w:rsid w:val="00247549"/>
    <w:rsid w:val="0027585E"/>
    <w:rsid w:val="00290C9D"/>
    <w:rsid w:val="0029106E"/>
    <w:rsid w:val="002A7502"/>
    <w:rsid w:val="002B3157"/>
    <w:rsid w:val="002C28C4"/>
    <w:rsid w:val="002C334A"/>
    <w:rsid w:val="002D39D2"/>
    <w:rsid w:val="002F256B"/>
    <w:rsid w:val="00315C0D"/>
    <w:rsid w:val="0032238C"/>
    <w:rsid w:val="00367C76"/>
    <w:rsid w:val="003B7581"/>
    <w:rsid w:val="003C6052"/>
    <w:rsid w:val="003D5151"/>
    <w:rsid w:val="003E1FB7"/>
    <w:rsid w:val="00405F7C"/>
    <w:rsid w:val="00411682"/>
    <w:rsid w:val="00420603"/>
    <w:rsid w:val="004331CC"/>
    <w:rsid w:val="0044372E"/>
    <w:rsid w:val="004627CA"/>
    <w:rsid w:val="004879EA"/>
    <w:rsid w:val="00487ED1"/>
    <w:rsid w:val="004C1E7B"/>
    <w:rsid w:val="005025A5"/>
    <w:rsid w:val="00514197"/>
    <w:rsid w:val="00526B85"/>
    <w:rsid w:val="00531926"/>
    <w:rsid w:val="0054019F"/>
    <w:rsid w:val="00553254"/>
    <w:rsid w:val="005557E4"/>
    <w:rsid w:val="00576390"/>
    <w:rsid w:val="0058308E"/>
    <w:rsid w:val="005B62B3"/>
    <w:rsid w:val="005F5DEE"/>
    <w:rsid w:val="00603B4D"/>
    <w:rsid w:val="006262FE"/>
    <w:rsid w:val="00663D09"/>
    <w:rsid w:val="00671107"/>
    <w:rsid w:val="006745C1"/>
    <w:rsid w:val="006C5CA6"/>
    <w:rsid w:val="00715AFC"/>
    <w:rsid w:val="00731022"/>
    <w:rsid w:val="00742278"/>
    <w:rsid w:val="00760281"/>
    <w:rsid w:val="007929FB"/>
    <w:rsid w:val="007B2FE0"/>
    <w:rsid w:val="007F1909"/>
    <w:rsid w:val="007F7C6C"/>
    <w:rsid w:val="008340AF"/>
    <w:rsid w:val="0083483E"/>
    <w:rsid w:val="00857266"/>
    <w:rsid w:val="00865293"/>
    <w:rsid w:val="008900DA"/>
    <w:rsid w:val="008A0076"/>
    <w:rsid w:val="008A1DE1"/>
    <w:rsid w:val="008A67A4"/>
    <w:rsid w:val="008E409E"/>
    <w:rsid w:val="008E657F"/>
    <w:rsid w:val="00972162"/>
    <w:rsid w:val="009836B7"/>
    <w:rsid w:val="00995495"/>
    <w:rsid w:val="009B23DF"/>
    <w:rsid w:val="009C021B"/>
    <w:rsid w:val="009C2FBF"/>
    <w:rsid w:val="00A00B65"/>
    <w:rsid w:val="00A02B66"/>
    <w:rsid w:val="00A064F3"/>
    <w:rsid w:val="00A14114"/>
    <w:rsid w:val="00A3478F"/>
    <w:rsid w:val="00A40BCE"/>
    <w:rsid w:val="00A472BD"/>
    <w:rsid w:val="00A47DA1"/>
    <w:rsid w:val="00A65C60"/>
    <w:rsid w:val="00A71C94"/>
    <w:rsid w:val="00AC63FB"/>
    <w:rsid w:val="00AD1A38"/>
    <w:rsid w:val="00B00489"/>
    <w:rsid w:val="00B06992"/>
    <w:rsid w:val="00B21CC0"/>
    <w:rsid w:val="00B97A70"/>
    <w:rsid w:val="00BD5ADF"/>
    <w:rsid w:val="00BF3B9F"/>
    <w:rsid w:val="00C2718A"/>
    <w:rsid w:val="00C3028D"/>
    <w:rsid w:val="00C53B88"/>
    <w:rsid w:val="00C84696"/>
    <w:rsid w:val="00CC185A"/>
    <w:rsid w:val="00CC3DF5"/>
    <w:rsid w:val="00CD1056"/>
    <w:rsid w:val="00CD3E20"/>
    <w:rsid w:val="00D0125A"/>
    <w:rsid w:val="00D0381A"/>
    <w:rsid w:val="00D63CCE"/>
    <w:rsid w:val="00D83922"/>
    <w:rsid w:val="00DB7805"/>
    <w:rsid w:val="00DD00F2"/>
    <w:rsid w:val="00E17F09"/>
    <w:rsid w:val="00E32D95"/>
    <w:rsid w:val="00E63848"/>
    <w:rsid w:val="00EB4D72"/>
    <w:rsid w:val="00EC73DC"/>
    <w:rsid w:val="00EF39F9"/>
    <w:rsid w:val="00F05BE5"/>
    <w:rsid w:val="00F11B25"/>
    <w:rsid w:val="00F36EBB"/>
    <w:rsid w:val="00F53BA2"/>
    <w:rsid w:val="00F86769"/>
    <w:rsid w:val="00FB2C67"/>
    <w:rsid w:val="00FB3896"/>
    <w:rsid w:val="00FF16D8"/>
    <w:rsid w:val="00FF51B1"/>
    <w:rsid w:val="02B32DB9"/>
    <w:rsid w:val="06906903"/>
    <w:rsid w:val="075A5AF5"/>
    <w:rsid w:val="08D538D0"/>
    <w:rsid w:val="0B53680D"/>
    <w:rsid w:val="0CCD48BE"/>
    <w:rsid w:val="0EDC0C85"/>
    <w:rsid w:val="11C21DA6"/>
    <w:rsid w:val="12C44B2C"/>
    <w:rsid w:val="12D352E5"/>
    <w:rsid w:val="15EB05BE"/>
    <w:rsid w:val="16626B95"/>
    <w:rsid w:val="18A27A6A"/>
    <w:rsid w:val="1C2A656D"/>
    <w:rsid w:val="1EB27D37"/>
    <w:rsid w:val="21F7445F"/>
    <w:rsid w:val="230D2E5C"/>
    <w:rsid w:val="2C020C08"/>
    <w:rsid w:val="2E352597"/>
    <w:rsid w:val="3851621F"/>
    <w:rsid w:val="3AE1281E"/>
    <w:rsid w:val="3C710F56"/>
    <w:rsid w:val="425A03C6"/>
    <w:rsid w:val="4CF55099"/>
    <w:rsid w:val="4E85395C"/>
    <w:rsid w:val="51BB63CA"/>
    <w:rsid w:val="53293B53"/>
    <w:rsid w:val="57B43C7D"/>
    <w:rsid w:val="57E02CC4"/>
    <w:rsid w:val="596A6F20"/>
    <w:rsid w:val="5CD34BA6"/>
    <w:rsid w:val="5F4147CC"/>
    <w:rsid w:val="6601503D"/>
    <w:rsid w:val="67D21E42"/>
    <w:rsid w:val="69A95F10"/>
    <w:rsid w:val="72F757E0"/>
    <w:rsid w:val="75567D69"/>
    <w:rsid w:val="75E938B6"/>
    <w:rsid w:val="7BE41FBD"/>
    <w:rsid w:val="7CA74403"/>
    <w:rsid w:val="7D4E45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9"/>
    <w:pPr>
      <w:autoSpaceDE w:val="0"/>
      <w:autoSpaceDN w:val="0"/>
      <w:ind w:left="828" w:hanging="420"/>
      <w:jc w:val="left"/>
      <w:outlineLvl w:val="0"/>
    </w:pPr>
    <w:rPr>
      <w:rFonts w:ascii="黑体" w:hAnsi="黑体" w:eastAsia="黑体" w:cs="黑体"/>
      <w:b/>
      <w:bCs/>
      <w:kern w:val="0"/>
      <w:szCs w:val="21"/>
      <w:lang w:eastAsia="en-US"/>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8"/>
    <w:qFormat/>
    <w:uiPriority w:val="1"/>
    <w:pPr>
      <w:autoSpaceDE w:val="0"/>
      <w:autoSpaceDN w:val="0"/>
      <w:jc w:val="left"/>
    </w:pPr>
    <w:rPr>
      <w:rFonts w:ascii="宋体" w:hAnsi="宋体" w:eastAsia="宋体" w:cs="宋体"/>
      <w:kern w:val="0"/>
      <w:szCs w:val="21"/>
      <w:lang w:eastAsia="en-US"/>
    </w:rPr>
  </w:style>
  <w:style w:type="paragraph" w:styleId="4">
    <w:name w:val="toc 3"/>
    <w:basedOn w:val="1"/>
    <w:next w:val="1"/>
    <w:unhideWhenUsed/>
    <w:qFormat/>
    <w:uiPriority w:val="39"/>
    <w:pPr>
      <w:widowControl/>
      <w:spacing w:after="100" w:line="259" w:lineRule="auto"/>
      <w:ind w:left="440"/>
      <w:jc w:val="left"/>
    </w:pPr>
    <w:rPr>
      <w:rFonts w:cs="Times New Roman"/>
      <w:kern w:val="0"/>
      <w:sz w:val="22"/>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tabs>
        <w:tab w:val="center" w:pos="4153"/>
        <w:tab w:val="right" w:pos="8306"/>
      </w:tabs>
      <w:snapToGrid w:val="0"/>
      <w:jc w:val="center"/>
    </w:pPr>
    <w:rPr>
      <w:sz w:val="18"/>
      <w:szCs w:val="18"/>
    </w:rPr>
  </w:style>
  <w:style w:type="paragraph" w:styleId="7">
    <w:name w:val="toc 1"/>
    <w:basedOn w:val="1"/>
    <w:next w:val="1"/>
    <w:unhideWhenUsed/>
    <w:qFormat/>
    <w:uiPriority w:val="39"/>
    <w:pPr>
      <w:widowControl/>
      <w:snapToGrid w:val="0"/>
      <w:spacing w:line="480" w:lineRule="auto"/>
      <w:ind w:left="150" w:hanging="150" w:hangingChars="150"/>
      <w:jc w:val="left"/>
    </w:pPr>
    <w:rPr>
      <w:rFonts w:ascii="Times New Roman" w:hAnsi="Times New Roman" w:eastAsia="宋体" w:cs="Times New Roman"/>
      <w:kern w:val="0"/>
    </w:rPr>
  </w:style>
  <w:style w:type="paragraph" w:styleId="8">
    <w:name w:val="footnote text"/>
    <w:basedOn w:val="1"/>
    <w:link w:val="19"/>
    <w:semiHidden/>
    <w:unhideWhenUsed/>
    <w:qFormat/>
    <w:uiPriority w:val="99"/>
    <w:pPr>
      <w:autoSpaceDE w:val="0"/>
      <w:autoSpaceDN w:val="0"/>
      <w:snapToGrid w:val="0"/>
      <w:jc w:val="left"/>
    </w:pPr>
    <w:rPr>
      <w:rFonts w:ascii="宋体" w:hAnsi="宋体" w:eastAsia="宋体" w:cs="宋体"/>
      <w:kern w:val="0"/>
      <w:sz w:val="18"/>
      <w:szCs w:val="18"/>
      <w:lang w:eastAsia="en-US"/>
    </w:rPr>
  </w:style>
  <w:style w:type="paragraph" w:styleId="9">
    <w:name w:val="toc 2"/>
    <w:basedOn w:val="1"/>
    <w:next w:val="1"/>
    <w:unhideWhenUsed/>
    <w:qFormat/>
    <w:uiPriority w:val="39"/>
    <w:pPr>
      <w:widowControl/>
      <w:spacing w:after="100" w:line="259" w:lineRule="auto"/>
      <w:ind w:left="220"/>
      <w:jc w:val="left"/>
    </w:pPr>
    <w:rPr>
      <w:rFonts w:eastAsia="宋体" w:cs="Times New Roman"/>
      <w:kern w:val="0"/>
    </w:r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footnote reference"/>
    <w:basedOn w:val="12"/>
    <w:semiHidden/>
    <w:unhideWhenUsed/>
    <w:qFormat/>
    <w:uiPriority w:val="99"/>
    <w:rPr>
      <w:vertAlign w:val="superscript"/>
    </w:rPr>
  </w:style>
  <w:style w:type="character" w:customStyle="1" w:styleId="15">
    <w:name w:val="页眉 字符"/>
    <w:basedOn w:val="12"/>
    <w:link w:val="6"/>
    <w:qFormat/>
    <w:uiPriority w:val="99"/>
    <w:rPr>
      <w:sz w:val="18"/>
      <w:szCs w:val="18"/>
    </w:rPr>
  </w:style>
  <w:style w:type="character" w:customStyle="1" w:styleId="16">
    <w:name w:val="页脚 字符"/>
    <w:basedOn w:val="12"/>
    <w:link w:val="5"/>
    <w:qFormat/>
    <w:uiPriority w:val="99"/>
    <w:rPr>
      <w:sz w:val="18"/>
      <w:szCs w:val="18"/>
    </w:rPr>
  </w:style>
  <w:style w:type="character" w:customStyle="1" w:styleId="17">
    <w:name w:val="标题 1 字符"/>
    <w:basedOn w:val="12"/>
    <w:link w:val="2"/>
    <w:qFormat/>
    <w:uiPriority w:val="9"/>
    <w:rPr>
      <w:rFonts w:ascii="黑体" w:hAnsi="黑体" w:eastAsia="黑体" w:cs="黑体"/>
      <w:b/>
      <w:bCs/>
      <w:kern w:val="0"/>
      <w:szCs w:val="21"/>
      <w:lang w:eastAsia="en-US"/>
    </w:rPr>
  </w:style>
  <w:style w:type="character" w:customStyle="1" w:styleId="18">
    <w:name w:val="正文文本 字符"/>
    <w:basedOn w:val="12"/>
    <w:link w:val="3"/>
    <w:qFormat/>
    <w:uiPriority w:val="1"/>
    <w:rPr>
      <w:rFonts w:ascii="宋体" w:hAnsi="宋体" w:eastAsia="宋体" w:cs="宋体"/>
      <w:kern w:val="0"/>
      <w:szCs w:val="21"/>
      <w:lang w:eastAsia="en-US"/>
    </w:rPr>
  </w:style>
  <w:style w:type="character" w:customStyle="1" w:styleId="19">
    <w:name w:val="脚注文本 字符"/>
    <w:basedOn w:val="12"/>
    <w:link w:val="8"/>
    <w:semiHidden/>
    <w:qFormat/>
    <w:uiPriority w:val="99"/>
    <w:rPr>
      <w:rFonts w:ascii="宋体" w:hAnsi="宋体" w:eastAsia="宋体" w:cs="宋体"/>
      <w:kern w:val="0"/>
      <w:sz w:val="18"/>
      <w:szCs w:val="18"/>
      <w:lang w:eastAsia="en-US"/>
    </w:rPr>
  </w:style>
  <w:style w:type="character" w:styleId="20">
    <w:name w:val="Placeholder Text"/>
    <w:basedOn w:val="12"/>
    <w:semiHidden/>
    <w:qFormat/>
    <w:uiPriority w:val="99"/>
    <w:rPr>
      <w:color w:val="666666"/>
    </w:rPr>
  </w:style>
  <w:style w:type="paragraph" w:customStyle="1" w:styleId="21">
    <w:name w:val="TOC 标题1"/>
    <w:basedOn w:val="2"/>
    <w:next w:val="1"/>
    <w:unhideWhenUsed/>
    <w:qFormat/>
    <w:uiPriority w:val="39"/>
    <w:pPr>
      <w:keepNext/>
      <w:keepLines/>
      <w:widowControl/>
      <w:autoSpaceDE/>
      <w:autoSpaceDN/>
      <w:spacing w:before="240" w:line="259" w:lineRule="auto"/>
      <w:ind w:left="0" w:firstLine="0"/>
      <w:outlineLvl w:val="9"/>
    </w:pPr>
    <w:rPr>
      <w:rFonts w:asciiTheme="majorHAnsi" w:hAnsiTheme="majorHAnsi" w:eastAsiaTheme="majorEastAsia" w:cstheme="majorBidi"/>
      <w:b w:val="0"/>
      <w:bCs w:val="0"/>
      <w:color w:val="2F5597" w:themeColor="accent1" w:themeShade="BF"/>
      <w:sz w:val="32"/>
      <w:szCs w:val="32"/>
      <w:lang w:eastAsia="zh-CN"/>
    </w:rPr>
  </w:style>
  <w:style w:type="paragraph" w:customStyle="1" w:styleId="22">
    <w:name w:val="段"/>
    <w:qFormat/>
    <w:uiPriority w:val="99"/>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23">
    <w:name w:val="章标题 字符"/>
    <w:link w:val="24"/>
    <w:qFormat/>
    <w:uiPriority w:val="0"/>
    <w:rPr>
      <w:rFonts w:ascii="黑体" w:hAnsi="黑体" w:eastAsia="黑体" w:cs="黑体"/>
      <w:sz w:val="21"/>
      <w:szCs w:val="21"/>
    </w:rPr>
  </w:style>
  <w:style w:type="paragraph" w:customStyle="1" w:styleId="24">
    <w:name w:val="章标题"/>
    <w:basedOn w:val="1"/>
    <w:next w:val="1"/>
    <w:link w:val="23"/>
    <w:qFormat/>
    <w:uiPriority w:val="0"/>
    <w:pPr>
      <w:widowControl/>
      <w:numPr>
        <w:ilvl w:val="1"/>
        <w:numId w:val="1"/>
      </w:numPr>
      <w:spacing w:beforeLines="100" w:afterLines="100"/>
      <w:outlineLvl w:val="0"/>
    </w:pPr>
    <w:rPr>
      <w:rFonts w:ascii="黑体" w:hAnsi="黑体" w:eastAsia="黑体" w:cs="黑体"/>
      <w:kern w:val="0"/>
      <w:szCs w:val="21"/>
    </w:rPr>
  </w:style>
  <w:style w:type="paragraph" w:styleId="25">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2.bin"/><Relationship Id="rId8" Type="http://schemas.openxmlformats.org/officeDocument/2006/relationships/image" Target="media/image1.wmf"/><Relationship Id="rId7" Type="http://schemas.openxmlformats.org/officeDocument/2006/relationships/oleObject" Target="embeddings/oleObject1.bin"/><Relationship Id="rId6" Type="http://schemas.openxmlformats.org/officeDocument/2006/relationships/theme" Target="theme/theme1.xml"/><Relationship Id="rId53" Type="http://schemas.openxmlformats.org/officeDocument/2006/relationships/fontTable" Target="fontTable.xml"/><Relationship Id="rId52" Type="http://schemas.openxmlformats.org/officeDocument/2006/relationships/customXml" Target="../customXml/item2.xml"/><Relationship Id="rId51" Type="http://schemas.openxmlformats.org/officeDocument/2006/relationships/customXml" Target="../customXml/item1.xml"/><Relationship Id="rId50" Type="http://schemas.openxmlformats.org/officeDocument/2006/relationships/numbering" Target="numbering.xml"/><Relationship Id="rId5" Type="http://schemas.openxmlformats.org/officeDocument/2006/relationships/footer" Target="footer3.xml"/><Relationship Id="rId49" Type="http://schemas.openxmlformats.org/officeDocument/2006/relationships/oleObject" Target="embeddings/oleObject27.bin"/><Relationship Id="rId48" Type="http://schemas.openxmlformats.org/officeDocument/2006/relationships/oleObject" Target="embeddings/oleObject26.bin"/><Relationship Id="rId47" Type="http://schemas.openxmlformats.org/officeDocument/2006/relationships/oleObject" Target="embeddings/oleObject25.bin"/><Relationship Id="rId46" Type="http://schemas.openxmlformats.org/officeDocument/2006/relationships/oleObject" Target="embeddings/oleObject24.bin"/><Relationship Id="rId45" Type="http://schemas.openxmlformats.org/officeDocument/2006/relationships/oleObject" Target="embeddings/oleObject23.bin"/><Relationship Id="rId44" Type="http://schemas.openxmlformats.org/officeDocument/2006/relationships/oleObject" Target="embeddings/oleObject22.bin"/><Relationship Id="rId43" Type="http://schemas.openxmlformats.org/officeDocument/2006/relationships/oleObject" Target="embeddings/oleObject21.bin"/><Relationship Id="rId42" Type="http://schemas.openxmlformats.org/officeDocument/2006/relationships/oleObject" Target="embeddings/oleObject20.bin"/><Relationship Id="rId41" Type="http://schemas.openxmlformats.org/officeDocument/2006/relationships/oleObject" Target="embeddings/oleObject19.bin"/><Relationship Id="rId40" Type="http://schemas.openxmlformats.org/officeDocument/2006/relationships/oleObject" Target="embeddings/oleObject18.bin"/><Relationship Id="rId4" Type="http://schemas.openxmlformats.org/officeDocument/2006/relationships/footer" Target="footer2.xml"/><Relationship Id="rId39" Type="http://schemas.openxmlformats.org/officeDocument/2006/relationships/image" Target="media/image16.wmf"/><Relationship Id="rId38" Type="http://schemas.openxmlformats.org/officeDocument/2006/relationships/oleObject" Target="embeddings/oleObject17.bin"/><Relationship Id="rId37" Type="http://schemas.openxmlformats.org/officeDocument/2006/relationships/image" Target="media/image15.wmf"/><Relationship Id="rId36" Type="http://schemas.openxmlformats.org/officeDocument/2006/relationships/oleObject" Target="embeddings/oleObject16.bin"/><Relationship Id="rId35" Type="http://schemas.openxmlformats.org/officeDocument/2006/relationships/image" Target="media/image14.wmf"/><Relationship Id="rId34" Type="http://schemas.openxmlformats.org/officeDocument/2006/relationships/oleObject" Target="embeddings/oleObject15.bin"/><Relationship Id="rId33" Type="http://schemas.openxmlformats.org/officeDocument/2006/relationships/image" Target="media/image13.wmf"/><Relationship Id="rId32" Type="http://schemas.openxmlformats.org/officeDocument/2006/relationships/oleObject" Target="embeddings/oleObject14.bin"/><Relationship Id="rId31" Type="http://schemas.openxmlformats.org/officeDocument/2006/relationships/oleObject" Target="embeddings/oleObject13.bin"/><Relationship Id="rId30" Type="http://schemas.openxmlformats.org/officeDocument/2006/relationships/image" Target="media/image12.wmf"/><Relationship Id="rId3" Type="http://schemas.openxmlformats.org/officeDocument/2006/relationships/footer" Target="footer1.xml"/><Relationship Id="rId29" Type="http://schemas.openxmlformats.org/officeDocument/2006/relationships/oleObject" Target="embeddings/oleObject12.bin"/><Relationship Id="rId28" Type="http://schemas.openxmlformats.org/officeDocument/2006/relationships/image" Target="media/image11.wmf"/><Relationship Id="rId27" Type="http://schemas.openxmlformats.org/officeDocument/2006/relationships/oleObject" Target="embeddings/oleObject11.bin"/><Relationship Id="rId26" Type="http://schemas.openxmlformats.org/officeDocument/2006/relationships/image" Target="media/image10.wmf"/><Relationship Id="rId25" Type="http://schemas.openxmlformats.org/officeDocument/2006/relationships/oleObject" Target="embeddings/oleObject10.bin"/><Relationship Id="rId24" Type="http://schemas.openxmlformats.org/officeDocument/2006/relationships/image" Target="media/image9.wmf"/><Relationship Id="rId23" Type="http://schemas.openxmlformats.org/officeDocument/2006/relationships/oleObject" Target="embeddings/oleObject9.bin"/><Relationship Id="rId22" Type="http://schemas.openxmlformats.org/officeDocument/2006/relationships/image" Target="media/image8.wmf"/><Relationship Id="rId21" Type="http://schemas.openxmlformats.org/officeDocument/2006/relationships/oleObject" Target="embeddings/oleObject8.bin"/><Relationship Id="rId20" Type="http://schemas.openxmlformats.org/officeDocument/2006/relationships/image" Target="media/image7.wmf"/><Relationship Id="rId2" Type="http://schemas.openxmlformats.org/officeDocument/2006/relationships/settings" Target="settings.xml"/><Relationship Id="rId19" Type="http://schemas.openxmlformats.org/officeDocument/2006/relationships/oleObject" Target="embeddings/oleObject7.bin"/><Relationship Id="rId18" Type="http://schemas.openxmlformats.org/officeDocument/2006/relationships/image" Target="media/image6.wmf"/><Relationship Id="rId17" Type="http://schemas.openxmlformats.org/officeDocument/2006/relationships/oleObject" Target="embeddings/oleObject6.bin"/><Relationship Id="rId16" Type="http://schemas.openxmlformats.org/officeDocument/2006/relationships/image" Target="media/image5.wmf"/><Relationship Id="rId15" Type="http://schemas.openxmlformats.org/officeDocument/2006/relationships/oleObject" Target="embeddings/oleObject5.bin"/><Relationship Id="rId14" Type="http://schemas.openxmlformats.org/officeDocument/2006/relationships/image" Target="media/image4.wmf"/><Relationship Id="rId13" Type="http://schemas.openxmlformats.org/officeDocument/2006/relationships/oleObject" Target="embeddings/oleObject4.bin"/><Relationship Id="rId12" Type="http://schemas.openxmlformats.org/officeDocument/2006/relationships/image" Target="media/image3.wmf"/><Relationship Id="rId11" Type="http://schemas.openxmlformats.org/officeDocument/2006/relationships/oleObject" Target="embeddings/oleObject3.bin"/><Relationship Id="rId10" Type="http://schemas.openxmlformats.org/officeDocument/2006/relationships/image" Target="media/image2.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615a7c10-436e-40db-ab39-cfcbd924a5e1</errorID>
      <errorWord>，</errorWord>
      <group>L1_Punc</group>
      <groupName>标点问题</groupName>
      <ability>L2_Punc_CN</ability>
      <abilityName>标点符号问题</abilityName>
      <candidateList>
        <item>。</item>
      </candidateList>
      <explain/>
      <paraID>38C4B7E5</paraID>
      <start>118</start>
      <end>119</end>
      <status>ignored</status>
      <modifiedWord/>
      <trackRevisions>false</trackRevisions>
    </reviewItem>
    <reviewItem>
      <errorID>6f8ed037-2911-4bcf-9a47-0e9ee04719ac</errorID>
      <errorWord>,</errorWord>
      <group>L1_Punc</group>
      <groupName>标点问题</groupName>
      <ability>L2_Punc_CN</ability>
      <abilityName>标点符号问题</abilityName>
      <candidateList/>
      <explain/>
      <paraID>38DD7523</paraID>
      <start>12</start>
      <end>13</end>
      <status>ignored</status>
      <modifiedWord/>
      <trackRevisions>false</trackRevisions>
    </reviewItem>
    <reviewItem>
      <errorID>a7befbae-2bad-4e3c-ac33-3631251c186b</errorID>
      <errorWord>）</errorWord>
      <group>L1_Punc</group>
      <groupName>标点问题</groupName>
      <ability>L2_Punc_CN</ability>
      <abilityName>标点符号问题</abilityName>
      <candidateList>
        <item>）。</item>
      </candidateList>
      <explain/>
      <paraID>727C0719</paraID>
      <start>51</start>
      <end>52</end>
      <status>ignored</status>
      <modifiedWord/>
      <trackRevisions>false</trackRevisions>
    </reviewItem>
    <reviewItem>
      <errorID>9cf606c7-d483-471f-9afc-bab801954aca</errorID>
      <errorWord>,</errorWord>
      <group>L1_Punc</group>
      <groupName>标点问题</groupName>
      <ability>L2_Punc_CN</ability>
      <abilityName>标点符号问题</abilityName>
      <candidateList/>
      <explain/>
      <paraID>56A496E2</paraID>
      <start>10</start>
      <end>11</end>
      <status>ignored</status>
      <modifiedWord/>
      <trackRevisions>false</trackRevisions>
    </reviewItem>
    <reviewItem>
      <errorID>33f27afa-1302-4459-a374-a7943188415e</errorID>
      <errorWord>CDM EB tool 05</errorWord>
      <group>L1_Other</group>
      <groupName>其他问题</groupName>
      <ability>L2_Consistency</ability>
      <abilityName>一致性检查</abilityName>
      <candidateList>
        <item>CDM-EB Tool05</item>
      </candidateList>
      <explain>实体一致性，原文前文引用该工具的标准表述为CDM-EB Tool05，此处拼写不一致</explain>
      <paraID>2727F538</paraID>
      <start>2</start>
      <end>15</end>
      <status>modified</status>
      <modifiedWord>CDM-EB Tool05</modifiedWord>
      <trackRevisions>false</trackRevisions>
    </reviewItem>
    <reviewItem>
      <errorID>278fe38f-06e3-45df-b5c2-1b0eb5b3daa4</errorID>
      <errorWord>,</errorWord>
      <group>L1_Punc</group>
      <groupName>标点问题</groupName>
      <ability>L2_Punc_CN</ability>
      <abilityName>标点符号问题</abilityName>
      <candidateList/>
      <explain/>
      <paraID>662D7AA6</paraID>
      <start>10</start>
      <end>11</end>
      <status>ignored</status>
      <modifiedWord/>
      <trackRevisions>false</trackRevisions>
    </reviewItem>
    <reviewItem>
      <errorID>f513ae5e-fcc6-4251-af85-c641e44bc0e8</errorID>
      <errorWord>项目</errorWord>
      <group>L1_Punc</group>
      <groupName>标点问题</groupName>
      <ability>L2_Punc_CN</ability>
      <abilityName>标点符号问题</abilityName>
      <candidateList>
        <item>. 项目</item>
      </candidateList>
      <explain/>
      <paraID>6B909B28</paraID>
      <start>0</start>
      <end>2</end>
      <status>ignored</status>
      <modifiedWord/>
      <trackRevisions>false</trackRevisions>
    </reviewItem>
    <reviewItem>
      <errorID>5257b278-9c02-4d4a-b849-f67b2c3c2773</errorID>
      <errorWord>南京市行政辖区内</errorWord>
      <group>L1_Other</group>
      <groupName>其他问题</groupName>
      <ability>L2_Consistency</ability>
      <abilityName>一致性检查</abilityName>
      <candidateList>
        <item>南京市行政区域内</item>
      </candidateList>
      <explain>实体一致性，全文统一表述为南京市行政区域内，此处表述不一致</explain>
      <paraID>2A77358C</paraID>
      <start>58</start>
      <end>66</end>
      <status>modified</status>
      <modifiedWord>南京市行政区域内</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5af21-beec-4789-b812-fb1238825a44}">
  <ds:schemaRefs/>
</ds:datastoreItem>
</file>

<file path=customXml/itemProps2.xml><?xml version="1.0" encoding="utf-8"?>
<ds:datastoreItem xmlns:ds="http://schemas.openxmlformats.org/officeDocument/2006/customXml" ds:itemID="{4220073B-BE95-4226-844B-D8F894C17F39}">
  <ds:schemaRefs/>
</ds:datastoreItem>
</file>

<file path=docProps/app.xml><?xml version="1.0" encoding="utf-8"?>
<Properties xmlns="http://schemas.openxmlformats.org/officeDocument/2006/extended-properties" xmlns:vt="http://schemas.openxmlformats.org/officeDocument/2006/docPropsVTypes">
  <Template>Normal</Template>
  <Pages>14</Pages>
  <Words>3326</Words>
  <Characters>3559</Characters>
  <Lines>42</Lines>
  <Paragraphs>11</Paragraphs>
  <TotalTime>6</TotalTime>
  <ScaleCrop>false</ScaleCrop>
  <LinksUpToDate>false</LinksUpToDate>
  <CharactersWithSpaces>3690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2024-07-25T08:50:00Z</dcterms:created>
  <dc:creator>Yidan WANG</dc:creator>
  <cp:lastModifiedBy>anrisun</cp:lastModifiedBy>
  <dcterms:modified xsi:type="dcterms:W3CDTF">2026-07-31T07:29:20Z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05AC768D288A455D8B89DA1BB2B3ABB6_13</vt:lpwstr>
  </property>
  <property fmtid="{D5CDD505-2E9C-101B-9397-08002B2CF9AE}" pid="4" name="MTWinEqns">
    <vt:bool>true</vt:bool>
  </property>
  <property fmtid="{D5CDD505-2E9C-101B-9397-08002B2CF9AE}" pid="5" name="KSOTemplateDocerSaveRecord">
    <vt:lpwstr>eyJoZGlkIjoiOTZhMGU3YWI5ZTAwZWUxMmMzNjNkODIwNDhkZTEwZjEiLCJ1c2VySWQiOiI2MDQ5MTI3OTUifQ==</vt:lpwstr>
  </property>
</Properties>
</file>