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8BC44">
      <w:pPr>
        <w:autoSpaceDE w:val="0"/>
        <w:autoSpaceDN w:val="0"/>
        <w:spacing w:before="55"/>
        <w:ind w:left="408"/>
        <w:jc w:val="left"/>
        <w:rPr>
          <w:rFonts w:hint="eastAsia" w:ascii="黑体" w:hAnsi="宋体" w:eastAsia="黑体" w:cs="宋体"/>
          <w:kern w:val="0"/>
          <w:sz w:val="32"/>
        </w:rPr>
      </w:pPr>
    </w:p>
    <w:p w14:paraId="790B3712">
      <w:pPr>
        <w:autoSpaceDE w:val="0"/>
        <w:autoSpaceDN w:val="0"/>
        <w:jc w:val="left"/>
        <w:rPr>
          <w:rFonts w:hint="eastAsia" w:ascii="黑体" w:hAnsi="宋体" w:eastAsia="宋体" w:cs="宋体"/>
          <w:kern w:val="0"/>
          <w:sz w:val="32"/>
          <w:szCs w:val="21"/>
        </w:rPr>
      </w:pPr>
    </w:p>
    <w:p w14:paraId="3E4C9A7C">
      <w:pPr>
        <w:autoSpaceDE w:val="0"/>
        <w:autoSpaceDN w:val="0"/>
        <w:jc w:val="left"/>
        <w:rPr>
          <w:rFonts w:hint="eastAsia" w:ascii="黑体" w:hAnsi="宋体" w:eastAsia="宋体" w:cs="宋体"/>
          <w:kern w:val="0"/>
          <w:sz w:val="32"/>
          <w:szCs w:val="21"/>
        </w:rPr>
      </w:pPr>
    </w:p>
    <w:p w14:paraId="1BCF6516">
      <w:pPr>
        <w:autoSpaceDE w:val="0"/>
        <w:autoSpaceDN w:val="0"/>
        <w:jc w:val="left"/>
        <w:rPr>
          <w:rFonts w:hint="eastAsia" w:ascii="黑体" w:hAnsi="宋体" w:eastAsia="宋体" w:cs="宋体"/>
          <w:kern w:val="0"/>
          <w:sz w:val="32"/>
          <w:szCs w:val="21"/>
        </w:rPr>
      </w:pPr>
    </w:p>
    <w:p w14:paraId="7E65AEE4">
      <w:pPr>
        <w:autoSpaceDE w:val="0"/>
        <w:autoSpaceDN w:val="0"/>
        <w:jc w:val="left"/>
        <w:rPr>
          <w:rFonts w:hint="eastAsia" w:ascii="黑体" w:hAnsi="宋体" w:eastAsia="宋体" w:cs="宋体"/>
          <w:kern w:val="0"/>
          <w:sz w:val="32"/>
          <w:szCs w:val="21"/>
        </w:rPr>
      </w:pPr>
    </w:p>
    <w:p w14:paraId="1DF35FFC">
      <w:pPr>
        <w:autoSpaceDE w:val="0"/>
        <w:autoSpaceDN w:val="0"/>
        <w:jc w:val="left"/>
        <w:rPr>
          <w:rFonts w:hint="eastAsia" w:ascii="黑体" w:hAnsi="宋体" w:eastAsia="宋体" w:cs="宋体"/>
          <w:kern w:val="0"/>
          <w:sz w:val="32"/>
          <w:szCs w:val="21"/>
        </w:rPr>
      </w:pPr>
    </w:p>
    <w:p w14:paraId="1CB60377">
      <w:pPr>
        <w:autoSpaceDE w:val="0"/>
        <w:autoSpaceDN w:val="0"/>
        <w:jc w:val="left"/>
        <w:rPr>
          <w:rFonts w:hint="eastAsia" w:ascii="黑体" w:hAnsi="宋体" w:eastAsia="宋体" w:cs="宋体"/>
          <w:kern w:val="0"/>
          <w:sz w:val="32"/>
          <w:szCs w:val="21"/>
        </w:rPr>
      </w:pPr>
    </w:p>
    <w:p w14:paraId="0DAFB98F">
      <w:pPr>
        <w:autoSpaceDE w:val="0"/>
        <w:autoSpaceDN w:val="0"/>
        <w:jc w:val="left"/>
        <w:rPr>
          <w:rFonts w:hint="eastAsia" w:ascii="黑体" w:hAnsi="宋体" w:eastAsia="宋体" w:cs="宋体"/>
          <w:kern w:val="0"/>
          <w:sz w:val="32"/>
          <w:szCs w:val="21"/>
        </w:rPr>
      </w:pPr>
    </w:p>
    <w:p w14:paraId="0A415E64">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eastAsia" w:ascii="黑体" w:hAnsi="黑体" w:eastAsia="黑体" w:cs="黑体"/>
          <w:b w:val="0"/>
          <w:bCs w:val="0"/>
          <w:spacing w:val="-2"/>
          <w:w w:val="95"/>
          <w:kern w:val="0"/>
          <w:sz w:val="52"/>
          <w:szCs w:val="52"/>
          <w:lang w:val="en-US" w:eastAsia="zh-CN"/>
        </w:rPr>
      </w:pPr>
      <w:r>
        <w:rPr>
          <w:rFonts w:hint="eastAsia" w:ascii="黑体" w:hAnsi="黑体" w:eastAsia="黑体" w:cs="黑体"/>
          <w:b w:val="0"/>
          <w:bCs w:val="0"/>
          <w:w w:val="95"/>
          <w:kern w:val="0"/>
          <w:sz w:val="52"/>
          <w:szCs w:val="52"/>
        </w:rPr>
        <w:t>南京市</w:t>
      </w:r>
      <w:r>
        <w:rPr>
          <w:rFonts w:hint="eastAsia" w:ascii="黑体" w:hAnsi="黑体" w:eastAsia="黑体" w:cs="黑体"/>
          <w:b w:val="0"/>
          <w:bCs w:val="0"/>
          <w:w w:val="95"/>
          <w:kern w:val="0"/>
          <w:sz w:val="52"/>
          <w:szCs w:val="52"/>
          <w:lang w:val="en-US" w:eastAsia="zh-CN"/>
        </w:rPr>
        <w:t>个人</w:t>
      </w:r>
      <w:r>
        <w:rPr>
          <w:rFonts w:hint="eastAsia" w:ascii="黑体" w:hAnsi="黑体" w:eastAsia="黑体" w:cs="黑体"/>
          <w:b w:val="0"/>
          <w:bCs w:val="0"/>
          <w:spacing w:val="-2"/>
          <w:w w:val="95"/>
          <w:kern w:val="0"/>
          <w:sz w:val="52"/>
          <w:szCs w:val="52"/>
        </w:rPr>
        <w:t>电动汽车充电桩</w:t>
      </w:r>
      <w:r>
        <w:rPr>
          <w:rFonts w:hint="eastAsia" w:ascii="黑体" w:hAnsi="黑体" w:eastAsia="黑体" w:cs="黑体"/>
          <w:b w:val="0"/>
          <w:bCs w:val="0"/>
          <w:spacing w:val="-2"/>
          <w:w w:val="95"/>
          <w:kern w:val="0"/>
          <w:sz w:val="52"/>
          <w:szCs w:val="52"/>
          <w:lang w:val="en-US" w:eastAsia="zh-CN"/>
        </w:rPr>
        <w:t>碳普惠</w:t>
      </w:r>
    </w:p>
    <w:p w14:paraId="296E67CF">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default" w:ascii="黑体" w:hAnsi="黑体" w:eastAsia="黑体" w:cs="黑体"/>
          <w:b w:val="0"/>
          <w:bCs w:val="0"/>
          <w:kern w:val="0"/>
          <w:sz w:val="52"/>
          <w:szCs w:val="52"/>
          <w:lang w:val="en-US" w:eastAsia="zh-CN"/>
        </w:rPr>
      </w:pPr>
      <w:r>
        <w:rPr>
          <w:rFonts w:hint="eastAsia" w:ascii="黑体" w:hAnsi="黑体" w:eastAsia="黑体" w:cs="黑体"/>
          <w:b w:val="0"/>
          <w:bCs w:val="0"/>
          <w:spacing w:val="-2"/>
          <w:w w:val="95"/>
          <w:kern w:val="0"/>
          <w:sz w:val="52"/>
          <w:szCs w:val="52"/>
          <w:lang w:val="en-US" w:eastAsia="zh-CN"/>
        </w:rPr>
        <w:t>方法学</w:t>
      </w:r>
    </w:p>
    <w:p w14:paraId="5F67D817">
      <w:pPr>
        <w:autoSpaceDE w:val="0"/>
        <w:autoSpaceDN w:val="0"/>
        <w:jc w:val="left"/>
        <w:rPr>
          <w:rFonts w:hint="eastAsia" w:ascii="黑体" w:hAnsi="宋体" w:eastAsia="宋体" w:cs="宋体"/>
          <w:b/>
          <w:kern w:val="0"/>
          <w:sz w:val="40"/>
          <w:szCs w:val="21"/>
        </w:rPr>
      </w:pPr>
    </w:p>
    <w:p w14:paraId="2DD9C2C6">
      <w:pPr>
        <w:autoSpaceDE w:val="0"/>
        <w:autoSpaceDN w:val="0"/>
        <w:jc w:val="left"/>
        <w:rPr>
          <w:rFonts w:hint="eastAsia" w:ascii="黑体" w:hAnsi="宋体" w:eastAsia="宋体" w:cs="宋体"/>
          <w:b/>
          <w:kern w:val="0"/>
          <w:sz w:val="40"/>
          <w:szCs w:val="21"/>
        </w:rPr>
      </w:pPr>
    </w:p>
    <w:p w14:paraId="1611E64C">
      <w:pPr>
        <w:autoSpaceDE w:val="0"/>
        <w:autoSpaceDN w:val="0"/>
        <w:jc w:val="left"/>
        <w:rPr>
          <w:rFonts w:hint="eastAsia" w:ascii="黑体" w:hAnsi="宋体" w:eastAsia="宋体" w:cs="宋体"/>
          <w:b/>
          <w:kern w:val="0"/>
          <w:sz w:val="40"/>
          <w:szCs w:val="21"/>
        </w:rPr>
      </w:pPr>
    </w:p>
    <w:p w14:paraId="47BCA635">
      <w:pPr>
        <w:autoSpaceDE w:val="0"/>
        <w:autoSpaceDN w:val="0"/>
        <w:jc w:val="left"/>
        <w:rPr>
          <w:rFonts w:hint="eastAsia" w:ascii="黑体" w:hAnsi="宋体" w:eastAsia="宋体" w:cs="宋体"/>
          <w:b/>
          <w:kern w:val="0"/>
          <w:sz w:val="40"/>
          <w:szCs w:val="21"/>
        </w:rPr>
      </w:pPr>
    </w:p>
    <w:p w14:paraId="2B412CBA">
      <w:pPr>
        <w:autoSpaceDE w:val="0"/>
        <w:autoSpaceDN w:val="0"/>
        <w:jc w:val="left"/>
        <w:rPr>
          <w:rFonts w:hint="eastAsia" w:ascii="黑体" w:hAnsi="宋体" w:eastAsia="宋体" w:cs="宋体"/>
          <w:b/>
          <w:kern w:val="0"/>
          <w:sz w:val="40"/>
          <w:szCs w:val="21"/>
        </w:rPr>
      </w:pPr>
    </w:p>
    <w:p w14:paraId="7E5D9D81">
      <w:pPr>
        <w:autoSpaceDE w:val="0"/>
        <w:autoSpaceDN w:val="0"/>
        <w:jc w:val="left"/>
        <w:rPr>
          <w:rFonts w:hint="eastAsia" w:ascii="黑体" w:hAnsi="宋体" w:eastAsia="宋体" w:cs="宋体"/>
          <w:b/>
          <w:kern w:val="0"/>
          <w:sz w:val="40"/>
          <w:szCs w:val="21"/>
        </w:rPr>
      </w:pPr>
    </w:p>
    <w:p w14:paraId="68705812">
      <w:pPr>
        <w:autoSpaceDE w:val="0"/>
        <w:autoSpaceDN w:val="0"/>
        <w:jc w:val="left"/>
        <w:rPr>
          <w:rFonts w:hint="eastAsia" w:ascii="黑体" w:hAnsi="宋体" w:eastAsia="宋体" w:cs="宋体"/>
          <w:b/>
          <w:kern w:val="0"/>
          <w:sz w:val="40"/>
          <w:szCs w:val="21"/>
        </w:rPr>
      </w:pPr>
    </w:p>
    <w:p w14:paraId="7AA94EE8">
      <w:pPr>
        <w:autoSpaceDE w:val="0"/>
        <w:autoSpaceDN w:val="0"/>
        <w:jc w:val="left"/>
        <w:rPr>
          <w:rFonts w:hint="eastAsia" w:ascii="黑体" w:hAnsi="宋体" w:eastAsia="宋体" w:cs="宋体"/>
          <w:b/>
          <w:kern w:val="0"/>
          <w:sz w:val="40"/>
          <w:szCs w:val="21"/>
        </w:rPr>
      </w:pPr>
    </w:p>
    <w:p w14:paraId="51157630">
      <w:pPr>
        <w:autoSpaceDE w:val="0"/>
        <w:autoSpaceDN w:val="0"/>
        <w:jc w:val="left"/>
        <w:rPr>
          <w:rFonts w:hint="eastAsia" w:ascii="黑体" w:hAnsi="宋体" w:eastAsia="宋体" w:cs="宋体"/>
          <w:b/>
          <w:kern w:val="0"/>
          <w:sz w:val="40"/>
          <w:szCs w:val="21"/>
        </w:rPr>
      </w:pPr>
    </w:p>
    <w:p w14:paraId="04241F3A">
      <w:pPr>
        <w:autoSpaceDE w:val="0"/>
        <w:autoSpaceDN w:val="0"/>
        <w:jc w:val="left"/>
        <w:rPr>
          <w:rFonts w:hint="eastAsia" w:ascii="黑体" w:hAnsi="宋体" w:eastAsia="宋体" w:cs="宋体"/>
          <w:b/>
          <w:kern w:val="0"/>
          <w:sz w:val="40"/>
          <w:szCs w:val="21"/>
        </w:rPr>
      </w:pPr>
    </w:p>
    <w:p w14:paraId="5931BDD7">
      <w:pPr>
        <w:autoSpaceDE w:val="0"/>
        <w:autoSpaceDN w:val="0"/>
        <w:spacing w:before="7"/>
        <w:jc w:val="left"/>
        <w:rPr>
          <w:rFonts w:hint="eastAsia" w:ascii="黑体" w:hAnsi="宋体" w:eastAsia="宋体" w:cs="宋体"/>
          <w:b/>
          <w:kern w:val="0"/>
          <w:sz w:val="40"/>
          <w:szCs w:val="21"/>
        </w:rPr>
      </w:pPr>
    </w:p>
    <w:p w14:paraId="644CB39A">
      <w:pPr>
        <w:keepNext w:val="0"/>
        <w:keepLines w:val="0"/>
        <w:pageBreakBefore w:val="0"/>
        <w:widowControl w:val="0"/>
        <w:kinsoku/>
        <w:wordWrap/>
        <w:overflowPunct/>
        <w:topLinePunct w:val="0"/>
        <w:autoSpaceDE w:val="0"/>
        <w:autoSpaceDN w:val="0"/>
        <w:bidi w:val="0"/>
        <w:adjustRightInd/>
        <w:snapToGrid w:val="0"/>
        <w:ind w:right="0"/>
        <w:jc w:val="center"/>
        <w:textAlignment w:val="auto"/>
        <w:rPr>
          <w:rFonts w:hint="eastAsia" w:ascii="黑体" w:hAnsi="宋体" w:eastAsia="黑体" w:cs="宋体"/>
          <w:spacing w:val="-2"/>
          <w:kern w:val="0"/>
          <w:sz w:val="28"/>
        </w:rPr>
      </w:pPr>
      <w:r>
        <w:rPr>
          <w:rFonts w:hint="eastAsia" w:ascii="Times New Roman" w:hAnsi="Times New Roman" w:eastAsia="黑体" w:cs="宋体"/>
          <w:spacing w:val="-2"/>
          <w:kern w:val="0"/>
          <w:sz w:val="28"/>
        </w:rPr>
        <w:t>202</w:t>
      </w:r>
      <w:r>
        <w:rPr>
          <w:rFonts w:hint="eastAsia" w:ascii="Times New Roman" w:hAnsi="Times New Roman" w:eastAsia="黑体" w:cs="宋体"/>
          <w:spacing w:val="-2"/>
          <w:kern w:val="0"/>
          <w:sz w:val="28"/>
          <w:lang w:val="en-US" w:eastAsia="zh-CN"/>
        </w:rPr>
        <w:t>6</w:t>
      </w:r>
      <w:r>
        <w:rPr>
          <w:rFonts w:hint="eastAsia" w:ascii="黑体" w:hAnsi="宋体" w:eastAsia="黑体" w:cs="宋体"/>
          <w:spacing w:val="-2"/>
          <w:kern w:val="0"/>
          <w:sz w:val="28"/>
        </w:rPr>
        <w:t>年</w:t>
      </w:r>
      <w:r>
        <w:rPr>
          <w:rFonts w:hint="eastAsia" w:ascii="Times New Roman" w:hAnsi="Times New Roman" w:eastAsia="黑体" w:cs="宋体"/>
          <w:spacing w:val="-2"/>
          <w:kern w:val="0"/>
          <w:sz w:val="28"/>
          <w:lang w:val="en-US" w:eastAsia="zh-CN"/>
        </w:rPr>
        <w:t>7</w:t>
      </w:r>
      <w:bookmarkStart w:id="28" w:name="_GoBack"/>
      <w:bookmarkEnd w:id="28"/>
      <w:r>
        <w:rPr>
          <w:rFonts w:hint="eastAsia" w:ascii="黑体" w:hAnsi="宋体" w:eastAsia="黑体" w:cs="宋体"/>
          <w:spacing w:val="-2"/>
          <w:kern w:val="0"/>
          <w:sz w:val="28"/>
        </w:rPr>
        <w:t>月</w:t>
      </w:r>
    </w:p>
    <w:p w14:paraId="478799FC">
      <w:pPr>
        <w:autoSpaceDE w:val="0"/>
        <w:autoSpaceDN w:val="0"/>
        <w:ind w:right="814"/>
        <w:jc w:val="center"/>
        <w:rPr>
          <w:rFonts w:hint="eastAsia" w:ascii="黑体" w:hAnsi="宋体" w:eastAsia="黑体" w:cs="宋体"/>
          <w:spacing w:val="-40"/>
          <w:kern w:val="0"/>
          <w:sz w:val="28"/>
        </w:rPr>
        <w:sectPr>
          <w:footerReference r:id="rId3" w:type="default"/>
          <w:pgSz w:w="11906" w:h="16838"/>
          <w:pgMar w:top="1440" w:right="1800" w:bottom="1440" w:left="1800" w:header="851" w:footer="992" w:gutter="0"/>
          <w:cols w:space="425" w:num="1"/>
          <w:docGrid w:type="lines" w:linePitch="312" w:charSpace="0"/>
        </w:sectPr>
      </w:pPr>
    </w:p>
    <w:p w14:paraId="39B17599">
      <w:pPr>
        <w:keepNext w:val="0"/>
        <w:keepLines w:val="0"/>
        <w:pageBreakBefore w:val="0"/>
        <w:widowControl w:val="0"/>
        <w:tabs>
          <w:tab w:val="left" w:pos="803"/>
        </w:tabs>
        <w:kinsoku/>
        <w:wordWrap/>
        <w:overflowPunct/>
        <w:topLinePunct w:val="0"/>
        <w:autoSpaceDE w:val="0"/>
        <w:autoSpaceDN w:val="0"/>
        <w:bidi w:val="0"/>
        <w:adjustRightInd/>
        <w:snapToGrid w:val="0"/>
        <w:spacing w:line="360" w:lineRule="auto"/>
        <w:ind w:right="0"/>
        <w:jc w:val="center"/>
        <w:textAlignment w:val="auto"/>
        <w:rPr>
          <w:rFonts w:hint="eastAsia" w:ascii="黑体" w:hAnsi="宋体" w:eastAsia="黑体" w:cs="宋体"/>
          <w:b w:val="0"/>
          <w:bCs/>
          <w:spacing w:val="-10"/>
          <w:kern w:val="0"/>
          <w:sz w:val="32"/>
        </w:rPr>
      </w:pPr>
      <w:r>
        <w:rPr>
          <w:rFonts w:hint="eastAsia" w:ascii="黑体" w:hAnsi="宋体" w:eastAsia="黑体" w:cs="宋体"/>
          <w:b w:val="0"/>
          <w:bCs/>
          <w:spacing w:val="-10"/>
          <w:kern w:val="0"/>
          <w:sz w:val="32"/>
        </w:rPr>
        <w:t>目</w:t>
      </w:r>
      <w:r>
        <w:rPr>
          <w:rFonts w:hint="eastAsia" w:ascii="黑体" w:hAnsi="宋体" w:eastAsia="黑体" w:cs="宋体"/>
          <w:b w:val="0"/>
          <w:bCs/>
          <w:kern w:val="0"/>
          <w:sz w:val="32"/>
        </w:rPr>
        <w:tab/>
      </w:r>
      <w:r>
        <w:rPr>
          <w:rFonts w:hint="eastAsia" w:ascii="黑体" w:hAnsi="宋体" w:eastAsia="黑体" w:cs="宋体"/>
          <w:b w:val="0"/>
          <w:bCs/>
          <w:spacing w:val="-10"/>
          <w:kern w:val="0"/>
          <w:sz w:val="32"/>
        </w:rPr>
        <w:t>录</w:t>
      </w:r>
    </w:p>
    <w:p w14:paraId="2117BD8A">
      <w:pPr>
        <w:pStyle w:val="8"/>
        <w:tabs>
          <w:tab w:val="right" w:leader="dot" w:pos="8306"/>
        </w:tabs>
      </w:pPr>
      <w:r>
        <w:rPr>
          <w:b w:val="0"/>
          <w:bCs/>
          <w:sz w:val="32"/>
        </w:rPr>
        <w:fldChar w:fldCharType="begin"/>
      </w:r>
      <w:r>
        <w:rPr>
          <w:b w:val="0"/>
          <w:bCs/>
          <w:sz w:val="32"/>
        </w:rPr>
        <w:instrText xml:space="preserve"> TOC \o "1-1" \h \z \u </w:instrText>
      </w:r>
      <w:r>
        <w:rPr>
          <w:b w:val="0"/>
          <w:bCs/>
          <w:sz w:val="32"/>
        </w:rPr>
        <w:fldChar w:fldCharType="separate"/>
      </w:r>
      <w:r>
        <w:rPr>
          <w:bCs/>
        </w:rPr>
        <w:fldChar w:fldCharType="begin"/>
      </w:r>
      <w:r>
        <w:rPr>
          <w:bCs/>
        </w:rPr>
        <w:instrText xml:space="preserve"> HYPERLINK \l _Toc16380 </w:instrText>
      </w:r>
      <w:r>
        <w:rPr>
          <w:bCs/>
        </w:rPr>
        <w:fldChar w:fldCharType="separate"/>
      </w:r>
      <w:r>
        <w:rPr>
          <w:rFonts w:hint="default" w:ascii="黑体" w:hAnsi="黑体" w:eastAsia="黑体" w:cs="黑体"/>
          <w:bCs w:val="0"/>
          <w:i w:val="0"/>
          <w:iCs w:val="0"/>
          <w:spacing w:val="-2"/>
          <w:w w:val="98"/>
          <w:kern w:val="0"/>
          <w:szCs w:val="28"/>
          <w:lang w:eastAsia="en-US"/>
        </w:rPr>
        <w:t xml:space="preserve">1 </w:t>
      </w:r>
      <w:r>
        <w:rPr>
          <w:rFonts w:hint="eastAsia" w:ascii="黑体" w:hAnsi="黑体" w:eastAsia="黑体" w:cs="黑体"/>
          <w:bCs w:val="0"/>
          <w:spacing w:val="-2"/>
          <w:w w:val="95"/>
          <w:kern w:val="0"/>
          <w:szCs w:val="28"/>
          <w:lang w:val="en-US" w:eastAsia="zh-CN"/>
        </w:rPr>
        <w:t>引言</w:t>
      </w:r>
      <w:r>
        <w:tab/>
      </w:r>
      <w:r>
        <w:fldChar w:fldCharType="begin"/>
      </w:r>
      <w:r>
        <w:instrText xml:space="preserve"> PAGEREF _Toc16380 \h </w:instrText>
      </w:r>
      <w:r>
        <w:fldChar w:fldCharType="separate"/>
      </w:r>
      <w:r>
        <w:t>1</w:t>
      </w:r>
      <w:r>
        <w:fldChar w:fldCharType="end"/>
      </w:r>
      <w:r>
        <w:rPr>
          <w:bCs/>
        </w:rPr>
        <w:fldChar w:fldCharType="end"/>
      </w:r>
    </w:p>
    <w:p w14:paraId="658B6AF1">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_Toc25698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2 </w:t>
      </w:r>
      <w:r>
        <w:rPr>
          <w:rFonts w:hint="eastAsia" w:ascii="黑体" w:hAnsi="黑体" w:eastAsia="黑体" w:cs="黑体"/>
          <w:bCs w:val="0"/>
          <w:spacing w:val="-2"/>
          <w:w w:val="95"/>
          <w:kern w:val="0"/>
          <w:szCs w:val="28"/>
          <w:lang w:val="en-US" w:eastAsia="en-US"/>
        </w:rPr>
        <w:t>适用</w:t>
      </w:r>
      <w:r>
        <w:rPr>
          <w:rFonts w:hint="eastAsia" w:ascii="黑体" w:hAnsi="黑体" w:eastAsia="黑体" w:cs="黑体"/>
          <w:bCs w:val="0"/>
          <w:spacing w:val="-2"/>
          <w:w w:val="95"/>
          <w:kern w:val="0"/>
          <w:szCs w:val="28"/>
          <w:lang w:val="en-US" w:eastAsia="zh-CN"/>
        </w:rPr>
        <w:t>范围</w:t>
      </w:r>
      <w:r>
        <w:tab/>
      </w:r>
      <w:r>
        <w:fldChar w:fldCharType="begin"/>
      </w:r>
      <w:r>
        <w:instrText xml:space="preserve"> PAGEREF _Toc25698 \h </w:instrText>
      </w:r>
      <w:r>
        <w:fldChar w:fldCharType="separate"/>
      </w:r>
      <w:r>
        <w:t>1</w:t>
      </w:r>
      <w:r>
        <w:fldChar w:fldCharType="end"/>
      </w:r>
      <w:r>
        <w:rPr>
          <w:rFonts w:ascii="Times New Roman" w:hAnsi="Times New Roman" w:eastAsia="宋体" w:cs="Times New Roman"/>
          <w:bCs/>
          <w:kern w:val="0"/>
        </w:rPr>
        <w:fldChar w:fldCharType="end"/>
      </w:r>
    </w:p>
    <w:p w14:paraId="04DF9925">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_Toc12950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3 </w:t>
      </w:r>
      <w:r>
        <w:rPr>
          <w:rFonts w:hint="eastAsia" w:ascii="黑体" w:hAnsi="黑体" w:eastAsia="黑体" w:cs="黑体"/>
          <w:bCs w:val="0"/>
          <w:spacing w:val="-2"/>
          <w:w w:val="95"/>
          <w:kern w:val="0"/>
          <w:szCs w:val="28"/>
          <w:lang w:val="en-US" w:eastAsia="en-US"/>
        </w:rPr>
        <w:t>引用文件</w:t>
      </w:r>
      <w:r>
        <w:tab/>
      </w:r>
      <w:r>
        <w:fldChar w:fldCharType="begin"/>
      </w:r>
      <w:r>
        <w:instrText xml:space="preserve"> PAGEREF _Toc12950 \h </w:instrText>
      </w:r>
      <w:r>
        <w:fldChar w:fldCharType="separate"/>
      </w:r>
      <w:r>
        <w:t>1</w:t>
      </w:r>
      <w:r>
        <w:fldChar w:fldCharType="end"/>
      </w:r>
      <w:r>
        <w:rPr>
          <w:rFonts w:ascii="Times New Roman" w:hAnsi="Times New Roman" w:eastAsia="宋体" w:cs="Times New Roman"/>
          <w:bCs/>
          <w:kern w:val="0"/>
        </w:rPr>
        <w:fldChar w:fldCharType="end"/>
      </w:r>
    </w:p>
    <w:p w14:paraId="39147BD5">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_Toc2359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4 </w:t>
      </w:r>
      <w:r>
        <w:rPr>
          <w:rFonts w:hint="eastAsia" w:ascii="黑体" w:hAnsi="黑体" w:eastAsia="黑体" w:cs="黑体"/>
          <w:bCs w:val="0"/>
          <w:spacing w:val="-2"/>
          <w:w w:val="95"/>
          <w:kern w:val="0"/>
          <w:szCs w:val="28"/>
          <w:lang w:val="en-US" w:eastAsia="en-US"/>
        </w:rPr>
        <w:t>术语和定义</w:t>
      </w:r>
      <w:r>
        <w:tab/>
      </w:r>
      <w:r>
        <w:fldChar w:fldCharType="begin"/>
      </w:r>
      <w:r>
        <w:instrText xml:space="preserve"> PAGEREF _Toc2359 \h </w:instrText>
      </w:r>
      <w:r>
        <w:fldChar w:fldCharType="separate"/>
      </w:r>
      <w:r>
        <w:t>2</w:t>
      </w:r>
      <w:r>
        <w:fldChar w:fldCharType="end"/>
      </w:r>
      <w:r>
        <w:rPr>
          <w:rFonts w:ascii="Times New Roman" w:hAnsi="Times New Roman" w:eastAsia="宋体" w:cs="Times New Roman"/>
          <w:bCs/>
          <w:kern w:val="0"/>
        </w:rPr>
        <w:fldChar w:fldCharType="end"/>
      </w:r>
    </w:p>
    <w:p w14:paraId="01C798B1">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_Toc10057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5 </w:t>
      </w:r>
      <w:r>
        <w:rPr>
          <w:rFonts w:hint="eastAsia" w:ascii="黑体" w:hAnsi="黑体" w:eastAsia="黑体" w:cs="黑体"/>
          <w:bCs w:val="0"/>
          <w:spacing w:val="-2"/>
          <w:w w:val="95"/>
          <w:kern w:val="0"/>
          <w:szCs w:val="28"/>
          <w:lang w:val="en-US" w:eastAsia="zh-CN"/>
        </w:rPr>
        <w:t>基本要求</w:t>
      </w:r>
      <w:r>
        <w:tab/>
      </w:r>
      <w:r>
        <w:fldChar w:fldCharType="begin"/>
      </w:r>
      <w:r>
        <w:instrText xml:space="preserve"> PAGEREF _Toc10057 \h </w:instrText>
      </w:r>
      <w:r>
        <w:fldChar w:fldCharType="separate"/>
      </w:r>
      <w:r>
        <w:t>3</w:t>
      </w:r>
      <w:r>
        <w:fldChar w:fldCharType="end"/>
      </w:r>
      <w:r>
        <w:rPr>
          <w:rFonts w:ascii="Times New Roman" w:hAnsi="Times New Roman" w:eastAsia="宋体" w:cs="Times New Roman"/>
          <w:bCs/>
          <w:kern w:val="0"/>
        </w:rPr>
        <w:fldChar w:fldCharType="end"/>
      </w:r>
    </w:p>
    <w:p w14:paraId="5D81B0D2">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_Toc30239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6 </w:t>
      </w:r>
      <w:r>
        <w:rPr>
          <w:rFonts w:hint="eastAsia" w:ascii="黑体" w:hAnsi="黑体" w:eastAsia="黑体" w:cs="黑体"/>
          <w:bCs w:val="0"/>
          <w:spacing w:val="-2"/>
          <w:w w:val="95"/>
          <w:kern w:val="0"/>
          <w:szCs w:val="28"/>
          <w:lang w:val="en-US" w:eastAsia="zh-CN"/>
        </w:rPr>
        <w:t>核算边界及排放源</w:t>
      </w:r>
      <w:r>
        <w:tab/>
      </w:r>
      <w:r>
        <w:fldChar w:fldCharType="begin"/>
      </w:r>
      <w:r>
        <w:instrText xml:space="preserve"> PAGEREF _Toc30239 \h </w:instrText>
      </w:r>
      <w:r>
        <w:fldChar w:fldCharType="separate"/>
      </w:r>
      <w:r>
        <w:t>3</w:t>
      </w:r>
      <w:r>
        <w:fldChar w:fldCharType="end"/>
      </w:r>
      <w:r>
        <w:rPr>
          <w:rFonts w:ascii="Times New Roman" w:hAnsi="Times New Roman" w:eastAsia="宋体" w:cs="Times New Roman"/>
          <w:bCs/>
          <w:kern w:val="0"/>
        </w:rPr>
        <w:fldChar w:fldCharType="end"/>
      </w:r>
    </w:p>
    <w:p w14:paraId="2BE035E8">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_Toc8621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en-US"/>
        </w:rPr>
        <w:t xml:space="preserve">7 </w:t>
      </w:r>
      <w:r>
        <w:rPr>
          <w:rFonts w:hint="eastAsia" w:ascii="黑体" w:hAnsi="黑体" w:eastAsia="黑体" w:cs="黑体"/>
          <w:bCs w:val="0"/>
          <w:spacing w:val="-2"/>
          <w:w w:val="95"/>
          <w:kern w:val="0"/>
          <w:szCs w:val="28"/>
          <w:lang w:val="en-US" w:eastAsia="zh-CN"/>
        </w:rPr>
        <w:t>减排量计算</w:t>
      </w:r>
      <w:r>
        <w:tab/>
      </w:r>
      <w:r>
        <w:fldChar w:fldCharType="begin"/>
      </w:r>
      <w:r>
        <w:instrText xml:space="preserve"> PAGEREF _Toc8621 \h </w:instrText>
      </w:r>
      <w:r>
        <w:fldChar w:fldCharType="separate"/>
      </w:r>
      <w:r>
        <w:t>4</w:t>
      </w:r>
      <w:r>
        <w:fldChar w:fldCharType="end"/>
      </w:r>
      <w:r>
        <w:rPr>
          <w:rFonts w:ascii="Times New Roman" w:hAnsi="Times New Roman" w:eastAsia="宋体" w:cs="Times New Roman"/>
          <w:bCs/>
          <w:kern w:val="0"/>
        </w:rPr>
        <w:fldChar w:fldCharType="end"/>
      </w:r>
    </w:p>
    <w:p w14:paraId="58CC8905">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_Toc23878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8 </w:t>
      </w:r>
      <w:r>
        <w:rPr>
          <w:rFonts w:hint="eastAsia" w:ascii="黑体" w:hAnsi="黑体" w:eastAsia="黑体" w:cs="黑体"/>
          <w:bCs w:val="0"/>
          <w:spacing w:val="-2"/>
          <w:w w:val="95"/>
          <w:kern w:val="0"/>
          <w:szCs w:val="28"/>
          <w:lang w:val="en-US" w:eastAsia="zh-CN"/>
        </w:rPr>
        <w:t>数据来源及监测</w:t>
      </w:r>
      <w:r>
        <w:tab/>
      </w:r>
      <w:r>
        <w:fldChar w:fldCharType="begin"/>
      </w:r>
      <w:r>
        <w:instrText xml:space="preserve"> PAGEREF _Toc23878 \h </w:instrText>
      </w:r>
      <w:r>
        <w:fldChar w:fldCharType="separate"/>
      </w:r>
      <w:r>
        <w:t>6</w:t>
      </w:r>
      <w:r>
        <w:fldChar w:fldCharType="end"/>
      </w:r>
      <w:r>
        <w:rPr>
          <w:rFonts w:ascii="Times New Roman" w:hAnsi="Times New Roman" w:eastAsia="宋体" w:cs="Times New Roman"/>
          <w:bCs/>
          <w:kern w:val="0"/>
        </w:rPr>
        <w:fldChar w:fldCharType="end"/>
      </w:r>
    </w:p>
    <w:p w14:paraId="11A77E48">
      <w:pPr>
        <w:pStyle w:val="8"/>
        <w:tabs>
          <w:tab w:val="right" w:leader="dot" w:pos="8306"/>
        </w:tabs>
      </w:pPr>
      <w:r>
        <w:rPr>
          <w:rFonts w:ascii="Times New Roman" w:hAnsi="Times New Roman" w:eastAsia="宋体" w:cs="Times New Roman"/>
          <w:bCs/>
          <w:kern w:val="0"/>
        </w:rPr>
        <w:fldChar w:fldCharType="begin"/>
      </w:r>
      <w:r>
        <w:rPr>
          <w:rFonts w:ascii="Times New Roman" w:hAnsi="Times New Roman" w:eastAsia="宋体" w:cs="Times New Roman"/>
          <w:bCs/>
          <w:kern w:val="0"/>
        </w:rPr>
        <w:instrText xml:space="preserve"> HYPERLINK \l _Toc7264 </w:instrText>
      </w:r>
      <w:r>
        <w:rPr>
          <w:rFonts w:ascii="Times New Roman" w:hAnsi="Times New Roman" w:eastAsia="宋体" w:cs="Times New Roman"/>
          <w:bCs/>
          <w:kern w:val="0"/>
        </w:rPr>
        <w:fldChar w:fldCharType="separate"/>
      </w:r>
      <w:r>
        <w:rPr>
          <w:rFonts w:hint="default" w:ascii="黑体" w:hAnsi="黑体" w:eastAsia="黑体" w:cs="黑体"/>
          <w:bCs w:val="0"/>
          <w:i w:val="0"/>
          <w:iCs w:val="0"/>
          <w:spacing w:val="-2"/>
          <w:w w:val="98"/>
          <w:kern w:val="0"/>
          <w:szCs w:val="28"/>
          <w:lang w:val="en-US" w:eastAsia="zh-CN"/>
        </w:rPr>
        <w:t xml:space="preserve">9 </w:t>
      </w:r>
      <w:r>
        <w:rPr>
          <w:rFonts w:hint="eastAsia" w:ascii="黑体" w:hAnsi="黑体" w:eastAsia="黑体" w:cs="黑体"/>
          <w:bCs w:val="0"/>
          <w:spacing w:val="-2"/>
          <w:w w:val="95"/>
          <w:kern w:val="0"/>
          <w:szCs w:val="28"/>
          <w:lang w:val="en-US" w:eastAsia="zh-CN"/>
        </w:rPr>
        <w:t>场景审定与核查要点</w:t>
      </w:r>
      <w:r>
        <w:tab/>
      </w:r>
      <w:r>
        <w:fldChar w:fldCharType="begin"/>
      </w:r>
      <w:r>
        <w:instrText xml:space="preserve"> PAGEREF _Toc7264 \h </w:instrText>
      </w:r>
      <w:r>
        <w:fldChar w:fldCharType="separate"/>
      </w:r>
      <w:r>
        <w:t>9</w:t>
      </w:r>
      <w:r>
        <w:fldChar w:fldCharType="end"/>
      </w:r>
      <w:r>
        <w:rPr>
          <w:rFonts w:ascii="Times New Roman" w:hAnsi="Times New Roman" w:eastAsia="宋体" w:cs="Times New Roman"/>
          <w:bCs/>
          <w:kern w:val="0"/>
        </w:rPr>
        <w:fldChar w:fldCharType="end"/>
      </w:r>
    </w:p>
    <w:p w14:paraId="07681C9F">
      <w:pPr>
        <w:tabs>
          <w:tab w:val="left" w:pos="803"/>
        </w:tabs>
        <w:autoSpaceDE w:val="0"/>
        <w:autoSpaceDN w:val="0"/>
        <w:spacing w:before="54"/>
        <w:ind w:right="1100"/>
        <w:jc w:val="center"/>
        <w:rPr>
          <w:rFonts w:hint="eastAsia" w:ascii="黑体" w:hAnsi="宋体" w:eastAsia="黑体" w:cs="宋体"/>
          <w:b/>
          <w:kern w:val="0"/>
          <w:sz w:val="32"/>
        </w:rPr>
      </w:pPr>
      <w:r>
        <w:rPr>
          <w:rFonts w:ascii="Times New Roman" w:hAnsi="Times New Roman" w:eastAsia="宋体" w:cs="Times New Roman"/>
          <w:bCs/>
          <w:kern w:val="0"/>
        </w:rPr>
        <w:fldChar w:fldCharType="end"/>
      </w:r>
    </w:p>
    <w:p w14:paraId="303DE857">
      <w:pPr>
        <w:tabs>
          <w:tab w:val="left" w:pos="563"/>
          <w:tab w:val="left" w:pos="564"/>
          <w:tab w:val="right" w:leader="dot" w:pos="8427"/>
        </w:tabs>
        <w:autoSpaceDE w:val="0"/>
        <w:autoSpaceDN w:val="0"/>
        <w:spacing w:before="855"/>
        <w:jc w:val="left"/>
        <w:rPr>
          <w:rFonts w:hint="eastAsia" w:ascii="黑体" w:hAnsi="宋体" w:eastAsia="黑体" w:cs="宋体"/>
          <w:kern w:val="0"/>
          <w:sz w:val="28"/>
          <w:lang w:eastAsia="en-US"/>
        </w:rPr>
        <w:sectPr>
          <w:footerReference r:id="rId4" w:type="default"/>
          <w:pgSz w:w="11906" w:h="16838"/>
          <w:pgMar w:top="1440" w:right="1800" w:bottom="1440" w:left="1800" w:header="851" w:footer="992" w:gutter="0"/>
          <w:cols w:space="425" w:num="1"/>
          <w:docGrid w:type="lines" w:linePitch="312" w:charSpace="0"/>
        </w:sectPr>
      </w:pPr>
    </w:p>
    <w:p w14:paraId="5C4D3847">
      <w:pPr>
        <w:keepNext w:val="0"/>
        <w:keepLines w:val="0"/>
        <w:pageBreakBefore w:val="0"/>
        <w:widowControl w:val="0"/>
        <w:numPr>
          <w:ilvl w:val="0"/>
          <w:numId w:val="0"/>
        </w:numPr>
        <w:tabs>
          <w:tab w:val="left" w:pos="847"/>
          <w:tab w:val="left" w:pos="848"/>
        </w:tabs>
        <w:kinsoku/>
        <w:wordWrap/>
        <w:overflowPunct/>
        <w:topLinePunct w:val="0"/>
        <w:autoSpaceDE w:val="0"/>
        <w:autoSpaceDN w:val="0"/>
        <w:bidi w:val="0"/>
        <w:adjustRightInd/>
        <w:snapToGrid w:val="0"/>
        <w:ind w:leftChars="0"/>
        <w:jc w:val="center"/>
        <w:textAlignment w:val="auto"/>
        <w:outlineLvl w:val="9"/>
        <w:rPr>
          <w:rFonts w:hint="eastAsia" w:ascii="黑体" w:hAnsi="黑体" w:eastAsia="黑体" w:cs="黑体"/>
          <w:b w:val="0"/>
          <w:bCs w:val="0"/>
          <w:spacing w:val="-2"/>
          <w:w w:val="95"/>
          <w:kern w:val="0"/>
          <w:sz w:val="52"/>
          <w:szCs w:val="52"/>
          <w:lang w:val="en-US" w:eastAsia="zh-CN"/>
        </w:rPr>
      </w:pPr>
      <w:bookmarkStart w:id="0" w:name="_Toc170134103"/>
      <w:r>
        <w:rPr>
          <w:rFonts w:hint="eastAsia" w:ascii="黑体" w:hAnsi="黑体" w:eastAsia="黑体" w:cs="黑体"/>
          <w:b w:val="0"/>
          <w:bCs w:val="0"/>
          <w:spacing w:val="-2"/>
          <w:w w:val="95"/>
          <w:kern w:val="0"/>
          <w:sz w:val="52"/>
          <w:szCs w:val="52"/>
          <w:lang w:eastAsia="en-US"/>
        </w:rPr>
        <w:t>南京市</w:t>
      </w:r>
      <w:r>
        <w:rPr>
          <w:rFonts w:hint="eastAsia" w:ascii="黑体" w:hAnsi="黑体" w:eastAsia="黑体" w:cs="黑体"/>
          <w:b w:val="0"/>
          <w:bCs w:val="0"/>
          <w:spacing w:val="-2"/>
          <w:w w:val="95"/>
          <w:kern w:val="0"/>
          <w:sz w:val="52"/>
          <w:szCs w:val="52"/>
          <w:lang w:val="en-US" w:eastAsia="zh-CN"/>
        </w:rPr>
        <w:t>个人</w:t>
      </w:r>
      <w:r>
        <w:rPr>
          <w:rFonts w:hint="eastAsia" w:ascii="黑体" w:hAnsi="黑体" w:eastAsia="黑体" w:cs="黑体"/>
          <w:b w:val="0"/>
          <w:bCs w:val="0"/>
          <w:spacing w:val="-2"/>
          <w:w w:val="95"/>
          <w:kern w:val="0"/>
          <w:sz w:val="52"/>
          <w:szCs w:val="52"/>
          <w:lang w:eastAsia="en-US"/>
        </w:rPr>
        <w:t>电动汽车充电桩</w:t>
      </w:r>
      <w:r>
        <w:rPr>
          <w:rFonts w:hint="eastAsia" w:ascii="黑体" w:hAnsi="黑体" w:eastAsia="黑体" w:cs="黑体"/>
          <w:b w:val="0"/>
          <w:bCs w:val="0"/>
          <w:spacing w:val="-2"/>
          <w:w w:val="95"/>
          <w:kern w:val="0"/>
          <w:sz w:val="52"/>
          <w:szCs w:val="52"/>
          <w:lang w:val="en-US" w:eastAsia="zh-CN"/>
        </w:rPr>
        <w:t>碳普惠</w:t>
      </w:r>
    </w:p>
    <w:p w14:paraId="52C7CF68">
      <w:pPr>
        <w:keepNext w:val="0"/>
        <w:keepLines w:val="0"/>
        <w:pageBreakBefore w:val="0"/>
        <w:widowControl w:val="0"/>
        <w:numPr>
          <w:ilvl w:val="0"/>
          <w:numId w:val="0"/>
        </w:numPr>
        <w:tabs>
          <w:tab w:val="left" w:pos="847"/>
          <w:tab w:val="left" w:pos="848"/>
        </w:tabs>
        <w:kinsoku/>
        <w:wordWrap/>
        <w:overflowPunct/>
        <w:topLinePunct w:val="0"/>
        <w:autoSpaceDE w:val="0"/>
        <w:autoSpaceDN w:val="0"/>
        <w:bidi w:val="0"/>
        <w:adjustRightInd/>
        <w:snapToGrid w:val="0"/>
        <w:ind w:leftChars="0"/>
        <w:jc w:val="center"/>
        <w:textAlignment w:val="auto"/>
        <w:outlineLvl w:val="9"/>
        <w:rPr>
          <w:rFonts w:hint="default" w:ascii="黑体" w:hAnsi="黑体" w:eastAsia="黑体" w:cs="黑体"/>
          <w:b w:val="0"/>
          <w:bCs w:val="0"/>
          <w:spacing w:val="-2"/>
          <w:w w:val="95"/>
          <w:kern w:val="0"/>
          <w:sz w:val="52"/>
          <w:szCs w:val="52"/>
          <w:lang w:val="en-US" w:eastAsia="zh-CN"/>
        </w:rPr>
      </w:pPr>
      <w:r>
        <w:rPr>
          <w:rFonts w:hint="eastAsia" w:ascii="黑体" w:hAnsi="黑体" w:eastAsia="黑体" w:cs="黑体"/>
          <w:b w:val="0"/>
          <w:bCs w:val="0"/>
          <w:spacing w:val="-2"/>
          <w:w w:val="95"/>
          <w:kern w:val="0"/>
          <w:sz w:val="52"/>
          <w:szCs w:val="52"/>
          <w:lang w:val="en-US" w:eastAsia="zh-CN"/>
        </w:rPr>
        <w:t>方法学</w:t>
      </w:r>
    </w:p>
    <w:p w14:paraId="674A43B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eastAsia="en-US"/>
        </w:rPr>
      </w:pPr>
      <w:bookmarkStart w:id="1" w:name="_Toc16380"/>
      <w:r>
        <w:rPr>
          <w:rFonts w:hint="eastAsia" w:ascii="黑体" w:hAnsi="黑体" w:eastAsia="黑体" w:cs="黑体"/>
          <w:b w:val="0"/>
          <w:bCs w:val="0"/>
          <w:spacing w:val="-2"/>
          <w:w w:val="95"/>
          <w:kern w:val="0"/>
          <w:sz w:val="28"/>
          <w:szCs w:val="28"/>
          <w:lang w:val="en-US" w:eastAsia="zh-CN"/>
        </w:rPr>
        <w:t>引言</w:t>
      </w:r>
      <w:bookmarkEnd w:id="1"/>
    </w:p>
    <w:p w14:paraId="24A617D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为落实《南京市碳普惠管理实施方案》要求，规范本市个人电动汽车充电桩充电行为的碳减排核算，推动交通领域绿色低碳转型，引导居民参与有序充电、助力电力供需平衡与碳减排激励，特编制《南京市个</w:t>
      </w:r>
      <w:r>
        <w:rPr>
          <w:rFonts w:hint="eastAsia" w:ascii="宋体" w:hAnsi="宋体" w:eastAsia="宋体" w:cs="宋体"/>
          <w:kern w:val="0"/>
          <w:sz w:val="28"/>
          <w:szCs w:val="28"/>
          <w:highlight w:val="none"/>
          <w:lang w:val="en-US" w:eastAsia="zh-CN"/>
        </w:rPr>
        <w:t>人电动汽车充电</w:t>
      </w:r>
      <w:r>
        <w:rPr>
          <w:rFonts w:hint="eastAsia" w:ascii="宋体" w:hAnsi="宋体" w:eastAsia="宋体" w:cs="宋体"/>
          <w:kern w:val="0"/>
          <w:sz w:val="28"/>
          <w:szCs w:val="28"/>
          <w:lang w:val="en-US" w:eastAsia="zh-CN"/>
        </w:rPr>
        <w:t>桩碳普惠方法学》。本方法学为新开发方法学，旨在明确个人充电桩充电场景的减排核算规则、数据监测要求与管理规范。方法学适用于南京市行政区域内注册碳普惠账户的个人用户，使用直接报装、执行居民电价的个人充电桩</w:t>
      </w:r>
      <w:r>
        <w:rPr>
          <w:rFonts w:hint="eastAsia" w:ascii="宋体" w:hAnsi="宋体" w:eastAsia="宋体" w:cs="宋体"/>
          <w:kern w:val="0"/>
          <w:sz w:val="28"/>
          <w:szCs w:val="28"/>
          <w:highlight w:val="none"/>
          <w:lang w:val="en-US" w:eastAsia="zh-CN"/>
        </w:rPr>
        <w:t>为电动汽车充电的场景，以</w:t>
      </w:r>
      <w:r>
        <w:rPr>
          <w:rFonts w:hint="eastAsia" w:ascii="宋体" w:hAnsi="宋体" w:eastAsia="宋体" w:cs="宋体"/>
          <w:kern w:val="0"/>
          <w:sz w:val="28"/>
          <w:szCs w:val="28"/>
          <w:lang w:val="en-US" w:eastAsia="zh-CN"/>
        </w:rPr>
        <w:t>燃油车行驶排放为基准线情景，免于额外性论证，通过基准线排放与场景排放差值核算减排量，兼顾核算科学性、普惠性与可操作性，充分匹配南京市交通领域重点低碳发展方向，有效调动公众低碳出行积极性，助力城市“双碳”目标落地。</w:t>
      </w:r>
    </w:p>
    <w:p w14:paraId="75F42F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2" w:name="_Toc25698"/>
      <w:r>
        <w:rPr>
          <w:rFonts w:hint="eastAsia" w:ascii="黑体" w:hAnsi="黑体" w:eastAsia="黑体" w:cs="黑体"/>
          <w:b w:val="0"/>
          <w:bCs w:val="0"/>
          <w:spacing w:val="-2"/>
          <w:w w:val="95"/>
          <w:kern w:val="0"/>
          <w:sz w:val="28"/>
          <w:szCs w:val="28"/>
          <w:lang w:val="en-US" w:eastAsia="en-US"/>
        </w:rPr>
        <w:t>适用</w:t>
      </w:r>
      <w:bookmarkEnd w:id="0"/>
      <w:r>
        <w:rPr>
          <w:rFonts w:hint="eastAsia" w:ascii="黑体" w:hAnsi="黑体" w:eastAsia="黑体" w:cs="黑体"/>
          <w:b w:val="0"/>
          <w:bCs w:val="0"/>
          <w:spacing w:val="-2"/>
          <w:w w:val="95"/>
          <w:kern w:val="0"/>
          <w:sz w:val="28"/>
          <w:szCs w:val="28"/>
          <w:lang w:val="en-US" w:eastAsia="zh-CN"/>
        </w:rPr>
        <w:t>范围</w:t>
      </w:r>
      <w:bookmarkEnd w:id="2"/>
    </w:p>
    <w:p w14:paraId="33D4819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本方法学适用于</w:t>
      </w:r>
      <w:r>
        <w:rPr>
          <w:rFonts w:hint="eastAsia" w:ascii="宋体" w:hAnsi="宋体" w:eastAsia="宋体" w:cs="宋体"/>
          <w:kern w:val="0"/>
          <w:sz w:val="28"/>
          <w:szCs w:val="28"/>
          <w:lang w:eastAsia="zh-CN"/>
        </w:rPr>
        <w:t>南京市行政区域</w:t>
      </w:r>
      <w:r>
        <w:rPr>
          <w:rFonts w:hint="eastAsia" w:ascii="宋体" w:hAnsi="宋体" w:eastAsia="宋体" w:cs="宋体"/>
          <w:kern w:val="0"/>
          <w:sz w:val="28"/>
          <w:szCs w:val="28"/>
        </w:rPr>
        <w:t>内注册个人碳普惠账户、知悉本市碳普惠机制并自愿参与的用户，使用</w:t>
      </w:r>
      <w:r>
        <w:rPr>
          <w:rFonts w:hint="eastAsia" w:ascii="宋体" w:hAnsi="宋体" w:eastAsia="宋体" w:cs="宋体"/>
          <w:kern w:val="0"/>
          <w:sz w:val="28"/>
          <w:szCs w:val="28"/>
          <w:lang w:eastAsia="zh-CN"/>
        </w:rPr>
        <w:t>个人</w:t>
      </w:r>
      <w:r>
        <w:rPr>
          <w:rFonts w:hint="eastAsia" w:ascii="宋体" w:hAnsi="宋体" w:eastAsia="宋体" w:cs="宋体"/>
          <w:kern w:val="0"/>
          <w:sz w:val="28"/>
          <w:szCs w:val="28"/>
        </w:rPr>
        <w:t>充电桩为</w:t>
      </w:r>
      <w:r>
        <w:rPr>
          <w:rFonts w:hint="eastAsia" w:ascii="宋体" w:hAnsi="宋体" w:eastAsia="宋体" w:cs="宋体"/>
          <w:kern w:val="0"/>
          <w:sz w:val="28"/>
          <w:szCs w:val="28"/>
          <w:highlight w:val="none"/>
        </w:rPr>
        <w:t>电动</w:t>
      </w:r>
      <w:r>
        <w:rPr>
          <w:rFonts w:hint="eastAsia" w:ascii="宋体" w:hAnsi="宋体" w:eastAsia="宋体" w:cs="宋体"/>
          <w:kern w:val="0"/>
          <w:sz w:val="28"/>
          <w:szCs w:val="28"/>
          <w:highlight w:val="none"/>
          <w:lang w:val="en-US" w:eastAsia="zh-CN"/>
        </w:rPr>
        <w:t>汽</w:t>
      </w:r>
      <w:r>
        <w:rPr>
          <w:rFonts w:hint="eastAsia" w:ascii="宋体" w:hAnsi="宋体" w:eastAsia="宋体" w:cs="宋体"/>
          <w:kern w:val="0"/>
          <w:sz w:val="28"/>
          <w:szCs w:val="28"/>
          <w:highlight w:val="none"/>
        </w:rPr>
        <w:t>车充电</w:t>
      </w:r>
      <w:r>
        <w:rPr>
          <w:rFonts w:hint="eastAsia" w:ascii="宋体" w:hAnsi="宋体" w:eastAsia="宋体" w:cs="宋体"/>
          <w:kern w:val="0"/>
          <w:sz w:val="28"/>
          <w:szCs w:val="28"/>
        </w:rPr>
        <w:t>的</w:t>
      </w:r>
      <w:r>
        <w:rPr>
          <w:rFonts w:hint="eastAsia" w:ascii="宋体" w:hAnsi="宋体" w:eastAsia="宋体" w:cs="宋体"/>
          <w:kern w:val="0"/>
          <w:sz w:val="28"/>
          <w:szCs w:val="28"/>
          <w:lang w:eastAsia="zh-CN"/>
        </w:rPr>
        <w:t>场景</w:t>
      </w:r>
      <w:r>
        <w:rPr>
          <w:rFonts w:hint="eastAsia" w:ascii="宋体" w:hAnsi="宋体" w:eastAsia="宋体" w:cs="宋体"/>
          <w:kern w:val="0"/>
          <w:sz w:val="28"/>
          <w:szCs w:val="28"/>
        </w:rPr>
        <w:t>。</w:t>
      </w:r>
      <w:r>
        <w:rPr>
          <w:rFonts w:ascii="宋体" w:hAnsi="宋体" w:eastAsia="宋体" w:cs="宋体"/>
          <w:kern w:val="0"/>
          <w:sz w:val="28"/>
          <w:szCs w:val="28"/>
        </w:rPr>
        <w:t>使用本方法学必须满足以下条件：</w:t>
      </w:r>
    </w:p>
    <w:p w14:paraId="7A7D588C">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本方法学</w:t>
      </w:r>
      <w:r>
        <w:rPr>
          <w:rFonts w:hint="eastAsia" w:ascii="宋体" w:hAnsi="宋体" w:eastAsia="宋体" w:cs="宋体"/>
          <w:kern w:val="0"/>
          <w:sz w:val="28"/>
          <w:szCs w:val="28"/>
          <w:lang w:eastAsia="zh-CN"/>
        </w:rPr>
        <w:t>针对的充电</w:t>
      </w:r>
      <w:r>
        <w:rPr>
          <w:rFonts w:hint="eastAsia" w:ascii="宋体" w:hAnsi="宋体" w:eastAsia="宋体" w:cs="宋体"/>
          <w:kern w:val="0"/>
          <w:sz w:val="28"/>
          <w:szCs w:val="28"/>
        </w:rPr>
        <w:t>桩主要</w:t>
      </w:r>
      <w:r>
        <w:rPr>
          <w:rFonts w:hint="eastAsia" w:ascii="宋体" w:hAnsi="宋体" w:eastAsia="宋体" w:cs="宋体"/>
          <w:kern w:val="0"/>
          <w:sz w:val="28"/>
          <w:szCs w:val="28"/>
          <w:lang w:eastAsia="zh-CN"/>
        </w:rPr>
        <w:t>是</w:t>
      </w:r>
      <w:r>
        <w:rPr>
          <w:rFonts w:hint="eastAsia" w:ascii="宋体" w:hAnsi="宋体" w:eastAsia="宋体" w:cs="宋体"/>
          <w:kern w:val="0"/>
          <w:sz w:val="28"/>
          <w:szCs w:val="28"/>
        </w:rPr>
        <w:t>个人注册的、向电网企业直接报装的、执行居民电价标准的</w:t>
      </w:r>
      <w:r>
        <w:rPr>
          <w:rFonts w:hint="eastAsia" w:ascii="宋体" w:hAnsi="宋体" w:eastAsia="宋体" w:cs="宋体"/>
          <w:kern w:val="0"/>
          <w:sz w:val="28"/>
          <w:szCs w:val="28"/>
          <w:lang w:val="en-US" w:eastAsia="zh-CN"/>
        </w:rPr>
        <w:t>电动汽车</w:t>
      </w:r>
      <w:r>
        <w:rPr>
          <w:rFonts w:hint="eastAsia" w:ascii="宋体" w:hAnsi="宋体" w:eastAsia="宋体" w:cs="宋体"/>
          <w:kern w:val="0"/>
          <w:sz w:val="28"/>
          <w:szCs w:val="28"/>
        </w:rPr>
        <w:t>充电桩。</w:t>
      </w:r>
    </w:p>
    <w:p w14:paraId="35BADE02">
      <w:pPr>
        <w:keepNext w:val="0"/>
        <w:keepLines w:val="0"/>
        <w:pageBreakBefore w:val="0"/>
        <w:widowControl w:val="0"/>
        <w:numPr>
          <w:ilvl w:val="2"/>
          <w:numId w:val="2"/>
        </w:numPr>
        <w:tabs>
          <w:tab w:val="left" w:pos="1269"/>
          <w:tab w:val="left" w:pos="1270"/>
        </w:tabs>
        <w:kinsoku/>
        <w:wordWrap/>
        <w:overflowPunct/>
        <w:topLinePunct w:val="0"/>
        <w:autoSpaceDE w:val="0"/>
        <w:autoSpaceDN w:val="0"/>
        <w:bidi w:val="0"/>
        <w:adjustRightInd/>
        <w:snapToGrid w:val="0"/>
        <w:spacing w:line="362" w:lineRule="auto"/>
        <w:ind w:left="420" w:left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充电</w:t>
      </w:r>
      <w:r>
        <w:rPr>
          <w:rFonts w:ascii="宋体" w:hAnsi="宋体" w:eastAsia="宋体" w:cs="宋体"/>
          <w:kern w:val="0"/>
          <w:sz w:val="28"/>
          <w:szCs w:val="28"/>
        </w:rPr>
        <w:t>桩为每台车辆的充电信息可得。充电信息至少应包括充电日期、</w:t>
      </w:r>
      <w:r>
        <w:rPr>
          <w:rFonts w:hint="eastAsia" w:ascii="宋体" w:hAnsi="宋体" w:eastAsia="宋体" w:cs="宋体"/>
          <w:kern w:val="0"/>
          <w:sz w:val="28"/>
          <w:szCs w:val="28"/>
        </w:rPr>
        <w:t>充电量以及充电车辆的类型</w:t>
      </w:r>
      <w:r>
        <w:rPr>
          <w:rFonts w:ascii="宋体" w:hAnsi="宋体" w:eastAsia="宋体" w:cs="宋体"/>
          <w:kern w:val="0"/>
          <w:sz w:val="28"/>
          <w:szCs w:val="28"/>
        </w:rPr>
        <w:t>。</w:t>
      </w:r>
    </w:p>
    <w:p w14:paraId="5CE3C2F9">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3" w:name="_Toc170134104"/>
      <w:bookmarkStart w:id="4" w:name="_Toc12950"/>
      <w:r>
        <w:rPr>
          <w:rFonts w:hint="eastAsia" w:ascii="黑体" w:hAnsi="黑体" w:eastAsia="黑体" w:cs="黑体"/>
          <w:b w:val="0"/>
          <w:bCs w:val="0"/>
          <w:spacing w:val="-2"/>
          <w:w w:val="95"/>
          <w:kern w:val="0"/>
          <w:sz w:val="28"/>
          <w:szCs w:val="28"/>
          <w:lang w:val="en-US" w:eastAsia="en-US"/>
        </w:rPr>
        <w:t>引用文件</w:t>
      </w:r>
      <w:bookmarkEnd w:id="3"/>
      <w:bookmarkEnd w:id="4"/>
    </w:p>
    <w:p w14:paraId="28BBB8E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ascii="宋体" w:hAnsi="宋体" w:eastAsia="宋体" w:cs="宋体"/>
          <w:kern w:val="0"/>
          <w:sz w:val="28"/>
          <w:szCs w:val="28"/>
        </w:rPr>
        <w:t>本方法学引用了下列文件或其中的条款。凡是注日期的引用文件，仅注日期的版本适用于本方法学。凡是未注日期的引用文件，其有效版本（包括所有的修改单）适用于本方法学。</w:t>
      </w:r>
    </w:p>
    <w:p w14:paraId="52500681">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Times New Roman" w:hAnsi="Times New Roman" w:eastAsia="宋体" w:cs="Times New Roman"/>
          <w:kern w:val="0"/>
          <w:sz w:val="28"/>
          <w:szCs w:val="28"/>
          <w:lang w:val="en-US" w:eastAsia="zh-CN"/>
        </w:rPr>
      </w:pPr>
      <w:r>
        <w:rPr>
          <w:rFonts w:hint="eastAsia" w:ascii="Times New Roman" w:hAnsi="Times New Roman" w:eastAsia="宋体" w:cs="Times New Roman"/>
          <w:kern w:val="0"/>
          <w:sz w:val="28"/>
          <w:szCs w:val="28"/>
          <w:lang w:val="en-US" w:eastAsia="zh-CN"/>
        </w:rPr>
        <w:t>GB/T 32151.27 温室气体排放核算与报告要求 第27部分：陆上交通运输企业</w:t>
      </w:r>
    </w:p>
    <w:p w14:paraId="5B22591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‌GB/T 33760</w:t>
      </w:r>
      <w:r>
        <w:rPr>
          <w:rFonts w:hint="eastAsia" w:ascii="Times New Roman" w:hAnsi="Times New Roman" w:eastAsia="宋体" w:cs="Times New Roman"/>
          <w:kern w:val="0"/>
          <w:sz w:val="28"/>
          <w:szCs w:val="28"/>
          <w:lang w:val="en-US" w:eastAsia="zh-CN"/>
        </w:rPr>
        <w:t xml:space="preserve"> </w:t>
      </w:r>
      <w:r>
        <w:rPr>
          <w:rFonts w:hint="default" w:ascii="Times New Roman" w:hAnsi="Times New Roman" w:eastAsia="宋体" w:cs="Times New Roman"/>
          <w:kern w:val="0"/>
          <w:sz w:val="28"/>
          <w:szCs w:val="28"/>
          <w:lang w:val="en-US" w:eastAsia="zh-CN"/>
        </w:rPr>
        <w:t>基于项目的温室气体减排量评估技术规范 通用要求</w:t>
      </w:r>
    </w:p>
    <w:p w14:paraId="4D5B6C8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ascii="Times New Roman" w:hAnsi="Times New Roman" w:eastAsia="宋体" w:cs="Times New Roman"/>
          <w:kern w:val="0"/>
          <w:sz w:val="28"/>
          <w:szCs w:val="28"/>
        </w:rPr>
      </w:pPr>
      <w:r>
        <w:rPr>
          <w:rFonts w:ascii="Times New Roman" w:hAnsi="Times New Roman" w:eastAsia="宋体" w:cs="Times New Roman"/>
          <w:kern w:val="0"/>
          <w:sz w:val="28"/>
          <w:szCs w:val="28"/>
        </w:rPr>
        <w:t>NB/T 11305.2-2023</w:t>
      </w:r>
      <w:r>
        <w:rPr>
          <w:rFonts w:hint="eastAsia" w:ascii="Times New Roman" w:hAnsi="Times New Roman" w:eastAsia="宋体" w:cs="Times New Roman"/>
          <w:kern w:val="0"/>
          <w:sz w:val="28"/>
          <w:szCs w:val="28"/>
        </w:rPr>
        <w:t xml:space="preserve"> 电动汽车充放电双向互动</w:t>
      </w:r>
      <w:r>
        <w:rPr>
          <w:rFonts w:ascii="Times New Roman" w:hAnsi="Times New Roman" w:eastAsia="宋体" w:cs="Times New Roman"/>
          <w:kern w:val="0"/>
          <w:sz w:val="28"/>
          <w:szCs w:val="28"/>
        </w:rPr>
        <w:t xml:space="preserve"> 第2部分：有序充电</w:t>
      </w:r>
    </w:p>
    <w:p w14:paraId="44B145B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ascii="Times New Roman" w:hAnsi="Times New Roman" w:eastAsia="宋体" w:cs="Times New Roman"/>
          <w:kern w:val="0"/>
          <w:sz w:val="28"/>
          <w:szCs w:val="28"/>
        </w:rPr>
      </w:pPr>
      <w:r>
        <w:rPr>
          <w:rFonts w:ascii="Times New Roman" w:hAnsi="Times New Roman" w:eastAsia="宋体" w:cs="Times New Roman"/>
          <w:kern w:val="0"/>
          <w:sz w:val="28"/>
          <w:szCs w:val="28"/>
        </w:rPr>
        <w:t>CM-098-V01  电动汽车充电站及充电桩温室气体减排方法学</w:t>
      </w:r>
    </w:p>
    <w:p w14:paraId="5FCC687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ascii="Times New Roman" w:hAnsi="Times New Roman" w:eastAsia="宋体" w:cs="Times New Roman"/>
          <w:kern w:val="0"/>
          <w:sz w:val="28"/>
          <w:szCs w:val="28"/>
        </w:rPr>
      </w:pPr>
      <w:r>
        <w:rPr>
          <w:rFonts w:ascii="Times New Roman" w:hAnsi="Times New Roman" w:eastAsia="宋体" w:cs="Times New Roman"/>
          <w:kern w:val="0"/>
          <w:sz w:val="28"/>
          <w:szCs w:val="28"/>
        </w:rPr>
        <w:t>CMS-048-V01  通过电动和混合动力汽车实现减排</w:t>
      </w:r>
    </w:p>
    <w:p w14:paraId="4EE75F3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ascii="Times New Roman" w:hAnsi="Times New Roman" w:eastAsia="宋体" w:cs="Times New Roman"/>
          <w:kern w:val="0"/>
          <w:sz w:val="28"/>
          <w:szCs w:val="28"/>
        </w:rPr>
        <w:t>CDM-EB Tool05 电力消耗导致的基准</w:t>
      </w:r>
      <w:r>
        <w:rPr>
          <w:rFonts w:ascii="宋体" w:hAnsi="宋体" w:eastAsia="宋体" w:cs="宋体"/>
          <w:kern w:val="0"/>
          <w:sz w:val="28"/>
          <w:szCs w:val="28"/>
        </w:rPr>
        <w:t>线、项目和/或泄漏排放计算工具</w:t>
      </w:r>
    </w:p>
    <w:p w14:paraId="1D3CBEA3">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5" w:name="_Toc2359"/>
      <w:bookmarkStart w:id="6" w:name="_Toc170134105"/>
      <w:r>
        <w:rPr>
          <w:rFonts w:hint="eastAsia" w:ascii="黑体" w:hAnsi="黑体" w:eastAsia="黑体" w:cs="黑体"/>
          <w:b w:val="0"/>
          <w:bCs w:val="0"/>
          <w:spacing w:val="-2"/>
          <w:w w:val="95"/>
          <w:kern w:val="0"/>
          <w:sz w:val="28"/>
          <w:szCs w:val="28"/>
          <w:lang w:val="en-US" w:eastAsia="en-US"/>
        </w:rPr>
        <w:t>术语和定义</w:t>
      </w:r>
      <w:bookmarkEnd w:id="5"/>
      <w:bookmarkEnd w:id="6"/>
    </w:p>
    <w:p w14:paraId="1E37C71B">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cs="Times New Roman"/>
          <w:b w:val="0"/>
          <w:bCs/>
          <w:spacing w:val="-5"/>
          <w:sz w:val="28"/>
          <w:szCs w:val="28"/>
          <w:lang w:val="en-US" w:eastAsia="zh-CN"/>
        </w:rPr>
      </w:pPr>
      <w:bookmarkStart w:id="7" w:name="3.1"/>
      <w:bookmarkEnd w:id="7"/>
      <w:bookmarkStart w:id="8" w:name="_Toc1310109466"/>
      <w:bookmarkStart w:id="9" w:name="_Toc1322001721"/>
      <w:bookmarkStart w:id="10" w:name="_Toc960204844"/>
      <w:bookmarkStart w:id="11" w:name="_Toc9005"/>
      <w:r>
        <w:rPr>
          <w:rFonts w:hint="default" w:ascii="Times New Roman" w:hAnsi="Times New Roman" w:cs="Times New Roman"/>
          <w:b w:val="0"/>
          <w:bCs/>
          <w:spacing w:val="-5"/>
          <w:sz w:val="28"/>
          <w:szCs w:val="28"/>
          <w:lang w:val="en-US" w:eastAsia="zh-CN"/>
        </w:rPr>
        <w:t xml:space="preserve">4.1 传输分配损失  </w:t>
      </w:r>
    </w:p>
    <w:p w14:paraId="7C98C48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lang w:val="en-US" w:eastAsia="zh-CN"/>
        </w:rPr>
      </w:pPr>
      <w:r>
        <w:rPr>
          <w:rFonts w:hint="default" w:ascii="Times New Roman" w:hAnsi="Times New Roman" w:eastAsia="宋体" w:cs="Times New Roman"/>
          <w:kern w:val="0"/>
          <w:sz w:val="28"/>
          <w:szCs w:val="28"/>
          <w:lang w:val="en-US" w:eastAsia="zh-CN"/>
        </w:rPr>
        <w:t>电能从电网关口输送至车载动力电池全过程，在线路、配电、充电设备环节产生的电量损耗比例</w:t>
      </w:r>
    </w:p>
    <w:p w14:paraId="042F4F58">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cs="Times New Roman"/>
          <w:b w:val="0"/>
          <w:bCs/>
          <w:spacing w:val="-5"/>
          <w:sz w:val="28"/>
          <w:szCs w:val="28"/>
          <w:lang w:eastAsia="en-US"/>
        </w:rPr>
      </w:pPr>
      <w:r>
        <w:rPr>
          <w:rFonts w:hint="default" w:ascii="Times New Roman" w:hAnsi="Times New Roman" w:cs="Times New Roman"/>
          <w:b w:val="0"/>
          <w:bCs/>
          <w:spacing w:val="-5"/>
          <w:sz w:val="28"/>
          <w:szCs w:val="28"/>
          <w:lang w:val="en-US" w:eastAsia="zh-CN"/>
        </w:rPr>
        <w:t>4</w:t>
      </w:r>
      <w:r>
        <w:rPr>
          <w:rFonts w:hint="default" w:ascii="Times New Roman" w:hAnsi="Times New Roman" w:cs="Times New Roman"/>
          <w:b w:val="0"/>
          <w:bCs/>
          <w:spacing w:val="-5"/>
          <w:sz w:val="28"/>
          <w:szCs w:val="28"/>
          <w:lang w:eastAsia="en-US"/>
        </w:rPr>
        <w:t>.2</w:t>
      </w:r>
      <w:r>
        <w:rPr>
          <w:rFonts w:hint="default" w:ascii="Times New Roman" w:hAnsi="Times New Roman" w:cs="Times New Roman"/>
          <w:b w:val="0"/>
          <w:bCs/>
          <w:spacing w:val="-5"/>
          <w:sz w:val="28"/>
          <w:szCs w:val="28"/>
          <w:lang w:val="en-US" w:eastAsia="zh-CN"/>
        </w:rPr>
        <w:t xml:space="preserve"> </w:t>
      </w:r>
      <w:r>
        <w:rPr>
          <w:rFonts w:hint="default" w:ascii="Times New Roman" w:hAnsi="Times New Roman" w:cs="Times New Roman"/>
          <w:b w:val="0"/>
          <w:bCs/>
          <w:spacing w:val="-5"/>
          <w:sz w:val="28"/>
          <w:szCs w:val="28"/>
          <w:lang w:eastAsia="en-US"/>
        </w:rPr>
        <w:t>基准线情景</w:t>
      </w:r>
      <w:bookmarkEnd w:id="8"/>
      <w:bookmarkEnd w:id="9"/>
      <w:bookmarkEnd w:id="10"/>
    </w:p>
    <w:p w14:paraId="77F4F19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宋体" w:cs="Times New Roman"/>
          <w:kern w:val="0"/>
          <w:sz w:val="28"/>
          <w:szCs w:val="28"/>
          <w:lang w:eastAsia="zh-CN"/>
        </w:rPr>
      </w:pPr>
      <w:r>
        <w:rPr>
          <w:rFonts w:hint="default" w:ascii="Times New Roman" w:hAnsi="Times New Roman" w:eastAsia="宋体" w:cs="Times New Roman"/>
          <w:kern w:val="0"/>
          <w:sz w:val="28"/>
          <w:szCs w:val="28"/>
        </w:rPr>
        <w:t>用来提供参照的，在不实施项目的情景下可能发生的假定情景</w:t>
      </w:r>
      <w:r>
        <w:rPr>
          <w:rFonts w:hint="default" w:ascii="Times New Roman" w:hAnsi="Times New Roman" w:eastAsia="宋体" w:cs="Times New Roman"/>
          <w:kern w:val="0"/>
          <w:sz w:val="28"/>
          <w:szCs w:val="28"/>
          <w:lang w:eastAsia="zh-CN"/>
        </w:rPr>
        <w:t>。</w:t>
      </w:r>
    </w:p>
    <w:p w14:paraId="4CD3657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default" w:ascii="Times New Roman" w:hAnsi="Times New Roman" w:eastAsia="宋体" w:cs="Times New Roman"/>
          <w:kern w:val="0"/>
          <w:sz w:val="28"/>
          <w:szCs w:val="28"/>
          <w:lang w:eastAsia="zh-CN"/>
        </w:rPr>
      </w:pPr>
      <w:r>
        <w:rPr>
          <w:rFonts w:hint="default" w:ascii="Times New Roman" w:hAnsi="Times New Roman" w:eastAsia="宋体" w:cs="Times New Roman"/>
          <w:sz w:val="28"/>
          <w:szCs w:val="28"/>
        </w:rPr>
        <w:t>[来源</w:t>
      </w:r>
      <w:r>
        <w:rPr>
          <w:rFonts w:hint="default" w:ascii="Times New Roman" w:hAnsi="Times New Roman" w:eastAsia="宋体" w:cs="Times New Roman"/>
          <w:sz w:val="28"/>
          <w:szCs w:val="28"/>
          <w:lang w:eastAsia="zh-CN"/>
        </w:rPr>
        <w:t>：</w:t>
      </w:r>
      <w:r>
        <w:rPr>
          <w:rFonts w:hint="default" w:ascii="Times New Roman" w:hAnsi="Times New Roman" w:eastAsia="宋体" w:cs="Times New Roman"/>
          <w:sz w:val="28"/>
          <w:szCs w:val="28"/>
        </w:rPr>
        <w:t>GB/T 33760-2017,3.4]</w:t>
      </w:r>
    </w:p>
    <w:p w14:paraId="6EA7963A">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ascii="Times New Roman" w:hAnsi="Times New Roman" w:eastAsia="黑体" w:cs="Times New Roman"/>
          <w:b w:val="0"/>
          <w:bCs/>
          <w:spacing w:val="-5"/>
          <w:sz w:val="28"/>
          <w:szCs w:val="28"/>
          <w:lang w:val="en-US" w:eastAsia="zh-CN"/>
        </w:rPr>
      </w:pPr>
      <w:bookmarkStart w:id="12" w:name="_Toc648108775"/>
      <w:bookmarkStart w:id="13" w:name="_Toc738979169"/>
      <w:bookmarkStart w:id="14" w:name="_Toc822625087"/>
      <w:r>
        <w:rPr>
          <w:rFonts w:hint="default" w:ascii="Times New Roman" w:hAnsi="Times New Roman" w:cs="Times New Roman"/>
          <w:b w:val="0"/>
          <w:bCs/>
          <w:spacing w:val="-5"/>
          <w:sz w:val="28"/>
          <w:szCs w:val="28"/>
          <w:lang w:val="en-US" w:eastAsia="zh-CN"/>
        </w:rPr>
        <w:t>4</w:t>
      </w:r>
      <w:r>
        <w:rPr>
          <w:rFonts w:hint="default" w:ascii="Times New Roman" w:hAnsi="Times New Roman" w:cs="Times New Roman"/>
          <w:b w:val="0"/>
          <w:bCs/>
          <w:spacing w:val="-5"/>
          <w:sz w:val="28"/>
          <w:szCs w:val="28"/>
          <w:lang w:eastAsia="en-US"/>
        </w:rPr>
        <w:t>.3</w:t>
      </w:r>
      <w:r>
        <w:rPr>
          <w:rFonts w:hint="default" w:ascii="Times New Roman" w:hAnsi="Times New Roman" w:cs="Times New Roman"/>
          <w:b w:val="0"/>
          <w:bCs/>
          <w:spacing w:val="-5"/>
          <w:sz w:val="28"/>
          <w:szCs w:val="28"/>
          <w:lang w:eastAsia="en-US"/>
        </w:rPr>
        <w:tab/>
      </w:r>
      <w:r>
        <w:rPr>
          <w:rFonts w:hint="default" w:ascii="Times New Roman" w:hAnsi="Times New Roman" w:cs="Times New Roman"/>
          <w:b w:val="0"/>
          <w:bCs/>
          <w:spacing w:val="-5"/>
          <w:sz w:val="28"/>
          <w:szCs w:val="28"/>
          <w:lang w:val="en-US" w:eastAsia="zh-CN"/>
        </w:rPr>
        <w:t xml:space="preserve"> </w:t>
      </w:r>
      <w:bookmarkEnd w:id="12"/>
      <w:bookmarkEnd w:id="13"/>
      <w:bookmarkEnd w:id="14"/>
      <w:r>
        <w:rPr>
          <w:rFonts w:hint="default" w:ascii="Times New Roman" w:hAnsi="Times New Roman" w:cs="Times New Roman"/>
          <w:b w:val="0"/>
          <w:bCs/>
          <w:spacing w:val="-5"/>
          <w:sz w:val="28"/>
          <w:szCs w:val="28"/>
          <w:lang w:val="en-US" w:eastAsia="zh-CN"/>
        </w:rPr>
        <w:t>有序充电</w:t>
      </w:r>
    </w:p>
    <w:p w14:paraId="630F2FE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Times New Roman" w:hAnsi="Times New Roman" w:eastAsia="宋体" w:cs="Times New Roman"/>
          <w:kern w:val="0"/>
          <w:sz w:val="28"/>
          <w:szCs w:val="28"/>
        </w:rPr>
      </w:pPr>
      <w:r>
        <w:rPr>
          <w:rFonts w:hint="default" w:ascii="Times New Roman" w:hAnsi="Times New Roman" w:eastAsia="宋体" w:cs="Times New Roman"/>
          <w:kern w:val="0"/>
          <w:sz w:val="28"/>
          <w:szCs w:val="28"/>
        </w:rPr>
        <w:t>通过经济、技术调控手段，按照预设策略对电动汽车充电时段、充电功率进行协调管控，优化配网负荷的充电运行模式。</w:t>
      </w:r>
    </w:p>
    <w:p w14:paraId="324065D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left"/>
        <w:textAlignment w:val="auto"/>
        <w:rPr>
          <w:rFonts w:hint="eastAsia" w:ascii="宋体" w:hAnsi="宋体" w:eastAsia="宋体" w:cs="宋体"/>
          <w:kern w:val="0"/>
          <w:sz w:val="28"/>
          <w:szCs w:val="28"/>
        </w:rPr>
      </w:pPr>
      <w:r>
        <w:rPr>
          <w:rFonts w:hint="default" w:ascii="Times New Roman" w:hAnsi="Times New Roman" w:eastAsia="宋体" w:cs="Times New Roman"/>
          <w:kern w:val="0"/>
          <w:sz w:val="28"/>
          <w:szCs w:val="28"/>
        </w:rPr>
        <w:t>[来源：NB/T 11305.2-2023</w:t>
      </w:r>
      <w:r>
        <w:rPr>
          <w:rFonts w:hint="default" w:ascii="Times New Roman" w:hAnsi="Times New Roman" w:eastAsia="宋体" w:cs="Times New Roman"/>
          <w:kern w:val="0"/>
          <w:sz w:val="28"/>
          <w:szCs w:val="28"/>
          <w:lang w:eastAsia="zh-CN"/>
        </w:rPr>
        <w:t>，</w:t>
      </w:r>
      <w:r>
        <w:rPr>
          <w:rFonts w:hint="default" w:ascii="Times New Roman" w:hAnsi="Times New Roman" w:eastAsia="宋体" w:cs="Times New Roman"/>
          <w:kern w:val="0"/>
          <w:sz w:val="28"/>
          <w:szCs w:val="28"/>
        </w:rPr>
        <w:t>3.1]</w:t>
      </w:r>
    </w:p>
    <w:bookmarkEnd w:id="11"/>
    <w:p w14:paraId="3E522A90">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15" w:name="_Toc10057"/>
      <w:r>
        <w:rPr>
          <w:rFonts w:hint="eastAsia" w:ascii="黑体" w:hAnsi="黑体" w:eastAsia="黑体" w:cs="黑体"/>
          <w:b w:val="0"/>
          <w:bCs w:val="0"/>
          <w:spacing w:val="-2"/>
          <w:w w:val="95"/>
          <w:kern w:val="0"/>
          <w:sz w:val="28"/>
          <w:szCs w:val="28"/>
          <w:lang w:val="en-US" w:eastAsia="zh-CN"/>
        </w:rPr>
        <w:t>基本要求</w:t>
      </w:r>
      <w:bookmarkEnd w:id="15"/>
    </w:p>
    <w:p w14:paraId="1E8ACA6F">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eastAsia="en-US"/>
        </w:rPr>
      </w:pPr>
      <w:r>
        <w:rPr>
          <w:rFonts w:hint="eastAsia" w:cs="宋体"/>
          <w:b w:val="0"/>
          <w:bCs/>
          <w:spacing w:val="-5"/>
          <w:sz w:val="28"/>
          <w:szCs w:val="28"/>
          <w:lang w:eastAsia="en-US"/>
        </w:rPr>
        <w:t>5.1 合规性说明</w:t>
      </w:r>
    </w:p>
    <w:p w14:paraId="78CCF82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本场景需要在合法合规的前提下进行，场景开发主体不得非法收集、使用、加工、传输用户信息，不得非法买卖、提供或者公开用户信息。</w:t>
      </w:r>
    </w:p>
    <w:p w14:paraId="04877D83">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eastAsia="en-US"/>
        </w:rPr>
      </w:pPr>
      <w:r>
        <w:rPr>
          <w:rFonts w:hint="eastAsia" w:cs="宋体"/>
          <w:b w:val="0"/>
          <w:bCs/>
          <w:spacing w:val="-5"/>
          <w:sz w:val="28"/>
          <w:szCs w:val="28"/>
          <w:lang w:eastAsia="en-US"/>
        </w:rPr>
        <w:t>5.2 普惠性说明</w:t>
      </w:r>
    </w:p>
    <w:p w14:paraId="2063720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当前本市</w:t>
      </w:r>
      <w:r>
        <w:rPr>
          <w:rFonts w:hint="eastAsia" w:ascii="宋体" w:hAnsi="宋体" w:eastAsia="宋体" w:cs="宋体"/>
          <w:kern w:val="0"/>
          <w:sz w:val="28"/>
          <w:szCs w:val="28"/>
          <w:highlight w:val="none"/>
          <w:lang w:eastAsia="zh-CN"/>
        </w:rPr>
        <w:t>电动汽车</w:t>
      </w:r>
      <w:r>
        <w:rPr>
          <w:rFonts w:hint="eastAsia" w:ascii="宋体" w:hAnsi="宋体" w:eastAsia="宋体" w:cs="宋体"/>
          <w:kern w:val="0"/>
          <w:sz w:val="28"/>
          <w:szCs w:val="28"/>
          <w:highlight w:val="none"/>
        </w:rPr>
        <w:t>及个人</w:t>
      </w:r>
      <w:r>
        <w:rPr>
          <w:rFonts w:hint="eastAsia" w:ascii="宋体" w:hAnsi="宋体" w:eastAsia="宋体" w:cs="宋体"/>
          <w:kern w:val="0"/>
          <w:sz w:val="28"/>
          <w:szCs w:val="28"/>
        </w:rPr>
        <w:t>充电桩已形成规模，且个人拥有参与减排的意愿，具备一定公众基础；本方法学适用于充电桩充电的电动车辆替代常规燃油车辆运行带来的减排量核算，具备一定普适性；基于本方法学核算并申请获得的碳普惠场景减排量，其第一获益人为注册用户，可操作性高，能够调动公众低碳行为积极性，具备一定激励作用。</w:t>
      </w:r>
    </w:p>
    <w:p w14:paraId="26C6FF6F">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16" w:name="_Toc30239"/>
      <w:r>
        <w:rPr>
          <w:rFonts w:hint="eastAsia" w:ascii="黑体" w:hAnsi="黑体" w:eastAsia="黑体" w:cs="黑体"/>
          <w:b w:val="0"/>
          <w:bCs w:val="0"/>
          <w:spacing w:val="-2"/>
          <w:w w:val="95"/>
          <w:kern w:val="0"/>
          <w:sz w:val="28"/>
          <w:szCs w:val="28"/>
          <w:lang w:val="en-US" w:eastAsia="zh-CN"/>
        </w:rPr>
        <w:t>核算边界及排放源</w:t>
      </w:r>
      <w:bookmarkEnd w:id="16"/>
    </w:p>
    <w:p w14:paraId="3B420A1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核算边界的范围包括场景发生的地理边界，活动车辆的充电设备（充电桩）、电力来源（如电网）等附属设施。</w:t>
      </w:r>
    </w:p>
    <w:p w14:paraId="6F8AA44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场景减排量核算涉及的温室气体排放来源及种类见表1。</w:t>
      </w:r>
    </w:p>
    <w:p w14:paraId="34CCCB9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本方法学中，监测周期最小单位为自然日，减排量核算中需确保减排量与监测周期的一一对应，场景开发主体平台需要结合用户授权期限、核算周期做好监测周期的记录工作。</w:t>
      </w:r>
    </w:p>
    <w:p w14:paraId="2FAA9E72">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jc w:val="center"/>
        <w:textAlignment w:val="auto"/>
        <w:rPr>
          <w:rFonts w:hint="eastAsia" w:ascii="黑体" w:hAnsi="黑体" w:eastAsia="黑体" w:cs="黑体"/>
          <w:kern w:val="0"/>
          <w:sz w:val="24"/>
          <w:szCs w:val="24"/>
        </w:rPr>
      </w:pPr>
      <w:r>
        <w:rPr>
          <w:rFonts w:hint="eastAsia" w:ascii="黑体" w:hAnsi="黑体" w:eastAsia="黑体" w:cs="黑体"/>
          <w:kern w:val="0"/>
          <w:sz w:val="24"/>
          <w:szCs w:val="24"/>
        </w:rPr>
        <w:t>表1 温室气体主要种类</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473"/>
        <w:gridCol w:w="1380"/>
        <w:gridCol w:w="1375"/>
        <w:gridCol w:w="2467"/>
      </w:tblGrid>
      <w:tr w14:paraId="13F30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485" w:type="pct"/>
            <w:vAlign w:val="center"/>
          </w:tcPr>
          <w:p w14:paraId="3F8D3F4D">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类型</w:t>
            </w:r>
          </w:p>
        </w:tc>
        <w:tc>
          <w:tcPr>
            <w:tcW w:w="1450" w:type="pct"/>
            <w:vAlign w:val="center"/>
          </w:tcPr>
          <w:p w14:paraId="28C2362E">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排放源</w:t>
            </w:r>
          </w:p>
        </w:tc>
        <w:tc>
          <w:tcPr>
            <w:tcW w:w="809" w:type="pct"/>
            <w:vAlign w:val="center"/>
          </w:tcPr>
          <w:p w14:paraId="3DA547F2">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温室气体</w:t>
            </w:r>
          </w:p>
        </w:tc>
        <w:tc>
          <w:tcPr>
            <w:tcW w:w="806" w:type="pct"/>
            <w:vAlign w:val="center"/>
          </w:tcPr>
          <w:p w14:paraId="08C5E276">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是否包括</w:t>
            </w:r>
          </w:p>
        </w:tc>
        <w:tc>
          <w:tcPr>
            <w:tcW w:w="1446" w:type="pct"/>
            <w:vAlign w:val="center"/>
          </w:tcPr>
          <w:p w14:paraId="2A8D90A6">
            <w:pPr>
              <w:pStyle w:val="23"/>
              <w:widowControl w:val="0"/>
              <w:ind w:firstLine="0" w:firstLineChars="0"/>
              <w:jc w:val="center"/>
              <w:rPr>
                <w:rFonts w:ascii="Times New Roman"/>
                <w:b/>
                <w:bCs/>
                <w:color w:val="000000"/>
                <w:sz w:val="24"/>
                <w:szCs w:val="24"/>
              </w:rPr>
            </w:pPr>
            <w:r>
              <w:rPr>
                <w:rFonts w:ascii="Times New Roman"/>
                <w:b/>
                <w:bCs/>
                <w:color w:val="000000"/>
                <w:sz w:val="24"/>
                <w:szCs w:val="24"/>
              </w:rPr>
              <w:t>说明理由/解释</w:t>
            </w:r>
          </w:p>
        </w:tc>
      </w:tr>
      <w:tr w14:paraId="3DCEE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85" w:type="pct"/>
            <w:vMerge w:val="restart"/>
            <w:vAlign w:val="center"/>
          </w:tcPr>
          <w:p w14:paraId="6DEA3E56">
            <w:pPr>
              <w:pStyle w:val="23"/>
              <w:widowControl w:val="0"/>
              <w:ind w:firstLine="0" w:firstLineChars="0"/>
              <w:jc w:val="center"/>
              <w:rPr>
                <w:rFonts w:ascii="Times New Roman"/>
                <w:color w:val="000000"/>
                <w:sz w:val="24"/>
                <w:szCs w:val="24"/>
              </w:rPr>
            </w:pPr>
            <w:r>
              <w:rPr>
                <w:rFonts w:hint="eastAsia" w:ascii="Times New Roman"/>
                <w:color w:val="000000"/>
                <w:sz w:val="24"/>
                <w:szCs w:val="24"/>
                <w:lang w:val="en-US" w:eastAsia="zh-CN"/>
              </w:rPr>
              <w:t>场景</w:t>
            </w:r>
            <w:r>
              <w:rPr>
                <w:rFonts w:ascii="Times New Roman"/>
                <w:color w:val="000000"/>
                <w:sz w:val="24"/>
                <w:szCs w:val="24"/>
              </w:rPr>
              <w:t>活动</w:t>
            </w:r>
          </w:p>
        </w:tc>
        <w:tc>
          <w:tcPr>
            <w:tcW w:w="1450" w:type="pct"/>
            <w:vMerge w:val="restart"/>
            <w:vAlign w:val="center"/>
          </w:tcPr>
          <w:p w14:paraId="4E665045">
            <w:pPr>
              <w:pStyle w:val="23"/>
              <w:widowControl w:val="0"/>
              <w:ind w:firstLine="0" w:firstLineChars="0"/>
              <w:jc w:val="left"/>
              <w:rPr>
                <w:rFonts w:ascii="Times New Roman"/>
                <w:color w:val="000000"/>
                <w:sz w:val="24"/>
                <w:szCs w:val="24"/>
              </w:rPr>
            </w:pPr>
            <w:r>
              <w:rPr>
                <w:rFonts w:ascii="Times New Roman"/>
                <w:color w:val="000000"/>
                <w:sz w:val="24"/>
                <w:szCs w:val="24"/>
              </w:rPr>
              <w:t>在</w:t>
            </w:r>
            <w:r>
              <w:rPr>
                <w:rFonts w:hint="eastAsia" w:ascii="Times New Roman"/>
                <w:color w:val="000000"/>
                <w:sz w:val="24"/>
                <w:szCs w:val="24"/>
                <w:lang w:val="en-US" w:eastAsia="zh-CN"/>
              </w:rPr>
              <w:t>场景</w:t>
            </w:r>
            <w:r>
              <w:rPr>
                <w:rFonts w:ascii="Times New Roman"/>
                <w:color w:val="000000"/>
                <w:sz w:val="24"/>
                <w:szCs w:val="24"/>
              </w:rPr>
              <w:t>活动情况下，</w:t>
            </w:r>
            <w:r>
              <w:rPr>
                <w:rFonts w:hint="eastAsia" w:ascii="Times New Roman"/>
                <w:color w:val="000000"/>
                <w:sz w:val="24"/>
                <w:szCs w:val="24"/>
              </w:rPr>
              <w:t>电动汽车行驶</w:t>
            </w:r>
            <w:r>
              <w:rPr>
                <w:rFonts w:ascii="Times New Roman"/>
                <w:color w:val="000000"/>
                <w:sz w:val="24"/>
                <w:szCs w:val="24"/>
              </w:rPr>
              <w:t>所对应的电力生产环节的排放</w:t>
            </w:r>
          </w:p>
        </w:tc>
        <w:tc>
          <w:tcPr>
            <w:tcW w:w="809" w:type="pct"/>
            <w:vAlign w:val="center"/>
          </w:tcPr>
          <w:p w14:paraId="4622379D">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CO</w:t>
            </w:r>
            <w:r>
              <w:rPr>
                <w:rFonts w:ascii="Times New Roman"/>
                <w:color w:val="000000"/>
                <w:sz w:val="24"/>
                <w:szCs w:val="24"/>
                <w:highlight w:val="none"/>
                <w:vertAlign w:val="subscript"/>
              </w:rPr>
              <w:t>2</w:t>
            </w:r>
          </w:p>
        </w:tc>
        <w:tc>
          <w:tcPr>
            <w:tcW w:w="806" w:type="pct"/>
            <w:vAlign w:val="center"/>
          </w:tcPr>
          <w:p w14:paraId="29BC65FE">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是</w:t>
            </w:r>
          </w:p>
        </w:tc>
        <w:tc>
          <w:tcPr>
            <w:tcW w:w="1446" w:type="pct"/>
            <w:vAlign w:val="center"/>
          </w:tcPr>
          <w:p w14:paraId="3BA18097">
            <w:pPr>
              <w:pStyle w:val="23"/>
              <w:widowControl w:val="0"/>
              <w:ind w:firstLine="0" w:firstLineChars="0"/>
              <w:jc w:val="center"/>
              <w:rPr>
                <w:rFonts w:ascii="Times New Roman"/>
                <w:color w:val="000000"/>
                <w:sz w:val="24"/>
                <w:szCs w:val="24"/>
              </w:rPr>
            </w:pPr>
            <w:r>
              <w:rPr>
                <w:rFonts w:ascii="Times New Roman"/>
                <w:color w:val="000000"/>
                <w:sz w:val="24"/>
                <w:szCs w:val="24"/>
              </w:rPr>
              <w:t>主要排放源</w:t>
            </w:r>
          </w:p>
        </w:tc>
      </w:tr>
      <w:tr w14:paraId="04E2B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5" w:type="pct"/>
            <w:vMerge w:val="continue"/>
            <w:vAlign w:val="center"/>
          </w:tcPr>
          <w:p w14:paraId="45805259">
            <w:pPr>
              <w:pStyle w:val="23"/>
              <w:widowControl w:val="0"/>
              <w:ind w:firstLine="360"/>
              <w:jc w:val="center"/>
              <w:rPr>
                <w:rFonts w:ascii="Times New Roman"/>
                <w:color w:val="000000"/>
                <w:sz w:val="24"/>
                <w:szCs w:val="24"/>
              </w:rPr>
            </w:pPr>
          </w:p>
        </w:tc>
        <w:tc>
          <w:tcPr>
            <w:tcW w:w="1450" w:type="pct"/>
            <w:vMerge w:val="continue"/>
            <w:vAlign w:val="center"/>
          </w:tcPr>
          <w:p w14:paraId="66E40363">
            <w:pPr>
              <w:pStyle w:val="23"/>
              <w:widowControl w:val="0"/>
              <w:ind w:firstLine="0" w:firstLineChars="0"/>
              <w:jc w:val="left"/>
              <w:rPr>
                <w:rFonts w:ascii="Times New Roman"/>
                <w:color w:val="000000"/>
                <w:sz w:val="24"/>
                <w:szCs w:val="24"/>
              </w:rPr>
            </w:pPr>
          </w:p>
        </w:tc>
        <w:tc>
          <w:tcPr>
            <w:tcW w:w="809" w:type="pct"/>
            <w:vAlign w:val="center"/>
          </w:tcPr>
          <w:p w14:paraId="5462CBC0">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CH</w:t>
            </w:r>
            <w:r>
              <w:rPr>
                <w:rFonts w:ascii="Times New Roman"/>
                <w:color w:val="000000"/>
                <w:sz w:val="24"/>
                <w:szCs w:val="24"/>
                <w:highlight w:val="none"/>
                <w:vertAlign w:val="subscript"/>
              </w:rPr>
              <w:t>4</w:t>
            </w:r>
          </w:p>
        </w:tc>
        <w:tc>
          <w:tcPr>
            <w:tcW w:w="806" w:type="pct"/>
            <w:vAlign w:val="center"/>
          </w:tcPr>
          <w:p w14:paraId="6D2F55F8">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否</w:t>
            </w:r>
          </w:p>
        </w:tc>
        <w:tc>
          <w:tcPr>
            <w:tcW w:w="1446" w:type="pct"/>
            <w:vAlign w:val="center"/>
          </w:tcPr>
          <w:p w14:paraId="4C020766">
            <w:pPr>
              <w:pStyle w:val="23"/>
              <w:widowControl w:val="0"/>
              <w:ind w:firstLine="0" w:firstLineChars="0"/>
              <w:jc w:val="center"/>
              <w:rPr>
                <w:rFonts w:ascii="Times New Roman"/>
                <w:color w:val="000000"/>
                <w:sz w:val="24"/>
                <w:szCs w:val="24"/>
              </w:rPr>
            </w:pPr>
            <w:r>
              <w:rPr>
                <w:rFonts w:ascii="Times New Roman"/>
                <w:color w:val="000000"/>
                <w:sz w:val="24"/>
                <w:szCs w:val="24"/>
              </w:rPr>
              <w:t>简化起见，排除</w:t>
            </w:r>
          </w:p>
        </w:tc>
      </w:tr>
      <w:tr w14:paraId="457D2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5" w:type="pct"/>
            <w:vMerge w:val="continue"/>
            <w:vAlign w:val="center"/>
          </w:tcPr>
          <w:p w14:paraId="092FE51B">
            <w:pPr>
              <w:pStyle w:val="23"/>
              <w:widowControl w:val="0"/>
              <w:ind w:firstLine="360"/>
              <w:jc w:val="center"/>
              <w:rPr>
                <w:rFonts w:ascii="Times New Roman"/>
                <w:color w:val="000000"/>
                <w:sz w:val="24"/>
                <w:szCs w:val="24"/>
              </w:rPr>
            </w:pPr>
          </w:p>
        </w:tc>
        <w:tc>
          <w:tcPr>
            <w:tcW w:w="1450" w:type="pct"/>
            <w:vMerge w:val="continue"/>
            <w:vAlign w:val="center"/>
          </w:tcPr>
          <w:p w14:paraId="0D74F36F">
            <w:pPr>
              <w:pStyle w:val="23"/>
              <w:widowControl w:val="0"/>
              <w:ind w:firstLine="0" w:firstLineChars="0"/>
              <w:jc w:val="left"/>
              <w:rPr>
                <w:rFonts w:ascii="Times New Roman"/>
                <w:color w:val="000000"/>
                <w:sz w:val="24"/>
                <w:szCs w:val="24"/>
              </w:rPr>
            </w:pPr>
          </w:p>
        </w:tc>
        <w:tc>
          <w:tcPr>
            <w:tcW w:w="809" w:type="pct"/>
            <w:vAlign w:val="center"/>
          </w:tcPr>
          <w:p w14:paraId="5AABACC2">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N</w:t>
            </w:r>
            <w:r>
              <w:rPr>
                <w:rFonts w:ascii="Times New Roman"/>
                <w:color w:val="000000"/>
                <w:sz w:val="24"/>
                <w:szCs w:val="24"/>
                <w:highlight w:val="none"/>
                <w:vertAlign w:val="subscript"/>
              </w:rPr>
              <w:t>2</w:t>
            </w:r>
            <w:r>
              <w:rPr>
                <w:rFonts w:ascii="Times New Roman"/>
                <w:color w:val="000000"/>
                <w:sz w:val="24"/>
                <w:szCs w:val="24"/>
                <w:highlight w:val="none"/>
              </w:rPr>
              <w:t>O</w:t>
            </w:r>
          </w:p>
        </w:tc>
        <w:tc>
          <w:tcPr>
            <w:tcW w:w="806" w:type="pct"/>
            <w:vAlign w:val="center"/>
          </w:tcPr>
          <w:p w14:paraId="070F7A9A">
            <w:pPr>
              <w:pStyle w:val="23"/>
              <w:widowControl w:val="0"/>
              <w:ind w:firstLine="0" w:firstLineChars="0"/>
              <w:jc w:val="center"/>
              <w:rPr>
                <w:rFonts w:ascii="Times New Roman"/>
                <w:color w:val="000000"/>
                <w:sz w:val="24"/>
                <w:szCs w:val="24"/>
                <w:highlight w:val="none"/>
              </w:rPr>
            </w:pPr>
            <w:r>
              <w:rPr>
                <w:rFonts w:ascii="Times New Roman"/>
                <w:color w:val="000000"/>
                <w:sz w:val="24"/>
                <w:szCs w:val="24"/>
                <w:highlight w:val="none"/>
              </w:rPr>
              <w:t>否</w:t>
            </w:r>
          </w:p>
        </w:tc>
        <w:tc>
          <w:tcPr>
            <w:tcW w:w="1446" w:type="pct"/>
            <w:vAlign w:val="center"/>
          </w:tcPr>
          <w:p w14:paraId="77DF1D8A">
            <w:pPr>
              <w:pStyle w:val="23"/>
              <w:widowControl w:val="0"/>
              <w:ind w:firstLine="0" w:firstLineChars="0"/>
              <w:jc w:val="center"/>
              <w:rPr>
                <w:rFonts w:ascii="Times New Roman"/>
                <w:color w:val="000000"/>
                <w:sz w:val="24"/>
                <w:szCs w:val="24"/>
              </w:rPr>
            </w:pPr>
            <w:r>
              <w:rPr>
                <w:rFonts w:ascii="Times New Roman"/>
                <w:color w:val="000000"/>
                <w:sz w:val="24"/>
                <w:szCs w:val="24"/>
              </w:rPr>
              <w:t>简化起见，排除</w:t>
            </w:r>
          </w:p>
        </w:tc>
      </w:tr>
      <w:tr w14:paraId="19458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5" w:type="pct"/>
            <w:vMerge w:val="continue"/>
            <w:vAlign w:val="center"/>
          </w:tcPr>
          <w:p w14:paraId="7201D0AD">
            <w:pPr>
              <w:pStyle w:val="23"/>
              <w:widowControl w:val="0"/>
              <w:ind w:firstLine="360"/>
              <w:jc w:val="center"/>
              <w:rPr>
                <w:rFonts w:ascii="Times New Roman"/>
                <w:color w:val="000000"/>
                <w:sz w:val="24"/>
                <w:szCs w:val="24"/>
              </w:rPr>
            </w:pPr>
          </w:p>
        </w:tc>
        <w:tc>
          <w:tcPr>
            <w:tcW w:w="1450" w:type="pct"/>
            <w:vMerge w:val="continue"/>
            <w:vAlign w:val="center"/>
          </w:tcPr>
          <w:p w14:paraId="0A224AAF">
            <w:pPr>
              <w:pStyle w:val="23"/>
              <w:widowControl w:val="0"/>
              <w:ind w:firstLine="0" w:firstLineChars="0"/>
              <w:jc w:val="left"/>
              <w:rPr>
                <w:rFonts w:ascii="Times New Roman"/>
                <w:color w:val="000000"/>
                <w:sz w:val="24"/>
                <w:szCs w:val="24"/>
              </w:rPr>
            </w:pPr>
          </w:p>
        </w:tc>
        <w:tc>
          <w:tcPr>
            <w:tcW w:w="809" w:type="pct"/>
            <w:vAlign w:val="center"/>
          </w:tcPr>
          <w:p w14:paraId="67289E7F">
            <w:pPr>
              <w:pStyle w:val="23"/>
              <w:widowControl w:val="0"/>
              <w:ind w:firstLine="0" w:firstLineChars="0"/>
              <w:jc w:val="center"/>
              <w:rPr>
                <w:rFonts w:ascii="Times New Roman"/>
                <w:color w:val="000000"/>
                <w:sz w:val="24"/>
                <w:szCs w:val="24"/>
                <w:highlight w:val="none"/>
              </w:rPr>
            </w:pPr>
            <w:r>
              <w:rPr>
                <w:rFonts w:hint="eastAsia" w:ascii="Times New Roman"/>
                <w:color w:val="000000"/>
                <w:sz w:val="24"/>
                <w:szCs w:val="24"/>
                <w:highlight w:val="none"/>
              </w:rPr>
              <w:t>HFCs</w:t>
            </w:r>
          </w:p>
        </w:tc>
        <w:tc>
          <w:tcPr>
            <w:tcW w:w="806" w:type="pct"/>
            <w:vAlign w:val="center"/>
          </w:tcPr>
          <w:p w14:paraId="55600C6C">
            <w:pPr>
              <w:pStyle w:val="23"/>
              <w:widowControl w:val="0"/>
              <w:ind w:firstLine="0" w:firstLineChars="0"/>
              <w:jc w:val="center"/>
              <w:rPr>
                <w:rFonts w:hint="eastAsia" w:ascii="Times New Roman" w:eastAsia="宋体"/>
                <w:color w:val="000000"/>
                <w:sz w:val="24"/>
                <w:szCs w:val="24"/>
                <w:highlight w:val="none"/>
                <w:lang w:val="en-US" w:eastAsia="zh-CN"/>
              </w:rPr>
            </w:pPr>
            <w:r>
              <w:rPr>
                <w:rFonts w:hint="eastAsia" w:ascii="Times New Roman"/>
                <w:color w:val="000000"/>
                <w:sz w:val="24"/>
                <w:szCs w:val="24"/>
                <w:highlight w:val="none"/>
                <w:lang w:val="en-US" w:eastAsia="zh-CN"/>
              </w:rPr>
              <w:t>否</w:t>
            </w:r>
          </w:p>
        </w:tc>
        <w:tc>
          <w:tcPr>
            <w:tcW w:w="1446" w:type="pct"/>
            <w:vAlign w:val="center"/>
          </w:tcPr>
          <w:p w14:paraId="1A42DBED">
            <w:pPr>
              <w:pStyle w:val="23"/>
              <w:widowControl w:val="0"/>
              <w:ind w:firstLine="0" w:firstLineChars="0"/>
              <w:jc w:val="center"/>
              <w:rPr>
                <w:rFonts w:ascii="Times New Roman"/>
                <w:color w:val="000000"/>
                <w:sz w:val="24"/>
                <w:szCs w:val="24"/>
              </w:rPr>
            </w:pPr>
            <w:r>
              <w:rPr>
                <w:rFonts w:ascii="Times New Roman"/>
                <w:color w:val="000000"/>
                <w:sz w:val="24"/>
                <w:szCs w:val="24"/>
              </w:rPr>
              <w:t>简化起见，排除</w:t>
            </w:r>
          </w:p>
        </w:tc>
      </w:tr>
      <w:tr w14:paraId="72DA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485" w:type="pct"/>
            <w:vMerge w:val="restart"/>
            <w:vAlign w:val="center"/>
          </w:tcPr>
          <w:p w14:paraId="6E78FEBB">
            <w:pPr>
              <w:pStyle w:val="23"/>
              <w:widowControl w:val="0"/>
              <w:ind w:firstLine="0" w:firstLineChars="0"/>
              <w:jc w:val="center"/>
              <w:rPr>
                <w:rFonts w:ascii="Times New Roman"/>
                <w:color w:val="000000"/>
                <w:sz w:val="24"/>
                <w:szCs w:val="24"/>
              </w:rPr>
            </w:pPr>
            <w:r>
              <w:rPr>
                <w:rFonts w:ascii="Times New Roman"/>
                <w:color w:val="000000"/>
                <w:sz w:val="24"/>
                <w:szCs w:val="24"/>
              </w:rPr>
              <w:t>基准线情景</w:t>
            </w:r>
          </w:p>
        </w:tc>
        <w:tc>
          <w:tcPr>
            <w:tcW w:w="1450" w:type="pct"/>
            <w:vMerge w:val="restart"/>
            <w:vAlign w:val="center"/>
          </w:tcPr>
          <w:p w14:paraId="32D135BC">
            <w:pPr>
              <w:pStyle w:val="23"/>
              <w:widowControl w:val="0"/>
              <w:ind w:firstLine="0" w:firstLineChars="0"/>
              <w:jc w:val="left"/>
              <w:rPr>
                <w:rFonts w:ascii="Times New Roman"/>
                <w:color w:val="000000"/>
                <w:sz w:val="24"/>
                <w:szCs w:val="24"/>
              </w:rPr>
            </w:pPr>
            <w:r>
              <w:rPr>
                <w:rFonts w:ascii="Times New Roman"/>
                <w:color w:val="000000"/>
                <w:sz w:val="24"/>
                <w:szCs w:val="24"/>
              </w:rPr>
              <w:t>在没有</w:t>
            </w:r>
            <w:r>
              <w:rPr>
                <w:rFonts w:hint="eastAsia" w:ascii="Times New Roman"/>
                <w:color w:val="000000"/>
                <w:sz w:val="24"/>
                <w:szCs w:val="24"/>
                <w:lang w:val="en-US" w:eastAsia="zh-CN"/>
              </w:rPr>
              <w:t>场景</w:t>
            </w:r>
            <w:r>
              <w:rPr>
                <w:rFonts w:ascii="Times New Roman"/>
                <w:color w:val="000000"/>
                <w:sz w:val="24"/>
                <w:szCs w:val="24"/>
              </w:rPr>
              <w:t>活动的情况下，</w:t>
            </w:r>
            <w:r>
              <w:rPr>
                <w:rFonts w:hint="eastAsia" w:ascii="Times New Roman"/>
                <w:color w:val="000000"/>
                <w:sz w:val="24"/>
                <w:szCs w:val="24"/>
              </w:rPr>
              <w:t>燃油汽车</w:t>
            </w:r>
            <w:r>
              <w:rPr>
                <w:rFonts w:ascii="Times New Roman"/>
                <w:color w:val="000000"/>
                <w:sz w:val="24"/>
                <w:szCs w:val="24"/>
              </w:rPr>
              <w:t>消耗燃料等产生的排放</w:t>
            </w:r>
          </w:p>
        </w:tc>
        <w:tc>
          <w:tcPr>
            <w:tcW w:w="809" w:type="pct"/>
            <w:vAlign w:val="center"/>
          </w:tcPr>
          <w:p w14:paraId="1F07330F">
            <w:pPr>
              <w:pStyle w:val="23"/>
              <w:widowControl w:val="0"/>
              <w:ind w:firstLine="0" w:firstLineChars="0"/>
              <w:jc w:val="center"/>
              <w:rPr>
                <w:rFonts w:ascii="Times New Roman"/>
                <w:color w:val="000000"/>
                <w:sz w:val="24"/>
                <w:szCs w:val="24"/>
              </w:rPr>
            </w:pPr>
            <w:r>
              <w:rPr>
                <w:rFonts w:ascii="Times New Roman"/>
                <w:color w:val="000000"/>
                <w:sz w:val="24"/>
                <w:szCs w:val="24"/>
              </w:rPr>
              <w:t>CO</w:t>
            </w:r>
            <w:r>
              <w:rPr>
                <w:rFonts w:ascii="Times New Roman"/>
                <w:color w:val="000000"/>
                <w:sz w:val="24"/>
                <w:szCs w:val="24"/>
                <w:vertAlign w:val="subscript"/>
              </w:rPr>
              <w:t>2</w:t>
            </w:r>
          </w:p>
        </w:tc>
        <w:tc>
          <w:tcPr>
            <w:tcW w:w="806" w:type="pct"/>
            <w:vAlign w:val="center"/>
          </w:tcPr>
          <w:p w14:paraId="723E7E0B">
            <w:pPr>
              <w:pStyle w:val="23"/>
              <w:widowControl w:val="0"/>
              <w:ind w:firstLine="0" w:firstLineChars="0"/>
              <w:jc w:val="center"/>
              <w:rPr>
                <w:rFonts w:ascii="Times New Roman"/>
                <w:color w:val="000000"/>
                <w:sz w:val="24"/>
                <w:szCs w:val="24"/>
              </w:rPr>
            </w:pPr>
            <w:r>
              <w:rPr>
                <w:rFonts w:ascii="Times New Roman"/>
                <w:color w:val="000000"/>
                <w:sz w:val="24"/>
                <w:szCs w:val="24"/>
              </w:rPr>
              <w:t>是</w:t>
            </w:r>
          </w:p>
        </w:tc>
        <w:tc>
          <w:tcPr>
            <w:tcW w:w="1446" w:type="pct"/>
            <w:vAlign w:val="center"/>
          </w:tcPr>
          <w:p w14:paraId="627663A8">
            <w:pPr>
              <w:pStyle w:val="23"/>
              <w:widowControl w:val="0"/>
              <w:ind w:firstLine="0" w:firstLineChars="0"/>
              <w:jc w:val="center"/>
              <w:rPr>
                <w:rFonts w:ascii="Times New Roman"/>
                <w:color w:val="000000"/>
                <w:sz w:val="24"/>
                <w:szCs w:val="24"/>
              </w:rPr>
            </w:pPr>
            <w:r>
              <w:rPr>
                <w:rFonts w:ascii="Times New Roman"/>
                <w:color w:val="000000"/>
                <w:sz w:val="24"/>
                <w:szCs w:val="24"/>
              </w:rPr>
              <w:t>主要排放源</w:t>
            </w:r>
          </w:p>
        </w:tc>
      </w:tr>
      <w:tr w14:paraId="4BA48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5" w:type="pct"/>
            <w:vMerge w:val="continue"/>
            <w:vAlign w:val="center"/>
          </w:tcPr>
          <w:p w14:paraId="3065E041">
            <w:pPr>
              <w:pStyle w:val="23"/>
              <w:widowControl w:val="0"/>
              <w:ind w:firstLine="0" w:firstLineChars="0"/>
              <w:jc w:val="center"/>
              <w:rPr>
                <w:rFonts w:ascii="Times New Roman"/>
                <w:color w:val="000000"/>
                <w:sz w:val="24"/>
                <w:szCs w:val="24"/>
              </w:rPr>
            </w:pPr>
          </w:p>
        </w:tc>
        <w:tc>
          <w:tcPr>
            <w:tcW w:w="1450" w:type="pct"/>
            <w:vMerge w:val="continue"/>
            <w:vAlign w:val="center"/>
          </w:tcPr>
          <w:p w14:paraId="4F58E35F">
            <w:pPr>
              <w:pStyle w:val="23"/>
              <w:widowControl w:val="0"/>
              <w:ind w:firstLine="0" w:firstLineChars="0"/>
              <w:jc w:val="center"/>
              <w:rPr>
                <w:rFonts w:ascii="Times New Roman"/>
                <w:color w:val="000000"/>
                <w:sz w:val="24"/>
                <w:szCs w:val="24"/>
              </w:rPr>
            </w:pPr>
          </w:p>
        </w:tc>
        <w:tc>
          <w:tcPr>
            <w:tcW w:w="809" w:type="pct"/>
            <w:vAlign w:val="center"/>
          </w:tcPr>
          <w:p w14:paraId="20179179">
            <w:pPr>
              <w:pStyle w:val="23"/>
              <w:widowControl w:val="0"/>
              <w:ind w:firstLine="0" w:firstLineChars="0"/>
              <w:jc w:val="center"/>
              <w:rPr>
                <w:rFonts w:ascii="Times New Roman"/>
                <w:color w:val="000000"/>
                <w:sz w:val="24"/>
                <w:szCs w:val="24"/>
              </w:rPr>
            </w:pPr>
            <w:r>
              <w:rPr>
                <w:rFonts w:ascii="Times New Roman"/>
                <w:color w:val="000000"/>
                <w:sz w:val="24"/>
                <w:szCs w:val="24"/>
              </w:rPr>
              <w:t>CH</w:t>
            </w:r>
            <w:r>
              <w:rPr>
                <w:rFonts w:ascii="Times New Roman"/>
                <w:color w:val="000000"/>
                <w:sz w:val="24"/>
                <w:szCs w:val="24"/>
                <w:vertAlign w:val="subscript"/>
              </w:rPr>
              <w:t>4</w:t>
            </w:r>
          </w:p>
        </w:tc>
        <w:tc>
          <w:tcPr>
            <w:tcW w:w="806" w:type="pct"/>
            <w:vAlign w:val="center"/>
          </w:tcPr>
          <w:p w14:paraId="4334A041">
            <w:pPr>
              <w:pStyle w:val="23"/>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6" w:type="pct"/>
            <w:vAlign w:val="center"/>
          </w:tcPr>
          <w:p w14:paraId="54F4BA86">
            <w:pPr>
              <w:pStyle w:val="23"/>
              <w:widowControl w:val="0"/>
              <w:ind w:firstLine="0" w:firstLineChars="0"/>
              <w:jc w:val="center"/>
              <w:rPr>
                <w:rFonts w:ascii="Times New Roman"/>
                <w:color w:val="000000"/>
                <w:sz w:val="24"/>
                <w:szCs w:val="24"/>
              </w:rPr>
            </w:pPr>
            <w:r>
              <w:rPr>
                <w:rFonts w:ascii="Times New Roman"/>
                <w:color w:val="000000"/>
                <w:sz w:val="24"/>
                <w:szCs w:val="24"/>
              </w:rPr>
              <w:t>简化起见，排除，符合保守性原则</w:t>
            </w:r>
          </w:p>
        </w:tc>
      </w:tr>
      <w:tr w14:paraId="6893B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5" w:type="pct"/>
            <w:vMerge w:val="continue"/>
            <w:vAlign w:val="center"/>
          </w:tcPr>
          <w:p w14:paraId="023C3079">
            <w:pPr>
              <w:pStyle w:val="23"/>
              <w:widowControl w:val="0"/>
              <w:ind w:firstLine="0" w:firstLineChars="0"/>
              <w:jc w:val="center"/>
              <w:rPr>
                <w:rFonts w:ascii="Times New Roman"/>
                <w:color w:val="000000"/>
                <w:sz w:val="24"/>
                <w:szCs w:val="24"/>
              </w:rPr>
            </w:pPr>
          </w:p>
        </w:tc>
        <w:tc>
          <w:tcPr>
            <w:tcW w:w="1450" w:type="pct"/>
            <w:vMerge w:val="continue"/>
            <w:vAlign w:val="center"/>
          </w:tcPr>
          <w:p w14:paraId="5A1C492E">
            <w:pPr>
              <w:pStyle w:val="23"/>
              <w:widowControl w:val="0"/>
              <w:ind w:firstLine="0" w:firstLineChars="0"/>
              <w:jc w:val="center"/>
              <w:rPr>
                <w:rFonts w:ascii="Times New Roman"/>
                <w:color w:val="000000"/>
                <w:sz w:val="24"/>
                <w:szCs w:val="24"/>
              </w:rPr>
            </w:pPr>
          </w:p>
        </w:tc>
        <w:tc>
          <w:tcPr>
            <w:tcW w:w="809" w:type="pct"/>
            <w:vAlign w:val="center"/>
          </w:tcPr>
          <w:p w14:paraId="0A303E89">
            <w:pPr>
              <w:pStyle w:val="23"/>
              <w:widowControl w:val="0"/>
              <w:ind w:firstLine="0" w:firstLineChars="0"/>
              <w:jc w:val="center"/>
              <w:rPr>
                <w:rFonts w:ascii="Times New Roman"/>
                <w:color w:val="000000"/>
                <w:sz w:val="24"/>
                <w:szCs w:val="24"/>
              </w:rPr>
            </w:pPr>
            <w:r>
              <w:rPr>
                <w:rFonts w:ascii="Times New Roman"/>
                <w:color w:val="000000"/>
                <w:sz w:val="24"/>
                <w:szCs w:val="24"/>
              </w:rPr>
              <w:t>N</w:t>
            </w:r>
            <w:r>
              <w:rPr>
                <w:rFonts w:ascii="Times New Roman"/>
                <w:color w:val="000000"/>
                <w:sz w:val="24"/>
                <w:szCs w:val="24"/>
                <w:vertAlign w:val="subscript"/>
              </w:rPr>
              <w:t>2</w:t>
            </w:r>
            <w:r>
              <w:rPr>
                <w:rFonts w:ascii="Times New Roman"/>
                <w:color w:val="000000"/>
                <w:sz w:val="24"/>
                <w:szCs w:val="24"/>
              </w:rPr>
              <w:t>O</w:t>
            </w:r>
          </w:p>
        </w:tc>
        <w:tc>
          <w:tcPr>
            <w:tcW w:w="806" w:type="pct"/>
            <w:vAlign w:val="center"/>
          </w:tcPr>
          <w:p w14:paraId="77DBC98F">
            <w:pPr>
              <w:pStyle w:val="23"/>
              <w:widowControl w:val="0"/>
              <w:ind w:firstLine="0" w:firstLineChars="0"/>
              <w:jc w:val="center"/>
              <w:rPr>
                <w:rFonts w:ascii="Times New Roman"/>
                <w:color w:val="000000"/>
                <w:sz w:val="24"/>
                <w:szCs w:val="24"/>
              </w:rPr>
            </w:pPr>
            <w:r>
              <w:rPr>
                <w:rFonts w:ascii="Times New Roman"/>
                <w:color w:val="000000"/>
                <w:sz w:val="24"/>
                <w:szCs w:val="24"/>
              </w:rPr>
              <w:t>否</w:t>
            </w:r>
          </w:p>
        </w:tc>
        <w:tc>
          <w:tcPr>
            <w:tcW w:w="1446" w:type="pct"/>
            <w:vAlign w:val="center"/>
          </w:tcPr>
          <w:p w14:paraId="45D07134">
            <w:pPr>
              <w:pStyle w:val="23"/>
              <w:widowControl w:val="0"/>
              <w:ind w:firstLine="0" w:firstLineChars="0"/>
              <w:jc w:val="center"/>
              <w:rPr>
                <w:rFonts w:ascii="Times New Roman"/>
                <w:color w:val="000000"/>
                <w:sz w:val="24"/>
                <w:szCs w:val="24"/>
              </w:rPr>
            </w:pPr>
            <w:r>
              <w:rPr>
                <w:rFonts w:ascii="Times New Roman"/>
                <w:color w:val="000000"/>
                <w:sz w:val="24"/>
                <w:szCs w:val="24"/>
              </w:rPr>
              <w:t>简化起见，排除，符合保守性原则</w:t>
            </w:r>
          </w:p>
        </w:tc>
      </w:tr>
      <w:tr w14:paraId="39217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485" w:type="pct"/>
            <w:vMerge w:val="continue"/>
            <w:vAlign w:val="center"/>
          </w:tcPr>
          <w:p w14:paraId="3AA8005A">
            <w:pPr>
              <w:pStyle w:val="23"/>
              <w:widowControl w:val="0"/>
              <w:ind w:firstLine="0" w:firstLineChars="0"/>
              <w:jc w:val="center"/>
              <w:rPr>
                <w:rFonts w:ascii="Times New Roman"/>
                <w:color w:val="000000"/>
                <w:sz w:val="24"/>
                <w:szCs w:val="24"/>
              </w:rPr>
            </w:pPr>
            <w:bookmarkStart w:id="17" w:name="_Toc170134106"/>
          </w:p>
        </w:tc>
        <w:tc>
          <w:tcPr>
            <w:tcW w:w="1450" w:type="pct"/>
            <w:vMerge w:val="continue"/>
            <w:vAlign w:val="center"/>
          </w:tcPr>
          <w:p w14:paraId="2DFD6680">
            <w:pPr>
              <w:pStyle w:val="23"/>
              <w:widowControl w:val="0"/>
              <w:ind w:firstLine="0" w:firstLineChars="0"/>
              <w:jc w:val="center"/>
              <w:rPr>
                <w:rFonts w:ascii="Times New Roman"/>
                <w:color w:val="000000"/>
                <w:sz w:val="24"/>
                <w:szCs w:val="24"/>
              </w:rPr>
            </w:pPr>
          </w:p>
        </w:tc>
        <w:tc>
          <w:tcPr>
            <w:tcW w:w="809" w:type="pct"/>
            <w:shd w:val="clear" w:color="auto" w:fill="auto"/>
            <w:vAlign w:val="center"/>
          </w:tcPr>
          <w:p w14:paraId="690A86EE">
            <w:pPr>
              <w:pStyle w:val="23"/>
              <w:widowControl w:val="0"/>
              <w:ind w:firstLine="0" w:firstLineChars="0"/>
              <w:jc w:val="center"/>
              <w:rPr>
                <w:rFonts w:ascii="Times New Roman" w:hAnsi="Times New Roman" w:eastAsia="宋体" w:cs="Times New Roman"/>
                <w:color w:val="000000"/>
                <w:sz w:val="24"/>
                <w:szCs w:val="24"/>
                <w:highlight w:val="none"/>
                <w:lang w:val="en-US" w:eastAsia="zh-CN" w:bidi="ar-SA"/>
              </w:rPr>
            </w:pPr>
            <w:r>
              <w:rPr>
                <w:rFonts w:hint="eastAsia" w:ascii="Times New Roman"/>
                <w:color w:val="000000"/>
                <w:sz w:val="24"/>
                <w:szCs w:val="24"/>
                <w:highlight w:val="none"/>
              </w:rPr>
              <w:t>HFCs</w:t>
            </w:r>
          </w:p>
        </w:tc>
        <w:tc>
          <w:tcPr>
            <w:tcW w:w="806" w:type="pct"/>
            <w:shd w:val="clear" w:color="auto" w:fill="auto"/>
            <w:vAlign w:val="center"/>
          </w:tcPr>
          <w:p w14:paraId="71DD0D89">
            <w:pPr>
              <w:pStyle w:val="23"/>
              <w:widowControl w:val="0"/>
              <w:ind w:firstLine="0" w:firstLineChars="0"/>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color w:val="000000"/>
                <w:sz w:val="24"/>
                <w:szCs w:val="24"/>
                <w:highlight w:val="none"/>
                <w:lang w:val="en-US" w:eastAsia="zh-CN"/>
              </w:rPr>
              <w:t>否</w:t>
            </w:r>
          </w:p>
        </w:tc>
        <w:tc>
          <w:tcPr>
            <w:tcW w:w="1446" w:type="pct"/>
            <w:shd w:val="clear" w:color="auto" w:fill="auto"/>
            <w:vAlign w:val="center"/>
          </w:tcPr>
          <w:p w14:paraId="4E59776D">
            <w:pPr>
              <w:pStyle w:val="23"/>
              <w:widowControl w:val="0"/>
              <w:ind w:firstLine="0" w:firstLineChars="0"/>
              <w:jc w:val="center"/>
              <w:rPr>
                <w:rFonts w:ascii="Times New Roman" w:hAnsi="Times New Roman" w:eastAsia="宋体" w:cs="Times New Roman"/>
                <w:color w:val="000000"/>
                <w:sz w:val="24"/>
                <w:szCs w:val="24"/>
                <w:lang w:val="en-US" w:eastAsia="zh-CN" w:bidi="ar-SA"/>
              </w:rPr>
            </w:pPr>
            <w:r>
              <w:rPr>
                <w:rFonts w:ascii="Times New Roman"/>
                <w:color w:val="000000"/>
                <w:sz w:val="24"/>
                <w:szCs w:val="24"/>
              </w:rPr>
              <w:t>简化起见，排除，符合保守性原则</w:t>
            </w:r>
          </w:p>
        </w:tc>
      </w:tr>
    </w:tbl>
    <w:p w14:paraId="4E05064D">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en-US"/>
        </w:rPr>
      </w:pPr>
      <w:bookmarkStart w:id="18" w:name="3.2"/>
      <w:bookmarkEnd w:id="18"/>
      <w:bookmarkStart w:id="19" w:name="_Toc8621"/>
      <w:r>
        <w:rPr>
          <w:rFonts w:hint="eastAsia" w:ascii="黑体" w:hAnsi="黑体" w:eastAsia="黑体" w:cs="黑体"/>
          <w:b w:val="0"/>
          <w:bCs w:val="0"/>
          <w:spacing w:val="-2"/>
          <w:w w:val="95"/>
          <w:kern w:val="0"/>
          <w:sz w:val="28"/>
          <w:szCs w:val="28"/>
          <w:lang w:val="en-US" w:eastAsia="zh-CN"/>
        </w:rPr>
        <w:t>减排量计算</w:t>
      </w:r>
      <w:bookmarkEnd w:id="19"/>
    </w:p>
    <w:p w14:paraId="1592B8B5">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en-US"/>
        </w:rPr>
      </w:pPr>
      <w:r>
        <w:rPr>
          <w:rFonts w:hint="eastAsia" w:cs="宋体"/>
          <w:b w:val="0"/>
          <w:bCs/>
          <w:spacing w:val="-5"/>
          <w:sz w:val="28"/>
          <w:szCs w:val="28"/>
          <w:lang w:val="en-US" w:eastAsia="zh-CN"/>
        </w:rPr>
        <w:t>7.1 基准线</w:t>
      </w:r>
      <w:bookmarkEnd w:id="17"/>
      <w:r>
        <w:rPr>
          <w:rFonts w:hint="eastAsia" w:cs="宋体"/>
          <w:b w:val="0"/>
          <w:bCs/>
          <w:spacing w:val="-5"/>
          <w:sz w:val="28"/>
          <w:szCs w:val="28"/>
          <w:lang w:val="en-US" w:eastAsia="zh-CN"/>
        </w:rPr>
        <w:t>情景识别</w:t>
      </w:r>
    </w:p>
    <w:p w14:paraId="38C4B7E5">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确定基准线情景时，基准燃油车辆与</w:t>
      </w:r>
      <w:r>
        <w:rPr>
          <w:rFonts w:hint="eastAsia" w:ascii="宋体" w:hAnsi="宋体" w:eastAsia="宋体" w:cs="宋体"/>
          <w:kern w:val="0"/>
          <w:sz w:val="28"/>
          <w:szCs w:val="28"/>
          <w:lang w:val="en-US" w:eastAsia="zh-CN"/>
        </w:rPr>
        <w:t>场景</w:t>
      </w:r>
      <w:r>
        <w:rPr>
          <w:rFonts w:hint="eastAsia" w:ascii="宋体" w:hAnsi="宋体" w:eastAsia="宋体" w:cs="宋体"/>
          <w:kern w:val="0"/>
          <w:sz w:val="28"/>
          <w:szCs w:val="28"/>
        </w:rPr>
        <w:t>电动</w:t>
      </w:r>
      <w:r>
        <w:rPr>
          <w:rFonts w:hint="eastAsia" w:ascii="宋体" w:hAnsi="宋体" w:eastAsia="宋体" w:cs="宋体"/>
          <w:kern w:val="0"/>
          <w:sz w:val="28"/>
          <w:szCs w:val="28"/>
          <w:lang w:val="en-US" w:eastAsia="zh-CN"/>
        </w:rPr>
        <w:t>汽车</w:t>
      </w:r>
      <w:r>
        <w:rPr>
          <w:rFonts w:hint="eastAsia" w:ascii="宋体" w:hAnsi="宋体" w:eastAsia="宋体" w:cs="宋体"/>
          <w:kern w:val="0"/>
          <w:sz w:val="28"/>
          <w:szCs w:val="28"/>
        </w:rPr>
        <w:t>需提供可比服务，其中可比服务明确界定为基准车辆与</w:t>
      </w:r>
      <w:r>
        <w:rPr>
          <w:rFonts w:hint="eastAsia" w:ascii="宋体" w:hAnsi="宋体" w:eastAsia="宋体" w:cs="宋体"/>
          <w:kern w:val="0"/>
          <w:sz w:val="28"/>
          <w:szCs w:val="28"/>
          <w:lang w:val="en-US" w:eastAsia="zh-CN"/>
        </w:rPr>
        <w:t>场景</w:t>
      </w:r>
      <w:r>
        <w:rPr>
          <w:rFonts w:hint="eastAsia" w:ascii="宋体" w:hAnsi="宋体" w:eastAsia="宋体" w:cs="宋体"/>
          <w:kern w:val="0"/>
          <w:sz w:val="28"/>
          <w:szCs w:val="28"/>
        </w:rPr>
        <w:t>车辆车型层级一致、整车额定功率区间偏差不超</w:t>
      </w:r>
      <w:r>
        <w:rPr>
          <w:rFonts w:hint="default" w:ascii="Times New Roman" w:hAnsi="Times New Roman" w:eastAsia="宋体" w:cs="Times New Roman"/>
          <w:kern w:val="0"/>
          <w:sz w:val="28"/>
          <w:szCs w:val="28"/>
        </w:rPr>
        <w:t>过±1</w:t>
      </w:r>
      <w:r>
        <w:rPr>
          <w:rFonts w:hint="eastAsia" w:ascii="Times New Roman" w:hAnsi="Times New Roman" w:eastAsia="宋体" w:cs="Times New Roman"/>
          <w:kern w:val="0"/>
          <w:sz w:val="28"/>
          <w:szCs w:val="28"/>
          <w:lang w:val="en-US" w:eastAsia="zh-CN"/>
        </w:rPr>
        <w:t>0</w:t>
      </w:r>
      <w:r>
        <w:rPr>
          <w:rFonts w:hint="default" w:ascii="Times New Roman" w:hAnsi="Times New Roman" w:eastAsia="宋体" w:cs="Times New Roman"/>
          <w:kern w:val="0"/>
          <w:sz w:val="28"/>
          <w:szCs w:val="28"/>
        </w:rPr>
        <w:t>%、</w:t>
      </w:r>
      <w:r>
        <w:rPr>
          <w:rFonts w:hint="eastAsia" w:ascii="宋体" w:hAnsi="宋体" w:eastAsia="宋体" w:cs="宋体"/>
          <w:kern w:val="0"/>
          <w:sz w:val="28"/>
          <w:szCs w:val="28"/>
        </w:rPr>
        <w:t>日常载客人数与日均行驶里程匹配、通勤路况及</w:t>
      </w:r>
      <w:r>
        <w:rPr>
          <w:rFonts w:hint="eastAsia" w:ascii="宋体" w:hAnsi="宋体" w:eastAsia="宋体" w:cs="宋体"/>
          <w:kern w:val="0"/>
          <w:sz w:val="28"/>
          <w:szCs w:val="28"/>
          <w:lang w:eastAsia="zh-CN"/>
        </w:rPr>
        <w:t>个人</w:t>
      </w:r>
      <w:r>
        <w:rPr>
          <w:rFonts w:hint="eastAsia" w:ascii="宋体" w:hAnsi="宋体" w:eastAsia="宋体" w:cs="宋体"/>
          <w:kern w:val="0"/>
          <w:sz w:val="28"/>
          <w:szCs w:val="28"/>
        </w:rPr>
        <w:t>代步使用场景保持统一，对于固定通勤线路下以电动汽车替代原有燃油乘用车的场景，基准线情景即为居民持续使用同规格燃油车辆完成全部日常出行的原有运行状态。</w:t>
      </w:r>
    </w:p>
    <w:p w14:paraId="6DCF923F">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bookmarkStart w:id="20" w:name="_Toc170134108"/>
      <w:r>
        <w:rPr>
          <w:rFonts w:hint="eastAsia" w:cs="宋体"/>
          <w:b w:val="0"/>
          <w:bCs/>
          <w:spacing w:val="-5"/>
          <w:sz w:val="28"/>
          <w:szCs w:val="28"/>
          <w:lang w:val="en-US" w:eastAsia="zh-CN"/>
        </w:rPr>
        <w:t>7.2 额外性</w:t>
      </w:r>
      <w:bookmarkEnd w:id="20"/>
      <w:r>
        <w:rPr>
          <w:rFonts w:hint="eastAsia" w:cs="宋体"/>
          <w:b w:val="0"/>
          <w:bCs/>
          <w:spacing w:val="-5"/>
          <w:sz w:val="28"/>
          <w:szCs w:val="28"/>
          <w:lang w:val="en-US" w:eastAsia="zh-CN"/>
        </w:rPr>
        <w:t>论证</w:t>
      </w:r>
    </w:p>
    <w:p w14:paraId="4F2A74B8">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rPr>
      </w:pPr>
      <w:r>
        <w:rPr>
          <w:rFonts w:hint="eastAsia" w:ascii="宋体" w:hAnsi="宋体" w:eastAsia="宋体" w:cs="宋体"/>
          <w:kern w:val="0"/>
          <w:sz w:val="28"/>
          <w:szCs w:val="28"/>
        </w:rPr>
        <w:t>注册用户使用自有充电桩为其自有</w:t>
      </w:r>
      <w:r>
        <w:rPr>
          <w:rFonts w:hint="eastAsia" w:ascii="宋体" w:hAnsi="宋体" w:eastAsia="宋体" w:cs="宋体"/>
          <w:kern w:val="0"/>
          <w:sz w:val="28"/>
          <w:szCs w:val="28"/>
          <w:lang w:eastAsia="zh-CN"/>
        </w:rPr>
        <w:t>电动汽车</w:t>
      </w:r>
      <w:r>
        <w:rPr>
          <w:rFonts w:hint="eastAsia" w:ascii="宋体" w:hAnsi="宋体" w:eastAsia="宋体" w:cs="宋体"/>
          <w:kern w:val="0"/>
          <w:sz w:val="28"/>
          <w:szCs w:val="28"/>
        </w:rPr>
        <w:t>充电属于自发行为，不属于在法律和监管规定下强制履行义务，具备监管额外性；场景实际参与人，即注册用户，以日常出行为主，其驾驶情况及个人出行偏好均呈多样性，使用</w:t>
      </w:r>
      <w:r>
        <w:rPr>
          <w:rFonts w:hint="eastAsia" w:ascii="宋体" w:hAnsi="宋体" w:eastAsia="宋体" w:cs="宋体"/>
          <w:kern w:val="0"/>
          <w:sz w:val="28"/>
          <w:szCs w:val="28"/>
          <w:lang w:eastAsia="zh-CN"/>
        </w:rPr>
        <w:t>电动汽车</w:t>
      </w:r>
      <w:r>
        <w:rPr>
          <w:rFonts w:hint="eastAsia" w:ascii="宋体" w:hAnsi="宋体" w:eastAsia="宋体" w:cs="宋体"/>
          <w:kern w:val="0"/>
          <w:sz w:val="28"/>
          <w:szCs w:val="28"/>
        </w:rPr>
        <w:t>出行对应的个人经济收益难以准确量化判断，故暂不考虑经济额外性。本方法学旨在有效促进居民降低交通领域碳排放，同时通过引导有序充电，实现电力供需平衡，保障电力安全可靠供应。符合本方法学适用条件的减排场景，其额外性免予论证。</w:t>
      </w:r>
    </w:p>
    <w:p w14:paraId="2ACC9E2C">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bookmarkStart w:id="21" w:name="_Toc170134109"/>
      <w:bookmarkStart w:id="22" w:name="_Hlk170131968"/>
      <w:r>
        <w:rPr>
          <w:rFonts w:hint="eastAsia" w:cs="宋体"/>
          <w:b w:val="0"/>
          <w:bCs/>
          <w:spacing w:val="-5"/>
          <w:sz w:val="28"/>
          <w:szCs w:val="28"/>
          <w:lang w:val="en-US" w:eastAsia="zh-CN"/>
        </w:rPr>
        <w:t>7.3 基准线排放量计算</w:t>
      </w:r>
      <w:bookmarkEnd w:id="21"/>
    </w:p>
    <w:bookmarkEnd w:id="22"/>
    <w:p w14:paraId="06DCC3F9">
      <w:pPr>
        <w:tabs>
          <w:tab w:val="left" w:pos="1269"/>
          <w:tab w:val="left" w:pos="1270"/>
        </w:tabs>
        <w:autoSpaceDE w:val="0"/>
        <w:autoSpaceDN w:val="0"/>
        <w:snapToGrid w:val="0"/>
        <w:spacing w:line="360" w:lineRule="auto"/>
        <w:ind w:firstLine="560" w:firstLineChars="200"/>
        <w:jc w:val="both"/>
        <w:rPr>
          <w:rFonts w:hint="eastAsia" w:ascii="宋体" w:hAnsi="宋体" w:eastAsia="宋体" w:cs="宋体"/>
          <w:kern w:val="0"/>
          <w:sz w:val="28"/>
          <w:szCs w:val="28"/>
        </w:rPr>
      </w:pPr>
      <w:r>
        <w:rPr>
          <w:rFonts w:hint="eastAsia" w:ascii="宋体" w:hAnsi="宋体" w:eastAsia="宋体" w:cs="宋体"/>
          <w:kern w:val="0"/>
          <w:sz w:val="28"/>
          <w:szCs w:val="28"/>
        </w:rPr>
        <w:t>基准线排放通过充电桩</w:t>
      </w:r>
      <w:r>
        <w:rPr>
          <w:rFonts w:ascii="宋体" w:hAnsi="宋体" w:eastAsia="宋体" w:cs="宋体"/>
          <w:kern w:val="0"/>
          <w:sz w:val="28"/>
          <w:szCs w:val="28"/>
        </w:rPr>
        <w:t>的充电量，以及电动汽车的单位里程耗电量和</w:t>
      </w:r>
      <w:r>
        <w:rPr>
          <w:rFonts w:hint="eastAsia" w:ascii="宋体" w:hAnsi="宋体" w:eastAsia="宋体" w:cs="宋体"/>
          <w:kern w:val="0"/>
          <w:sz w:val="28"/>
          <w:szCs w:val="28"/>
        </w:rPr>
        <w:t>燃油车辆的单位里程耗油量进行转换后计算。详细计算过程如下：</w:t>
      </w:r>
    </w:p>
    <w:p w14:paraId="5E56CD98">
      <w:pPr>
        <w:tabs>
          <w:tab w:val="left" w:pos="1269"/>
          <w:tab w:val="left" w:pos="1270"/>
        </w:tabs>
        <w:autoSpaceDE w:val="0"/>
        <w:autoSpaceDN w:val="0"/>
        <w:snapToGrid w:val="0"/>
        <w:spacing w:line="360" w:lineRule="auto"/>
        <w:jc w:val="right"/>
        <w:rPr>
          <w:rFonts w:hint="eastAsia" w:ascii="宋体" w:hAnsi="宋体" w:eastAsia="宋体" w:cs="宋体"/>
          <w:kern w:val="0"/>
          <w:sz w:val="28"/>
          <w:szCs w:val="28"/>
        </w:rPr>
      </w:pPr>
      <m:oMath>
        <m:r>
          <m:rPr/>
          <w:rPr>
            <w:rFonts w:ascii="Cambria Math" w:hAnsi="Cambria Math" w:eastAsia="宋体" w:cs="宋体"/>
            <w:kern w:val="0"/>
            <w:sz w:val="28"/>
            <w:szCs w:val="28"/>
          </w:rPr>
          <m:t>B</m:t>
        </m:r>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E</m:t>
            </m:r>
            <m:ctrlPr>
              <w:rPr>
                <w:rFonts w:ascii="Cambria Math" w:hAnsi="Cambria Math" w:eastAsia="宋体" w:cs="宋体"/>
                <w:kern w:val="0"/>
                <w:sz w:val="28"/>
                <w:szCs w:val="28"/>
              </w:rPr>
            </m:ctrlPr>
          </m:e>
          <m:sub>
            <m:r>
              <m:rPr/>
              <w:rPr>
                <w:rFonts w:ascii="Cambria Math" w:hAnsi="Cambria Math" w:eastAsia="宋体" w:cs="宋体"/>
                <w:kern w:val="0"/>
                <w:sz w:val="28"/>
                <w:szCs w:val="28"/>
              </w:rPr>
              <m:t>t</m:t>
            </m:r>
            <m:ctrlPr>
              <w:rPr>
                <w:rFonts w:ascii="Cambria Math" w:hAnsi="Cambria Math" w:eastAsia="宋体" w:cs="宋体"/>
                <w:kern w:val="0"/>
                <w:sz w:val="28"/>
                <w:szCs w:val="28"/>
              </w:rPr>
            </m:ctrlPr>
          </m:sub>
        </m:sSub>
        <m:r>
          <m:rPr/>
          <w:rPr>
            <w:rFonts w:ascii="Cambria Math" w:hAnsi="Cambria Math" w:eastAsia="宋体" w:cs="宋体"/>
            <w:kern w:val="0"/>
            <w:sz w:val="28"/>
            <w:szCs w:val="28"/>
          </w:rPr>
          <m:t>=</m:t>
        </m:r>
        <m:nary>
          <m:naryPr>
            <m:chr m:val="∑"/>
            <m:grow m:val="1"/>
            <m:limLoc m:val="undOvr"/>
            <m:ctrlPr>
              <w:rPr>
                <w:rFonts w:ascii="Cambria Math" w:hAnsi="Cambria Math" w:eastAsia="宋体" w:cs="宋体"/>
                <w:kern w:val="0"/>
                <w:sz w:val="28"/>
                <w:szCs w:val="28"/>
              </w:rPr>
            </m:ctrlPr>
          </m:naryPr>
          <m:sub>
            <m:r>
              <m:rPr/>
              <w:rPr>
                <w:rFonts w:ascii="Cambria Math" w:hAnsi="Cambria Math" w:eastAsia="宋体" w:cs="宋体"/>
                <w:kern w:val="0"/>
                <w:sz w:val="28"/>
                <w:szCs w:val="28"/>
              </w:rPr>
              <m:t>i</m:t>
            </m:r>
            <m:ctrlPr>
              <w:rPr>
                <w:rFonts w:ascii="Cambria Math" w:hAnsi="Cambria Math" w:eastAsia="宋体" w:cs="宋体"/>
                <w:kern w:val="0"/>
                <w:sz w:val="28"/>
                <w:szCs w:val="28"/>
              </w:rPr>
            </m:ctrlPr>
          </m:sub>
          <m:sup>
            <m:ctrlPr>
              <w:rPr>
                <w:rFonts w:ascii="Cambria Math" w:hAnsi="Cambria Math" w:eastAsia="宋体" w:cs="宋体"/>
                <w:kern w:val="0"/>
                <w:sz w:val="28"/>
                <w:szCs w:val="28"/>
              </w:rPr>
            </m:ctrlPr>
          </m:sup>
          <m:e>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f</m:t>
                </m:r>
                <m:ctrlPr>
                  <w:rPr>
                    <w:rFonts w:ascii="Cambria Math" w:hAnsi="Cambria Math" w:eastAsia="宋体" w:cs="宋体"/>
                    <w:kern w:val="0"/>
                    <w:sz w:val="28"/>
                    <w:szCs w:val="28"/>
                  </w:rPr>
                </m:ctrlPr>
              </m:e>
              <m:sub>
                <m:r>
                  <m:rPr/>
                  <w:rPr>
                    <w:rFonts w:ascii="Cambria Math" w:hAnsi="Cambria Math" w:eastAsia="宋体" w:cs="宋体"/>
                    <w:kern w:val="0"/>
                    <w:sz w:val="28"/>
                    <w:szCs w:val="28"/>
                  </w:rPr>
                  <m:t>i</m:t>
                </m:r>
                <m:ctrlPr>
                  <w:rPr>
                    <w:rFonts w:ascii="Cambria Math" w:hAnsi="Cambria Math" w:eastAsia="宋体" w:cs="宋体"/>
                    <w:kern w:val="0"/>
                    <w:sz w:val="28"/>
                    <w:szCs w:val="28"/>
                  </w:rPr>
                </m:ctrlPr>
              </m:sub>
            </m:sSub>
            <m:r>
              <m:rPr/>
              <w:rPr>
                <w:rFonts w:ascii="Cambria Math" w:hAnsi="Cambria Math" w:eastAsia="宋体" w:cs="宋体"/>
                <w:kern w:val="0"/>
                <w:sz w:val="28"/>
                <w:szCs w:val="28"/>
              </w:rPr>
              <m:t>×E</m:t>
            </m:r>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C</m:t>
                </m:r>
                <m:ctrlPr>
                  <w:rPr>
                    <w:rFonts w:ascii="Cambria Math" w:hAnsi="Cambria Math" w:eastAsia="宋体" w:cs="宋体"/>
                    <w:kern w:val="0"/>
                    <w:sz w:val="28"/>
                    <w:szCs w:val="28"/>
                  </w:rPr>
                </m:ctrlPr>
              </m:e>
              <m:sub>
                <m:r>
                  <m:rPr/>
                  <w:rPr>
                    <w:rFonts w:ascii="Cambria Math" w:hAnsi="Cambria Math" w:eastAsia="宋体" w:cs="宋体"/>
                    <w:kern w:val="0"/>
                    <w:sz w:val="28"/>
                    <w:szCs w:val="28"/>
                  </w:rPr>
                  <m:t>PJ,i,t</m:t>
                </m:r>
                <m:ctrlPr>
                  <w:rPr>
                    <w:rFonts w:ascii="Cambria Math" w:hAnsi="Cambria Math" w:eastAsia="宋体" w:cs="宋体"/>
                    <w:kern w:val="0"/>
                    <w:sz w:val="28"/>
                    <w:szCs w:val="28"/>
                  </w:rPr>
                </m:ctrlPr>
              </m:sub>
            </m:sSub>
            <m:r>
              <m:rPr/>
              <w:rPr>
                <w:rFonts w:ascii="Cambria Math" w:hAnsi="Cambria Math" w:eastAsia="宋体" w:cs="宋体"/>
                <w:kern w:val="0"/>
                <w:sz w:val="28"/>
                <w:szCs w:val="28"/>
              </w:rPr>
              <m:t>×NC</m:t>
            </m:r>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V</m:t>
                </m:r>
                <m:ctrlPr>
                  <w:rPr>
                    <w:rFonts w:ascii="Cambria Math" w:hAnsi="Cambria Math" w:eastAsia="宋体" w:cs="宋体"/>
                    <w:kern w:val="0"/>
                    <w:sz w:val="28"/>
                    <w:szCs w:val="28"/>
                  </w:rPr>
                </m:ctrlPr>
              </m:e>
              <m:sub>
                <m:r>
                  <m:rPr/>
                  <w:rPr>
                    <w:rFonts w:ascii="Cambria Math" w:hAnsi="Cambria Math" w:eastAsia="宋体" w:cs="宋体"/>
                    <w:kern w:val="0"/>
                    <w:sz w:val="28"/>
                    <w:szCs w:val="28"/>
                  </w:rPr>
                  <m:t>fuel,i</m:t>
                </m:r>
                <m:ctrlPr>
                  <w:rPr>
                    <w:rFonts w:ascii="Cambria Math" w:hAnsi="Cambria Math" w:eastAsia="宋体" w:cs="宋体"/>
                    <w:kern w:val="0"/>
                    <w:sz w:val="28"/>
                    <w:szCs w:val="28"/>
                  </w:rPr>
                </m:ctrlPr>
              </m:sub>
            </m:sSub>
            <m:r>
              <m:rPr/>
              <w:rPr>
                <w:rFonts w:ascii="Cambria Math" w:hAnsi="Cambria Math" w:eastAsia="宋体" w:cs="宋体"/>
                <w:kern w:val="0"/>
                <w:sz w:val="28"/>
                <w:szCs w:val="28"/>
              </w:rPr>
              <m:t>×E</m:t>
            </m:r>
            <m:sSub>
              <m:sSubPr>
                <m:ctrlPr>
                  <w:rPr>
                    <w:rFonts w:ascii="Cambria Math" w:hAnsi="Cambria Math" w:eastAsia="宋体" w:cs="宋体"/>
                    <w:kern w:val="0"/>
                    <w:sz w:val="28"/>
                    <w:szCs w:val="28"/>
                  </w:rPr>
                </m:ctrlPr>
              </m:sSubPr>
              <m:e>
                <m:r>
                  <m:rPr/>
                  <w:rPr>
                    <w:rFonts w:ascii="Cambria Math" w:hAnsi="Cambria Math" w:eastAsia="宋体" w:cs="宋体"/>
                    <w:kern w:val="0"/>
                    <w:sz w:val="28"/>
                    <w:szCs w:val="28"/>
                  </w:rPr>
                  <m:t>F</m:t>
                </m:r>
                <m:ctrlPr>
                  <w:rPr>
                    <w:rFonts w:ascii="Cambria Math" w:hAnsi="Cambria Math" w:eastAsia="宋体" w:cs="宋体"/>
                    <w:kern w:val="0"/>
                    <w:sz w:val="28"/>
                    <w:szCs w:val="28"/>
                  </w:rPr>
                </m:ctrlPr>
              </m:e>
              <m:sub>
                <m:r>
                  <m:rPr/>
                  <w:rPr>
                    <w:rFonts w:ascii="Cambria Math" w:hAnsi="Cambria Math" w:eastAsia="宋体" w:cs="宋体"/>
                    <w:kern w:val="0"/>
                    <w:sz w:val="28"/>
                    <w:szCs w:val="28"/>
                  </w:rPr>
                  <m:t>CO2,i</m:t>
                </m:r>
                <m:ctrlPr>
                  <w:rPr>
                    <w:rFonts w:ascii="Cambria Math" w:hAnsi="Cambria Math" w:eastAsia="宋体" w:cs="宋体"/>
                    <w:kern w:val="0"/>
                    <w:sz w:val="28"/>
                    <w:szCs w:val="28"/>
                  </w:rPr>
                </m:ctrlPr>
              </m:sub>
            </m:sSub>
            <m:r>
              <m:rPr/>
              <w:rPr>
                <w:rFonts w:ascii="Cambria Math" w:hAnsi="Cambria Math" w:eastAsia="宋体" w:cs="宋体"/>
                <w:kern w:val="0"/>
                <w:sz w:val="28"/>
                <w:szCs w:val="28"/>
              </w:rPr>
              <m:t>×I</m:t>
            </m:r>
            <m:sSup>
              <m:sSupPr>
                <m:ctrlPr>
                  <w:rPr>
                    <w:rFonts w:ascii="Cambria Math" w:hAnsi="Cambria Math" w:eastAsia="宋体" w:cs="宋体"/>
                    <w:kern w:val="0"/>
                    <w:sz w:val="28"/>
                    <w:szCs w:val="28"/>
                  </w:rPr>
                </m:ctrlPr>
              </m:sSupPr>
              <m:e>
                <m:r>
                  <m:rPr/>
                  <w:rPr>
                    <w:rFonts w:ascii="Cambria Math" w:hAnsi="Cambria Math" w:eastAsia="宋体" w:cs="宋体"/>
                    <w:kern w:val="0"/>
                    <w:sz w:val="28"/>
                    <w:szCs w:val="28"/>
                  </w:rPr>
                  <m:t>R</m:t>
                </m:r>
                <m:ctrlPr>
                  <w:rPr>
                    <w:rFonts w:ascii="Cambria Math" w:hAnsi="Cambria Math" w:eastAsia="宋体" w:cs="宋体"/>
                    <w:kern w:val="0"/>
                    <w:sz w:val="28"/>
                    <w:szCs w:val="28"/>
                  </w:rPr>
                </m:ctrlPr>
              </m:e>
              <m:sup>
                <m:r>
                  <m:rPr/>
                  <w:rPr>
                    <w:rFonts w:ascii="Cambria Math" w:hAnsi="Cambria Math" w:eastAsia="宋体" w:cs="宋体"/>
                    <w:kern w:val="0"/>
                    <w:sz w:val="28"/>
                    <w:szCs w:val="28"/>
                  </w:rPr>
                  <m:t>y</m:t>
                </m:r>
                <m:ctrlPr>
                  <w:rPr>
                    <w:rFonts w:ascii="Cambria Math" w:hAnsi="Cambria Math" w:eastAsia="宋体" w:cs="宋体"/>
                    <w:kern w:val="0"/>
                    <w:sz w:val="28"/>
                    <w:szCs w:val="28"/>
                  </w:rPr>
                </m:ctrlPr>
              </m:sup>
            </m:sSup>
            <m:ctrlPr>
              <w:rPr>
                <w:rFonts w:ascii="Cambria Math" w:hAnsi="Cambria Math" w:eastAsia="宋体" w:cs="宋体"/>
                <w:kern w:val="0"/>
                <w:sz w:val="28"/>
                <w:szCs w:val="28"/>
              </w:rPr>
            </m:ctrlPr>
          </m:e>
        </m:nary>
      </m:oMath>
      <w:r>
        <w:rPr>
          <w:rFonts w:ascii="宋体" w:hAnsi="宋体" w:eastAsia="宋体" w:cs="宋体"/>
          <w:kern w:val="0"/>
          <w:sz w:val="28"/>
          <w:szCs w:val="28"/>
        </w:rPr>
        <w:tab/>
      </w:r>
      <w:r>
        <w:rPr>
          <w:rFonts w:ascii="宋体" w:hAnsi="宋体" w:eastAsia="宋体" w:cs="宋体"/>
          <w:kern w:val="0"/>
          <w:sz w:val="28"/>
          <w:szCs w:val="28"/>
        </w:rPr>
        <w:tab/>
      </w:r>
      <w:r>
        <w:rPr>
          <w:rFonts w:ascii="宋体" w:hAnsi="宋体" w:eastAsia="宋体" w:cs="宋体"/>
          <w:kern w:val="0"/>
          <w:sz w:val="28"/>
          <w:szCs w:val="28"/>
        </w:rPr>
        <w:tab/>
      </w:r>
      <w:r>
        <w:rPr>
          <w:rFonts w:ascii="宋体" w:hAnsi="宋体" w:eastAsia="宋体" w:cs="宋体"/>
          <w:kern w:val="0"/>
          <w:sz w:val="28"/>
          <w:szCs w:val="28"/>
        </w:rPr>
        <w:tab/>
      </w:r>
      <w:r>
        <w:rPr>
          <w:rFonts w:hint="eastAsia" w:ascii="宋体" w:hAnsi="宋体" w:eastAsia="宋体" w:cs="宋体"/>
          <w:kern w:val="0"/>
          <w:sz w:val="28"/>
          <w:szCs w:val="28"/>
          <w:lang w:eastAsia="zh-CN"/>
        </w:rPr>
        <w:t>(</w:t>
      </w:r>
      <w:r>
        <w:rPr>
          <w:rFonts w:hint="eastAsia" w:ascii="Times New Roman" w:hAnsi="Times New Roman" w:eastAsia="宋体" w:cs="宋体"/>
          <w:kern w:val="0"/>
          <w:sz w:val="28"/>
          <w:szCs w:val="28"/>
        </w:rPr>
        <w:t>1</w:t>
      </w:r>
      <w:r>
        <w:rPr>
          <w:rFonts w:hint="eastAsia" w:ascii="Times New Roman" w:hAnsi="Times New Roman" w:eastAsia="宋体" w:cs="宋体"/>
          <w:kern w:val="0"/>
          <w:sz w:val="28"/>
          <w:szCs w:val="28"/>
          <w:lang w:eastAsia="zh-CN"/>
        </w:rPr>
        <w:t>)</w:t>
      </w:r>
    </w:p>
    <w:p w14:paraId="431A2B84">
      <w:pPr>
        <w:tabs>
          <w:tab w:val="left" w:pos="1269"/>
          <w:tab w:val="left" w:pos="1270"/>
        </w:tabs>
        <w:autoSpaceDE w:val="0"/>
        <w:autoSpaceDN w:val="0"/>
        <w:snapToGrid w:val="0"/>
        <w:spacing w:line="360" w:lineRule="auto"/>
        <w:ind w:firstLine="560" w:firstLineChars="200"/>
        <w:rPr>
          <w:rFonts w:hint="eastAsia" w:ascii="宋体" w:hAnsi="宋体" w:eastAsia="宋体" w:cs="宋体"/>
          <w:kern w:val="0"/>
          <w:sz w:val="28"/>
          <w:szCs w:val="28"/>
        </w:rPr>
      </w:pPr>
      <w:r>
        <w:rPr>
          <w:rFonts w:hint="eastAsia" w:ascii="宋体" w:hAnsi="宋体" w:eastAsia="宋体" w:cs="宋体"/>
          <w:kern w:val="0"/>
          <w:sz w:val="28"/>
          <w:szCs w:val="28"/>
        </w:rPr>
        <w:t>其中：</w:t>
      </w:r>
    </w:p>
    <w:p w14:paraId="5E0444FD">
      <w:pPr>
        <w:tabs>
          <w:tab w:val="left" w:pos="1269"/>
          <w:tab w:val="left" w:pos="1270"/>
        </w:tabs>
        <w:autoSpaceDE w:val="0"/>
        <w:autoSpaceDN w:val="0"/>
        <w:snapToGrid w:val="0"/>
        <w:spacing w:line="360" w:lineRule="auto"/>
        <w:rPr>
          <w:rFonts w:ascii="宋体" w:hAnsi="宋体" w:eastAsia="宋体" w:cs="宋体"/>
          <w:kern w:val="0"/>
          <w:sz w:val="28"/>
          <w:szCs w:val="28"/>
        </w:rPr>
      </w:pPr>
      <w:r>
        <w:rPr>
          <w:rFonts w:ascii="宋体" w:hAnsi="宋体" w:eastAsia="宋体" w:cs="宋体"/>
          <w:kern w:val="0"/>
          <w:position w:val="-6"/>
          <w:sz w:val="28"/>
          <w:szCs w:val="28"/>
        </w:rPr>
        <w:object>
          <v:shape id="_x0000_i1025" o:spt="75" type="#_x0000_t75" style="height:12pt;width:7.5pt;" o:ole="t" filled="f" o:preferrelative="t" stroked="f" coordsize="21600,21600">
            <v:path/>
            <v:fill on="f" focussize="0,0"/>
            <v:stroke on="f" joinstyle="miter"/>
            <v:imagedata r:id="rId8" o:title=""/>
            <o:lock v:ext="edit" aspectratio="t"/>
            <w10:wrap type="none"/>
            <w10:anchorlock/>
          </v:shape>
          <o:OLEObject Type="Embed" ProgID="Equation.DSMT4" ShapeID="_x0000_i1025" DrawAspect="Content" ObjectID="_1468075725" r:id="rId7">
            <o:LockedField>false</o:LockedField>
          </o:OLEObject>
        </w:object>
      </w:r>
      <w:r>
        <w:rPr>
          <w:rFonts w:ascii="宋体" w:hAnsi="宋体" w:eastAsia="宋体" w:cs="宋体"/>
          <w:kern w:val="0"/>
          <w:sz w:val="28"/>
          <w:szCs w:val="28"/>
        </w:rPr>
        <w:tab/>
      </w:r>
      <w:r>
        <w:rPr>
          <w:rFonts w:hint="eastAsia" w:ascii="宋体" w:hAnsi="宋体" w:eastAsia="宋体" w:cs="宋体"/>
          <w:kern w:val="0"/>
          <w:sz w:val="28"/>
          <w:szCs w:val="28"/>
        </w:rPr>
        <w:t>减排量计算日</w:t>
      </w:r>
    </w:p>
    <w:p w14:paraId="63844970">
      <w:pPr>
        <w:tabs>
          <w:tab w:val="left" w:pos="1269"/>
          <w:tab w:val="left" w:pos="1270"/>
        </w:tabs>
        <w:autoSpaceDE w:val="0"/>
        <w:autoSpaceDN w:val="0"/>
        <w:snapToGrid w:val="0"/>
        <w:spacing w:line="360" w:lineRule="auto"/>
        <w:rPr>
          <w:rFonts w:hint="eastAsia" w:ascii="宋体" w:hAnsi="宋体" w:eastAsia="宋体"/>
          <w:color w:val="FF0000"/>
          <w:sz w:val="28"/>
          <w:szCs w:val="28"/>
          <w:highlight w:val="yellow"/>
        </w:rPr>
      </w:pPr>
      <w:r>
        <w:rPr>
          <w:rFonts w:ascii="宋体" w:hAnsi="宋体" w:eastAsia="宋体"/>
          <w:color w:val="FF0000"/>
          <w:position w:val="-6"/>
          <w:sz w:val="28"/>
          <w:szCs w:val="28"/>
        </w:rPr>
        <w:object>
          <v:shape id="_x0000_i1026" o:spt="75" type="#_x0000_t75" style="height:13.5pt;width:7.5pt;" o:ole="t" filled="f" o:preferrelative="t" stroked="f" coordsize="21600,21600">
            <v:path/>
            <v:fill on="f" focussize="0,0"/>
            <v:stroke on="f" joinstyle="miter"/>
            <v:imagedata r:id="rId10" o:title=""/>
            <o:lock v:ext="edit" aspectratio="t"/>
            <w10:wrap type="none"/>
            <w10:anchorlock/>
          </v:shape>
          <o:OLEObject Type="Embed" ProgID="Equation.DSMT4" ShapeID="_x0000_i1026" DrawAspect="Content" ObjectID="_1468075726" r:id="rId9">
            <o:LockedField>false</o:LockedField>
          </o:OLEObject>
        </w:object>
      </w:r>
      <w:r>
        <w:rPr>
          <w:rFonts w:ascii="宋体" w:hAnsi="宋体" w:eastAsia="宋体"/>
          <w:color w:val="FF0000"/>
          <w:sz w:val="28"/>
          <w:szCs w:val="28"/>
        </w:rPr>
        <w:tab/>
      </w:r>
      <w:r>
        <w:rPr>
          <w:rFonts w:hint="eastAsia" w:ascii="宋体" w:hAnsi="宋体" w:eastAsia="宋体" w:cs="宋体"/>
          <w:kern w:val="0"/>
          <w:sz w:val="28"/>
          <w:szCs w:val="28"/>
        </w:rPr>
        <w:t>车辆车型（如轿车、SUV等）</w:t>
      </w:r>
      <w:r>
        <w:rPr>
          <w:rFonts w:hint="eastAsia" w:ascii="宋体" w:hAnsi="宋体" w:eastAsia="宋体"/>
          <w:color w:val="FF0000"/>
          <w:sz w:val="28"/>
          <w:szCs w:val="28"/>
        </w:rPr>
        <w:t xml:space="preserve"> </w:t>
      </w:r>
    </w:p>
    <w:p w14:paraId="64D7762C">
      <w:pPr>
        <w:tabs>
          <w:tab w:val="left" w:pos="1269"/>
          <w:tab w:val="left" w:pos="1270"/>
        </w:tabs>
        <w:autoSpaceDE w:val="0"/>
        <w:autoSpaceDN w:val="0"/>
        <w:snapToGrid w:val="0"/>
        <w:spacing w:line="360" w:lineRule="auto"/>
        <w:rPr>
          <w:rFonts w:hint="eastAsia" w:ascii="宋体" w:hAnsi="宋体" w:eastAsia="宋体" w:cs="宋体"/>
          <w:kern w:val="0"/>
          <w:sz w:val="28"/>
          <w:szCs w:val="28"/>
        </w:rPr>
      </w:pPr>
      <w:r>
        <w:rPr>
          <w:rFonts w:ascii="宋体" w:hAnsi="宋体" w:eastAsia="宋体" w:cs="宋体"/>
          <w:kern w:val="0"/>
          <w:position w:val="-12"/>
          <w:sz w:val="28"/>
          <w:szCs w:val="28"/>
        </w:rPr>
        <w:object>
          <v:shape id="_x0000_i1027" o:spt="75" type="#_x0000_t75" style="height:18pt;width:21pt;" o:ole="t" filled="f" o:preferrelative="t" stroked="f" coordsize="21600,21600">
            <v:path/>
            <v:fill on="f" focussize="0,0"/>
            <v:stroke on="f" joinstyle="miter"/>
            <v:imagedata r:id="rId12" o:title=""/>
            <o:lock v:ext="edit" aspectratio="t"/>
            <w10:wrap type="none"/>
            <w10:anchorlock/>
          </v:shape>
          <o:OLEObject Type="Embed" ProgID="Equation.DSMT4" ShapeID="_x0000_i1027" DrawAspect="Content" ObjectID="_1468075727" r:id="rId11">
            <o:LockedField>false</o:LockedField>
          </o:OLEObject>
        </w:object>
      </w:r>
      <w:r>
        <w:rPr>
          <w:rFonts w:ascii="宋体" w:hAnsi="宋体" w:eastAsia="宋体" w:cs="宋体"/>
          <w:kern w:val="0"/>
          <w:sz w:val="28"/>
          <w:szCs w:val="28"/>
        </w:rPr>
        <w:tab/>
      </w:r>
      <w:r>
        <w:rPr>
          <w:rFonts w:hint="eastAsia" w:ascii="宋体" w:hAnsi="宋体" w:eastAsia="宋体" w:cs="宋体"/>
          <w:kern w:val="0"/>
          <w:sz w:val="28"/>
          <w:szCs w:val="28"/>
        </w:rPr>
        <w:t>基准线排放（</w:t>
      </w:r>
      <w:r>
        <w:rPr>
          <w:rFonts w:hint="eastAsia" w:ascii="Times New Roman" w:hAnsi="Times New Roman" w:eastAsia="宋体" w:cs="宋体"/>
          <w:kern w:val="0"/>
          <w:sz w:val="28"/>
          <w:szCs w:val="28"/>
        </w:rPr>
        <w:t>kgCO</w:t>
      </w:r>
      <w:r>
        <w:rPr>
          <w:rFonts w:hint="eastAsia" w:ascii="Times New Roman" w:hAnsi="Times New Roman" w:eastAsia="宋体" w:cs="宋体"/>
          <w:kern w:val="0"/>
          <w:sz w:val="28"/>
          <w:szCs w:val="28"/>
          <w:vertAlign w:val="subscript"/>
        </w:rPr>
        <w:t>2</w:t>
      </w:r>
      <w:r>
        <w:rPr>
          <w:rFonts w:hint="eastAsia" w:ascii="宋体" w:hAnsi="宋体" w:eastAsia="宋体" w:cs="宋体"/>
          <w:kern w:val="0"/>
          <w:sz w:val="28"/>
          <w:szCs w:val="28"/>
        </w:rPr>
        <w:t>）</w:t>
      </w:r>
    </w:p>
    <w:p w14:paraId="38DD7523">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4"/>
          <w:sz w:val="28"/>
          <w:szCs w:val="28"/>
        </w:rPr>
        <w:object>
          <v:shape id="_x0000_i1028" o:spt="75" type="#_x0000_t75" style="height:19.5pt;width:37.5pt;" o:ole="t" filled="f" o:preferrelative="t" stroked="f" coordsize="21600,21600">
            <v:path/>
            <v:fill on="f" focussize="0,0"/>
            <v:stroke on="f" joinstyle="miter"/>
            <v:imagedata r:id="rId14" o:title=""/>
            <o:lock v:ext="edit" aspectratio="t"/>
            <w10:wrap type="none"/>
            <w10:anchorlock/>
          </v:shape>
          <o:OLEObject Type="Embed" ProgID="Equation.DSMT4" ShapeID="_x0000_i1028" DrawAspect="Content" ObjectID="_1468075728" r:id="rId13">
            <o:LockedField>false</o:LockedField>
          </o:OLEObject>
        </w:object>
      </w:r>
      <w:r>
        <w:rPr>
          <w:rFonts w:ascii="宋体" w:hAnsi="宋体" w:eastAsia="宋体"/>
          <w:sz w:val="28"/>
          <w:szCs w:val="28"/>
        </w:rPr>
        <w:tab/>
      </w:r>
      <w:r>
        <w:rPr>
          <w:rFonts w:hint="eastAsia" w:ascii="Times New Roman" w:hAnsi="Times New Roman" w:eastAsia="宋体"/>
          <w:i/>
          <w:iCs/>
          <w:sz w:val="28"/>
          <w:szCs w:val="28"/>
        </w:rPr>
        <w:t>t</w:t>
      </w:r>
      <w:r>
        <w:rPr>
          <w:rFonts w:hint="eastAsia" w:ascii="Times New Roman" w:hAnsi="Times New Roman" w:eastAsia="宋体"/>
          <w:sz w:val="28"/>
          <w:szCs w:val="28"/>
        </w:rPr>
        <w:t>日</w:t>
      </w:r>
      <w:r>
        <w:rPr>
          <w:rFonts w:hint="eastAsia" w:ascii="宋体" w:hAnsi="宋体" w:eastAsia="宋体"/>
          <w:sz w:val="28"/>
          <w:szCs w:val="28"/>
        </w:rPr>
        <w:t xml:space="preserve">充电桩为车型为 </w:t>
      </w:r>
      <w:r>
        <w:rPr>
          <w:rFonts w:hint="eastAsia" w:ascii="Times New Roman" w:hAnsi="Times New Roman" w:eastAsia="宋体"/>
          <w:i/>
          <w:iCs/>
          <w:sz w:val="28"/>
          <w:szCs w:val="28"/>
        </w:rPr>
        <w:t>i</w:t>
      </w:r>
      <w:r>
        <w:rPr>
          <w:rFonts w:hint="eastAsia" w:ascii="宋体" w:hAnsi="宋体" w:eastAsia="宋体"/>
          <w:sz w:val="28"/>
          <w:szCs w:val="28"/>
        </w:rPr>
        <w:t xml:space="preserve"> 的车辆的充电量（</w:t>
      </w:r>
      <w:r>
        <w:rPr>
          <w:rFonts w:hint="eastAsia" w:ascii="Times New Roman" w:hAnsi="Times New Roman" w:eastAsia="宋体"/>
          <w:sz w:val="28"/>
          <w:szCs w:val="28"/>
        </w:rPr>
        <w:t>kWh</w:t>
      </w:r>
      <w:r>
        <w:rPr>
          <w:rFonts w:hint="eastAsia" w:ascii="宋体" w:hAnsi="宋体" w:eastAsia="宋体"/>
          <w:sz w:val="28"/>
          <w:szCs w:val="28"/>
        </w:rPr>
        <w:t>）</w:t>
      </w:r>
    </w:p>
    <w:p w14:paraId="22E3A2EC">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4"/>
          <w:sz w:val="28"/>
          <w:szCs w:val="28"/>
        </w:rPr>
        <w:object>
          <v:shape id="_x0000_i1029" o:spt="75" type="#_x0000_t75" style="height:19.5pt;width:44.25pt;" o:ole="t" filled="f" o:preferrelative="t" stroked="f" coordsize="21600,21600">
            <v:path/>
            <v:fill on="f" focussize="0,0"/>
            <v:stroke on="f" joinstyle="miter"/>
            <v:imagedata r:id="rId16" o:title=""/>
            <o:lock v:ext="edit" aspectratio="t"/>
            <w10:wrap type="none"/>
            <w10:anchorlock/>
          </v:shape>
          <o:OLEObject Type="Embed" ProgID="Equation.DSMT4" ShapeID="_x0000_i1029" DrawAspect="Content" ObjectID="_1468075729" r:id="rId15">
            <o:LockedField>false</o:LockedField>
          </o:OLEObject>
        </w:object>
      </w:r>
      <w:r>
        <w:rPr>
          <w:rFonts w:ascii="宋体" w:hAnsi="宋体" w:eastAsia="宋体"/>
          <w:position w:val="-4"/>
          <w:sz w:val="28"/>
          <w:szCs w:val="28"/>
        </w:rPr>
        <w:object>
          <v:shape id="_x0000_i1030" o:spt="75" type="#_x0000_t75" style="height:14.25pt;width:9pt;" o:ole="t" filled="f" o:preferrelative="t" stroked="f" coordsize="21600,21600">
            <v:path/>
            <v:fill on="f" focussize="0,0"/>
            <v:stroke on="f" joinstyle="miter"/>
            <v:imagedata r:id="rId18" o:title=""/>
            <o:lock v:ext="edit" aspectratio="t"/>
            <w10:wrap type="none"/>
            <w10:anchorlock/>
          </v:shape>
          <o:OLEObject Type="Embed" ProgID="Equation.DSMT4" ShapeID="_x0000_i1030" DrawAspect="Content" ObjectID="_1468075730" r:id="rId17">
            <o:LockedField>false</o:LockedField>
          </o:OLEObject>
        </w:object>
      </w:r>
      <w:r>
        <w:rPr>
          <w:rFonts w:ascii="宋体" w:hAnsi="宋体" w:eastAsia="宋体"/>
          <w:sz w:val="28"/>
          <w:szCs w:val="28"/>
        </w:rPr>
        <w:tab/>
      </w:r>
      <w:r>
        <w:rPr>
          <w:rFonts w:hint="eastAsia" w:ascii="宋体" w:hAnsi="宋体" w:eastAsia="宋体"/>
          <w:sz w:val="28"/>
          <w:szCs w:val="28"/>
        </w:rPr>
        <w:t xml:space="preserve">车型为 </w:t>
      </w:r>
      <w:r>
        <w:rPr>
          <w:rFonts w:hint="eastAsia" w:ascii="Times New Roman" w:hAnsi="Times New Roman" w:eastAsia="宋体"/>
          <w:i/>
          <w:iCs/>
          <w:sz w:val="28"/>
          <w:szCs w:val="28"/>
        </w:rPr>
        <w:t xml:space="preserve">i </w:t>
      </w:r>
      <w:r>
        <w:rPr>
          <w:rFonts w:hint="eastAsia" w:ascii="宋体" w:hAnsi="宋体" w:eastAsia="宋体"/>
          <w:sz w:val="28"/>
          <w:szCs w:val="28"/>
        </w:rPr>
        <w:t>的基准线车辆消耗燃料的净热值（</w:t>
      </w:r>
      <w:r>
        <w:rPr>
          <w:rFonts w:hint="eastAsia" w:ascii="Times New Roman" w:hAnsi="Times New Roman" w:eastAsia="宋体"/>
          <w:sz w:val="28"/>
          <w:szCs w:val="28"/>
        </w:rPr>
        <w:t>MJ</w:t>
      </w:r>
      <w:r>
        <w:rPr>
          <w:rFonts w:hint="eastAsia" w:ascii="宋体" w:hAnsi="宋体" w:eastAsia="宋体"/>
          <w:sz w:val="28"/>
          <w:szCs w:val="28"/>
        </w:rPr>
        <w:t>/</w:t>
      </w:r>
      <w:r>
        <w:rPr>
          <w:rFonts w:hint="eastAsia" w:ascii="Times New Roman" w:hAnsi="Times New Roman" w:eastAsia="宋体"/>
          <w:sz w:val="28"/>
          <w:szCs w:val="28"/>
        </w:rPr>
        <w:t>kg</w:t>
      </w:r>
      <w:r>
        <w:rPr>
          <w:rFonts w:hint="eastAsia" w:ascii="宋体" w:hAnsi="宋体" w:eastAsia="宋体"/>
          <w:sz w:val="28"/>
          <w:szCs w:val="28"/>
        </w:rPr>
        <w:t>化石燃料）</w:t>
      </w:r>
    </w:p>
    <w:p w14:paraId="11EDFE18">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4"/>
          <w:sz w:val="28"/>
          <w:szCs w:val="28"/>
        </w:rPr>
        <w:object>
          <v:shape id="_x0000_i1031" o:spt="75" type="#_x0000_t75" style="height:19.5pt;width:36pt;" o:ole="t" filled="f" o:preferrelative="t" stroked="f" coordsize="21600,21600">
            <v:path/>
            <v:fill on="f" focussize="0,0"/>
            <v:stroke on="f" joinstyle="miter"/>
            <v:imagedata r:id="rId20" o:title=""/>
            <o:lock v:ext="edit" aspectratio="t"/>
            <w10:wrap type="none"/>
            <w10:anchorlock/>
          </v:shape>
          <o:OLEObject Type="Embed" ProgID="Equation.DSMT4" ShapeID="_x0000_i1031" DrawAspect="Content" ObjectID="_1468075731" r:id="rId19">
            <o:LockedField>false</o:LockedField>
          </o:OLEObject>
        </w:object>
      </w:r>
      <w:r>
        <w:rPr>
          <w:rFonts w:ascii="宋体" w:hAnsi="宋体" w:eastAsia="宋体"/>
          <w:sz w:val="28"/>
          <w:szCs w:val="28"/>
        </w:rPr>
        <w:tab/>
      </w:r>
      <w:r>
        <w:rPr>
          <w:rFonts w:hint="eastAsia" w:ascii="宋体" w:hAnsi="宋体" w:eastAsia="宋体"/>
          <w:sz w:val="28"/>
          <w:szCs w:val="28"/>
        </w:rPr>
        <w:t xml:space="preserve">车型为 </w:t>
      </w:r>
      <w:r>
        <w:rPr>
          <w:rFonts w:hint="eastAsia" w:ascii="Times New Roman" w:hAnsi="Times New Roman" w:eastAsia="宋体"/>
          <w:i/>
          <w:iCs/>
          <w:sz w:val="28"/>
          <w:szCs w:val="28"/>
        </w:rPr>
        <w:t xml:space="preserve">i </w:t>
      </w:r>
      <w:r>
        <w:rPr>
          <w:rFonts w:hint="eastAsia" w:ascii="宋体" w:hAnsi="宋体" w:eastAsia="宋体"/>
          <w:sz w:val="28"/>
          <w:szCs w:val="28"/>
        </w:rPr>
        <w:t>的基准线车辆消耗燃料的</w:t>
      </w:r>
      <w:r>
        <w:rPr>
          <w:rFonts w:hint="eastAsia" w:ascii="Times New Roman" w:hAnsi="Times New Roman" w:eastAsia="宋体"/>
          <w:sz w:val="28"/>
          <w:szCs w:val="28"/>
        </w:rPr>
        <w:t>CO</w:t>
      </w:r>
      <w:r>
        <w:rPr>
          <w:rFonts w:hint="eastAsia" w:ascii="Times New Roman" w:hAnsi="Times New Roman" w:eastAsia="宋体"/>
          <w:sz w:val="28"/>
          <w:szCs w:val="28"/>
          <w:vertAlign w:val="subscript"/>
        </w:rPr>
        <w:t>2</w:t>
      </w:r>
      <w:r>
        <w:rPr>
          <w:rFonts w:hint="eastAsia" w:ascii="宋体" w:hAnsi="宋体" w:eastAsia="宋体"/>
          <w:sz w:val="28"/>
          <w:szCs w:val="28"/>
        </w:rPr>
        <w:t>排放因子（</w:t>
      </w:r>
      <w:r>
        <w:rPr>
          <w:rFonts w:hint="eastAsia" w:ascii="Times New Roman" w:hAnsi="Times New Roman" w:eastAsia="宋体"/>
          <w:sz w:val="28"/>
          <w:szCs w:val="28"/>
        </w:rPr>
        <w:t>kgCO</w:t>
      </w:r>
      <w:r>
        <w:rPr>
          <w:rFonts w:hint="eastAsia" w:ascii="Times New Roman" w:hAnsi="Times New Roman" w:eastAsia="宋体"/>
          <w:sz w:val="28"/>
          <w:szCs w:val="28"/>
          <w:vertAlign w:val="subscript"/>
        </w:rPr>
        <w:t>2</w:t>
      </w:r>
      <w:r>
        <w:rPr>
          <w:rFonts w:hint="eastAsia" w:ascii="宋体" w:hAnsi="宋体" w:eastAsia="宋体"/>
          <w:sz w:val="28"/>
          <w:szCs w:val="28"/>
        </w:rPr>
        <w:t>/</w:t>
      </w:r>
      <w:r>
        <w:rPr>
          <w:rFonts w:hint="eastAsia" w:ascii="Times New Roman" w:hAnsi="Times New Roman" w:eastAsia="宋体"/>
          <w:sz w:val="28"/>
          <w:szCs w:val="28"/>
        </w:rPr>
        <w:t>MJ</w:t>
      </w:r>
      <w:r>
        <w:rPr>
          <w:rFonts w:hint="eastAsia" w:ascii="宋体" w:hAnsi="宋体" w:eastAsia="宋体"/>
          <w:sz w:val="28"/>
          <w:szCs w:val="28"/>
        </w:rPr>
        <w:t>）</w:t>
      </w:r>
    </w:p>
    <w:p w14:paraId="7239A7B2">
      <w:pPr>
        <w:tabs>
          <w:tab w:val="left" w:pos="1276"/>
        </w:tabs>
        <w:autoSpaceDE w:val="0"/>
        <w:autoSpaceDN w:val="0"/>
        <w:snapToGrid w:val="0"/>
        <w:spacing w:line="360" w:lineRule="auto"/>
        <w:ind w:left="1275" w:hanging="1699" w:hangingChars="607"/>
        <w:rPr>
          <w:rFonts w:hint="eastAsia" w:ascii="宋体" w:hAnsi="宋体" w:eastAsia="宋体"/>
          <w:sz w:val="28"/>
          <w:szCs w:val="28"/>
        </w:rPr>
      </w:pPr>
      <w:r>
        <w:rPr>
          <w:rFonts w:ascii="宋体" w:hAnsi="宋体" w:eastAsia="宋体"/>
          <w:position w:val="-4"/>
          <w:sz w:val="28"/>
          <w:szCs w:val="28"/>
        </w:rPr>
        <w:object>
          <v:shape id="_x0000_i1032" o:spt="75" type="#_x0000_t75" style="height:13.5pt;width:15.75pt;" o:ole="t" filled="f" o:preferrelative="t" stroked="f" coordsize="21600,21600">
            <v:path/>
            <v:fill on="f" focussize="0,0"/>
            <v:stroke on="f" joinstyle="miter"/>
            <v:imagedata r:id="rId22" o:title=""/>
            <o:lock v:ext="edit" aspectratio="t"/>
            <w10:wrap type="none"/>
            <w10:anchorlock/>
          </v:shape>
          <o:OLEObject Type="Embed" ProgID="Equation.DSMT4" ShapeID="_x0000_i1032" DrawAspect="Content" ObjectID="_1468075732" r:id="rId21">
            <o:LockedField>false</o:LockedField>
          </o:OLEObject>
        </w:object>
      </w:r>
      <w:r>
        <w:rPr>
          <w:rFonts w:ascii="宋体" w:hAnsi="宋体" w:eastAsia="宋体"/>
          <w:sz w:val="28"/>
          <w:szCs w:val="28"/>
        </w:rPr>
        <w:tab/>
      </w:r>
      <w:r>
        <w:rPr>
          <w:rFonts w:hint="eastAsia" w:ascii="宋体" w:hAnsi="宋体" w:eastAsia="宋体"/>
          <w:sz w:val="28"/>
          <w:szCs w:val="28"/>
        </w:rPr>
        <w:t>基准线车辆的技术进步因子，技术进步率与日历年对应，所有基准线车辆的技术进步因子默认值为</w:t>
      </w:r>
      <w:r>
        <w:rPr>
          <w:rFonts w:hint="eastAsia" w:ascii="Times New Roman" w:hAnsi="Times New Roman" w:eastAsia="宋体"/>
          <w:sz w:val="28"/>
          <w:szCs w:val="28"/>
        </w:rPr>
        <w:t>0</w:t>
      </w:r>
      <w:r>
        <w:rPr>
          <w:rFonts w:hint="eastAsia" w:ascii="宋体" w:hAnsi="宋体" w:eastAsia="宋体"/>
          <w:sz w:val="28"/>
          <w:szCs w:val="28"/>
        </w:rPr>
        <w:t>.</w:t>
      </w:r>
      <w:r>
        <w:rPr>
          <w:rFonts w:hint="eastAsia" w:ascii="Times New Roman" w:hAnsi="Times New Roman" w:eastAsia="宋体"/>
          <w:sz w:val="28"/>
          <w:szCs w:val="28"/>
        </w:rPr>
        <w:t>99</w:t>
      </w:r>
    </w:p>
    <w:p w14:paraId="28E354B9">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0"/>
          <w:sz w:val="28"/>
          <w:szCs w:val="28"/>
        </w:rPr>
        <w:object>
          <v:shape id="_x0000_i1033" o:spt="75" type="#_x0000_t75" style="height:13.5pt;width:10.5pt;" o:ole="t" filled="f" o:preferrelative="t" stroked="f" coordsize="21600,21600">
            <v:path/>
            <v:fill on="f" focussize="0,0"/>
            <v:stroke on="f" joinstyle="miter"/>
            <v:imagedata r:id="rId24" o:title=""/>
            <o:lock v:ext="edit" aspectratio="t"/>
            <w10:wrap type="none"/>
            <w10:anchorlock/>
          </v:shape>
          <o:OLEObject Type="Embed" ProgID="Equation.DSMT4" ShapeID="_x0000_i1033" DrawAspect="Content" ObjectID="_1468075733" r:id="rId23">
            <o:LockedField>false</o:LockedField>
          </o:OLEObject>
        </w:object>
      </w:r>
      <w:r>
        <w:rPr>
          <w:rFonts w:ascii="宋体" w:hAnsi="宋体" w:eastAsia="宋体"/>
          <w:sz w:val="28"/>
          <w:szCs w:val="28"/>
        </w:rPr>
        <w:tab/>
      </w:r>
      <w:r>
        <w:rPr>
          <w:rFonts w:hint="eastAsia" w:ascii="宋体" w:hAnsi="宋体" w:eastAsia="宋体" w:cs="宋体"/>
          <w:kern w:val="0"/>
          <w:sz w:val="28"/>
          <w:szCs w:val="28"/>
          <w:lang w:val="en-US" w:eastAsia="zh-CN"/>
        </w:rPr>
        <w:t>场景</w:t>
      </w:r>
      <w:r>
        <w:rPr>
          <w:rFonts w:hint="eastAsia" w:ascii="宋体" w:hAnsi="宋体" w:eastAsia="宋体"/>
          <w:sz w:val="28"/>
          <w:szCs w:val="28"/>
        </w:rPr>
        <w:t xml:space="preserve">活动开始后的第 </w:t>
      </w:r>
      <w:r>
        <w:rPr>
          <w:rFonts w:hint="eastAsia" w:ascii="Times New Roman" w:hAnsi="Times New Roman" w:eastAsia="宋体"/>
          <w:i/>
          <w:iCs/>
          <w:sz w:val="28"/>
          <w:szCs w:val="28"/>
        </w:rPr>
        <w:t xml:space="preserve">y </w:t>
      </w:r>
      <w:r>
        <w:rPr>
          <w:rFonts w:hint="eastAsia" w:ascii="宋体" w:hAnsi="宋体" w:eastAsia="宋体"/>
          <w:sz w:val="28"/>
          <w:szCs w:val="28"/>
        </w:rPr>
        <w:t>年</w:t>
      </w:r>
    </w:p>
    <w:p w14:paraId="154AF0A5">
      <w:pPr>
        <w:tabs>
          <w:tab w:val="left" w:pos="1269"/>
          <w:tab w:val="left" w:pos="1270"/>
        </w:tabs>
        <w:autoSpaceDE w:val="0"/>
        <w:autoSpaceDN w:val="0"/>
        <w:snapToGrid w:val="0"/>
        <w:spacing w:line="360" w:lineRule="auto"/>
        <w:rPr>
          <w:rFonts w:hint="eastAsia" w:ascii="宋体" w:hAnsi="宋体" w:eastAsia="宋体"/>
          <w:sz w:val="28"/>
          <w:szCs w:val="28"/>
          <w:highlight w:val="yellow"/>
        </w:rPr>
      </w:pPr>
      <w:r>
        <w:rPr>
          <w:rFonts w:ascii="宋体" w:hAnsi="宋体" w:eastAsia="宋体"/>
          <w:position w:val="-12"/>
          <w:sz w:val="28"/>
          <w:szCs w:val="28"/>
        </w:rPr>
        <w:object>
          <v:shape id="_x0000_i1034" o:spt="75" type="#_x0000_t75" style="height:18pt;width:12pt;" o:ole="t" filled="f" o:preferrelative="t" stroked="f" coordsize="21600,21600">
            <v:path/>
            <v:fill on="f" focussize="0,0"/>
            <v:stroke on="f" joinstyle="miter"/>
            <v:imagedata r:id="rId26" o:title=""/>
            <o:lock v:ext="edit" aspectratio="t"/>
            <w10:wrap type="none"/>
            <w10:anchorlock/>
          </v:shape>
          <o:OLEObject Type="Embed" ProgID="Equation.DSMT4" ShapeID="_x0000_i1034" DrawAspect="Content" ObjectID="_1468075734" r:id="rId25">
            <o:LockedField>false</o:LockedField>
          </o:OLEObject>
        </w:object>
      </w:r>
      <w:r>
        <w:rPr>
          <w:rFonts w:ascii="宋体" w:hAnsi="宋体" w:eastAsia="宋体"/>
          <w:sz w:val="28"/>
          <w:szCs w:val="28"/>
        </w:rPr>
        <w:tab/>
      </w:r>
      <w:r>
        <w:rPr>
          <w:rFonts w:hint="eastAsia" w:ascii="宋体" w:hAnsi="宋体" w:eastAsia="宋体"/>
          <w:sz w:val="28"/>
          <w:szCs w:val="28"/>
        </w:rPr>
        <w:t xml:space="preserve">车辆车型为 </w:t>
      </w:r>
      <w:r>
        <w:rPr>
          <w:rFonts w:hint="eastAsia" w:ascii="宋体" w:hAnsi="宋体" w:eastAsia="宋体"/>
          <w:i/>
          <w:iCs/>
          <w:sz w:val="28"/>
          <w:szCs w:val="28"/>
        </w:rPr>
        <w:t>i</w:t>
      </w:r>
      <w:r>
        <w:rPr>
          <w:rFonts w:hint="eastAsia" w:ascii="宋体" w:hAnsi="宋体" w:eastAsia="宋体"/>
          <w:sz w:val="28"/>
          <w:szCs w:val="28"/>
        </w:rPr>
        <w:t xml:space="preserve"> 的基准线车辆和</w:t>
      </w:r>
      <w:r>
        <w:rPr>
          <w:rFonts w:hint="eastAsia" w:ascii="宋体" w:hAnsi="宋体" w:eastAsia="宋体" w:cs="宋体"/>
          <w:kern w:val="0"/>
          <w:sz w:val="28"/>
          <w:szCs w:val="28"/>
          <w:lang w:val="en-US" w:eastAsia="zh-CN"/>
        </w:rPr>
        <w:t>场景</w:t>
      </w:r>
      <w:r>
        <w:rPr>
          <w:rFonts w:hint="eastAsia" w:ascii="宋体" w:hAnsi="宋体" w:eastAsia="宋体"/>
          <w:sz w:val="28"/>
          <w:szCs w:val="28"/>
        </w:rPr>
        <w:t xml:space="preserve">车辆单位里程能源消耗比（kg化石燃料/kWh），其计算方法如下： </w:t>
      </w:r>
    </w:p>
    <w:p w14:paraId="76FEA44F">
      <w:pPr>
        <w:tabs>
          <w:tab w:val="left" w:pos="1269"/>
          <w:tab w:val="left" w:pos="1270"/>
        </w:tabs>
        <w:autoSpaceDE w:val="0"/>
        <w:autoSpaceDN w:val="0"/>
        <w:snapToGrid w:val="0"/>
        <w:spacing w:line="360" w:lineRule="auto"/>
        <w:jc w:val="right"/>
        <w:rPr>
          <w:rFonts w:hint="eastAsia" w:ascii="宋体" w:hAnsi="宋体" w:eastAsia="宋体"/>
          <w:sz w:val="28"/>
          <w:szCs w:val="28"/>
        </w:rPr>
      </w:pPr>
      <w:r>
        <w:rPr>
          <w:rFonts w:ascii="宋体" w:hAnsi="宋体" w:eastAsia="宋体"/>
          <w:position w:val="-32"/>
          <w:sz w:val="28"/>
          <w:szCs w:val="28"/>
        </w:rPr>
        <w:object>
          <v:shape id="_x0000_i1035" o:spt="75" type="#_x0000_t75" style="height:37.5pt;width:66pt;" o:ole="t" filled="f" o:preferrelative="t" stroked="f" coordsize="21600,21600">
            <v:path/>
            <v:fill on="f" focussize="0,0"/>
            <v:stroke on="f" joinstyle="miter"/>
            <v:imagedata r:id="rId28" o:title=""/>
            <o:lock v:ext="edit" aspectratio="t"/>
            <w10:wrap type="none"/>
            <w10:anchorlock/>
          </v:shape>
          <o:OLEObject Type="Embed" ProgID="Equation.DSMT4" ShapeID="_x0000_i1035" DrawAspect="Content" ObjectID="_1468075735" r:id="rId27">
            <o:LockedField>false</o:LockedField>
          </o:OLEObject>
        </w:object>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hint="eastAsia" w:ascii="宋体" w:hAnsi="宋体" w:eastAsia="宋体"/>
          <w:sz w:val="28"/>
          <w:szCs w:val="28"/>
          <w:lang w:eastAsia="zh-CN"/>
        </w:rPr>
        <w:t>(</w:t>
      </w:r>
      <w:r>
        <w:rPr>
          <w:rFonts w:hint="eastAsia" w:ascii="Times New Roman" w:hAnsi="Times New Roman" w:eastAsia="宋体"/>
          <w:sz w:val="28"/>
          <w:szCs w:val="28"/>
        </w:rPr>
        <w:t>2</w:t>
      </w:r>
      <w:r>
        <w:rPr>
          <w:rFonts w:hint="eastAsia" w:ascii="Times New Roman" w:hAnsi="Times New Roman" w:eastAsia="宋体"/>
          <w:sz w:val="28"/>
          <w:szCs w:val="28"/>
          <w:lang w:eastAsia="zh-CN"/>
        </w:rPr>
        <w:t>)</w:t>
      </w:r>
    </w:p>
    <w:p w14:paraId="21F257A6">
      <w:pPr>
        <w:tabs>
          <w:tab w:val="left" w:pos="1269"/>
          <w:tab w:val="left" w:pos="1270"/>
        </w:tabs>
        <w:autoSpaceDE w:val="0"/>
        <w:autoSpaceDN w:val="0"/>
        <w:snapToGrid w:val="0"/>
        <w:spacing w:line="360" w:lineRule="auto"/>
        <w:ind w:firstLine="560" w:firstLineChars="200"/>
        <w:jc w:val="left"/>
        <w:rPr>
          <w:rFonts w:hint="eastAsia" w:ascii="宋体" w:hAnsi="宋体" w:eastAsia="宋体"/>
          <w:sz w:val="28"/>
          <w:szCs w:val="28"/>
        </w:rPr>
      </w:pPr>
      <w:r>
        <w:rPr>
          <w:rFonts w:hint="eastAsia" w:ascii="宋体" w:hAnsi="宋体" w:eastAsia="宋体"/>
          <w:sz w:val="28"/>
          <w:szCs w:val="28"/>
        </w:rPr>
        <w:t>其中：</w:t>
      </w:r>
    </w:p>
    <w:p w14:paraId="691932F9">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4"/>
          <w:sz w:val="28"/>
          <w:szCs w:val="28"/>
        </w:rPr>
        <w:object>
          <v:shape id="_x0000_i1036" o:spt="75" type="#_x0000_t75" style="height:19.5pt;width:42pt;" o:ole="t" filled="f" o:preferrelative="t" stroked="f" coordsize="21600,21600">
            <v:path/>
            <v:fill on="f" focussize="0,0"/>
            <v:stroke on="f" joinstyle="miter"/>
            <v:imagedata r:id="rId30" o:title=""/>
            <o:lock v:ext="edit" aspectratio="t"/>
            <w10:wrap type="none"/>
            <w10:anchorlock/>
          </v:shape>
          <o:OLEObject Type="Embed" ProgID="Equation.DSMT4" ShapeID="_x0000_i1036" DrawAspect="Content" ObjectID="_1468075736" r:id="rId29">
            <o:LockedField>false</o:LockedField>
          </o:OLEObject>
        </w:object>
      </w:r>
      <w:r>
        <w:rPr>
          <w:rFonts w:ascii="宋体" w:hAnsi="宋体" w:eastAsia="宋体"/>
          <w:sz w:val="28"/>
          <w:szCs w:val="28"/>
        </w:rPr>
        <w:tab/>
      </w:r>
      <w:r>
        <w:rPr>
          <w:rFonts w:hint="eastAsia" w:ascii="宋体" w:hAnsi="宋体" w:eastAsia="宋体"/>
          <w:color w:val="auto"/>
          <w:sz w:val="28"/>
          <w:szCs w:val="28"/>
        </w:rPr>
        <w:t>车辆车型为</w:t>
      </w:r>
      <w:r>
        <w:rPr>
          <w:rFonts w:hint="eastAsia" w:ascii="宋体" w:hAnsi="宋体" w:eastAsia="宋体"/>
          <w:sz w:val="28"/>
          <w:szCs w:val="28"/>
        </w:rPr>
        <w:t xml:space="preserve"> </w:t>
      </w:r>
      <w:r>
        <w:rPr>
          <w:rFonts w:hint="eastAsia" w:ascii="Times New Roman" w:hAnsi="Times New Roman" w:eastAsia="宋体"/>
          <w:i/>
          <w:iCs/>
          <w:sz w:val="28"/>
          <w:szCs w:val="28"/>
        </w:rPr>
        <w:t xml:space="preserve">i </w:t>
      </w:r>
      <w:r>
        <w:rPr>
          <w:rFonts w:hint="eastAsia" w:ascii="宋体" w:hAnsi="宋体" w:eastAsia="宋体"/>
          <w:sz w:val="28"/>
          <w:szCs w:val="28"/>
        </w:rPr>
        <w:t>的基准线车辆的单位里程油耗值（</w:t>
      </w:r>
      <w:r>
        <w:rPr>
          <w:rFonts w:hint="eastAsia" w:ascii="Times New Roman" w:hAnsi="Times New Roman" w:eastAsia="宋体"/>
          <w:sz w:val="28"/>
          <w:szCs w:val="28"/>
        </w:rPr>
        <w:t>kg</w:t>
      </w:r>
      <w:r>
        <w:rPr>
          <w:rFonts w:hint="eastAsia" w:ascii="宋体" w:hAnsi="宋体" w:eastAsia="宋体"/>
          <w:sz w:val="28"/>
          <w:szCs w:val="28"/>
        </w:rPr>
        <w:t>/</w:t>
      </w:r>
      <w:r>
        <w:rPr>
          <w:rFonts w:hint="eastAsia" w:ascii="Times New Roman" w:hAnsi="Times New Roman" w:eastAsia="宋体"/>
          <w:sz w:val="28"/>
          <w:szCs w:val="28"/>
        </w:rPr>
        <w:t>km</w:t>
      </w:r>
      <w:r>
        <w:rPr>
          <w:rFonts w:hint="eastAsia" w:ascii="宋体" w:hAnsi="宋体" w:eastAsia="宋体"/>
          <w:sz w:val="28"/>
          <w:szCs w:val="28"/>
        </w:rPr>
        <w:t>）</w:t>
      </w:r>
    </w:p>
    <w:p w14:paraId="06C57917">
      <w:pPr>
        <w:tabs>
          <w:tab w:val="left" w:pos="1269"/>
          <w:tab w:val="left" w:pos="1270"/>
        </w:tabs>
        <w:autoSpaceDE w:val="0"/>
        <w:autoSpaceDN w:val="0"/>
        <w:snapToGrid w:val="0"/>
        <w:spacing w:line="360" w:lineRule="auto"/>
        <w:rPr>
          <w:rFonts w:hint="eastAsia" w:ascii="宋体" w:hAnsi="宋体" w:eastAsia="宋体"/>
          <w:sz w:val="28"/>
          <w:szCs w:val="28"/>
        </w:rPr>
      </w:pPr>
      <w:r>
        <w:rPr>
          <w:rFonts w:ascii="宋体" w:hAnsi="宋体" w:eastAsia="宋体"/>
          <w:position w:val="-14"/>
          <w:sz w:val="28"/>
          <w:szCs w:val="28"/>
        </w:rPr>
        <w:object>
          <v:shape id="_x0000_i1037" o:spt="75" type="#_x0000_t75" style="height:19.5pt;width:40.5pt;" o:ole="t" filled="f" o:preferrelative="t" stroked="f" coordsize="21600,21600">
            <v:path/>
            <v:fill on="f" focussize="0,0"/>
            <v:stroke on="f" joinstyle="miter"/>
            <v:imagedata r:id="rId32" o:title=""/>
            <o:lock v:ext="edit" aspectratio="t"/>
            <w10:wrap type="none"/>
            <w10:anchorlock/>
          </v:shape>
          <o:OLEObject Type="Embed" ProgID="Equation.DSMT4" ShapeID="_x0000_i1037" DrawAspect="Content" ObjectID="_1468075737" r:id="rId31">
            <o:LockedField>false</o:LockedField>
          </o:OLEObject>
        </w:object>
      </w:r>
      <w:r>
        <w:rPr>
          <w:rFonts w:ascii="宋体" w:hAnsi="宋体" w:eastAsia="宋体"/>
          <w:sz w:val="28"/>
          <w:szCs w:val="28"/>
        </w:rPr>
        <w:tab/>
      </w:r>
      <w:r>
        <w:rPr>
          <w:rFonts w:hint="eastAsia" w:ascii="宋体" w:hAnsi="宋体" w:eastAsia="宋体"/>
          <w:color w:val="auto"/>
          <w:sz w:val="28"/>
          <w:szCs w:val="28"/>
        </w:rPr>
        <w:t>车辆车型</w:t>
      </w:r>
      <w:r>
        <w:rPr>
          <w:rFonts w:hint="eastAsia" w:ascii="宋体" w:hAnsi="宋体" w:eastAsia="宋体"/>
          <w:sz w:val="28"/>
          <w:szCs w:val="28"/>
        </w:rPr>
        <w:t xml:space="preserve">为 </w:t>
      </w:r>
      <w:r>
        <w:rPr>
          <w:rFonts w:hint="eastAsia" w:ascii="Times New Roman" w:hAnsi="Times New Roman" w:eastAsia="宋体"/>
          <w:i/>
          <w:iCs/>
          <w:sz w:val="28"/>
          <w:szCs w:val="28"/>
        </w:rPr>
        <w:t xml:space="preserve">i </w:t>
      </w:r>
      <w:r>
        <w:rPr>
          <w:rFonts w:hint="eastAsia" w:ascii="宋体" w:hAnsi="宋体" w:eastAsia="宋体"/>
          <w:sz w:val="28"/>
          <w:szCs w:val="28"/>
        </w:rPr>
        <w:t>的</w:t>
      </w:r>
      <w:r>
        <w:rPr>
          <w:rFonts w:hint="eastAsia" w:ascii="宋体" w:hAnsi="宋体" w:eastAsia="宋体"/>
          <w:sz w:val="28"/>
          <w:szCs w:val="28"/>
          <w:lang w:val="en-US" w:eastAsia="zh-CN"/>
        </w:rPr>
        <w:t>场景</w:t>
      </w:r>
      <w:r>
        <w:rPr>
          <w:rFonts w:hint="eastAsia" w:ascii="宋体" w:hAnsi="宋体" w:eastAsia="宋体"/>
          <w:sz w:val="28"/>
          <w:szCs w:val="28"/>
        </w:rPr>
        <w:t>车辆的单位里程电力消耗（</w:t>
      </w:r>
      <w:r>
        <w:rPr>
          <w:rFonts w:hint="eastAsia" w:ascii="Times New Roman" w:hAnsi="Times New Roman" w:eastAsia="宋体"/>
          <w:sz w:val="28"/>
          <w:szCs w:val="28"/>
        </w:rPr>
        <w:t>kWh</w:t>
      </w:r>
      <w:r>
        <w:rPr>
          <w:rFonts w:hint="eastAsia" w:ascii="宋体" w:hAnsi="宋体" w:eastAsia="宋体"/>
          <w:sz w:val="28"/>
          <w:szCs w:val="28"/>
        </w:rPr>
        <w:t>/</w:t>
      </w:r>
      <w:r>
        <w:rPr>
          <w:rFonts w:hint="eastAsia" w:ascii="Times New Roman" w:hAnsi="Times New Roman" w:eastAsia="宋体"/>
          <w:sz w:val="28"/>
          <w:szCs w:val="28"/>
        </w:rPr>
        <w:t>km</w:t>
      </w:r>
      <w:r>
        <w:rPr>
          <w:rFonts w:hint="eastAsia" w:ascii="宋体" w:hAnsi="宋体" w:eastAsia="宋体"/>
          <w:sz w:val="28"/>
          <w:szCs w:val="28"/>
        </w:rPr>
        <w:t>）</w:t>
      </w:r>
    </w:p>
    <w:p w14:paraId="37C0F0DD">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bookmarkStart w:id="23" w:name="_Toc170134110"/>
      <w:r>
        <w:rPr>
          <w:rFonts w:hint="eastAsia" w:cs="宋体"/>
          <w:b w:val="0"/>
          <w:bCs/>
          <w:spacing w:val="-5"/>
          <w:sz w:val="28"/>
          <w:szCs w:val="28"/>
          <w:lang w:val="en-US" w:eastAsia="zh-CN"/>
        </w:rPr>
        <w:t>7.4 减排场景排放</w:t>
      </w:r>
      <w:bookmarkEnd w:id="23"/>
      <w:r>
        <w:rPr>
          <w:rFonts w:hint="eastAsia" w:cs="宋体"/>
          <w:b w:val="0"/>
          <w:bCs/>
          <w:spacing w:val="-5"/>
          <w:sz w:val="28"/>
          <w:szCs w:val="28"/>
          <w:lang w:val="en-US" w:eastAsia="zh-CN"/>
        </w:rPr>
        <w:t>量计算</w:t>
      </w:r>
    </w:p>
    <w:p w14:paraId="7FE514A4">
      <w:pPr>
        <w:tabs>
          <w:tab w:val="left" w:pos="1269"/>
          <w:tab w:val="left" w:pos="1270"/>
        </w:tabs>
        <w:autoSpaceDE w:val="0"/>
        <w:autoSpaceDN w:val="0"/>
        <w:snapToGrid w:val="0"/>
        <w:spacing w:line="360" w:lineRule="auto"/>
        <w:ind w:firstLine="560" w:firstLineChars="200"/>
        <w:jc w:val="both"/>
        <w:rPr>
          <w:rFonts w:ascii="Times New Roman" w:hAnsi="Times New Roman" w:eastAsia="宋体" w:cs="Times New Roman"/>
          <w:kern w:val="0"/>
          <w:sz w:val="28"/>
          <w:szCs w:val="28"/>
        </w:rPr>
      </w:pPr>
      <w:r>
        <w:rPr>
          <w:rFonts w:hint="eastAsia" w:ascii="宋体" w:hAnsi="宋体" w:eastAsia="宋体"/>
          <w:sz w:val="28"/>
          <w:szCs w:val="28"/>
          <w:lang w:val="en-US" w:eastAsia="zh-CN"/>
        </w:rPr>
        <w:t>场景</w:t>
      </w:r>
      <w:r>
        <w:rPr>
          <w:rFonts w:hint="eastAsia" w:ascii="Times New Roman" w:hAnsi="Times New Roman" w:eastAsia="宋体" w:cs="Times New Roman"/>
          <w:kern w:val="0"/>
          <w:sz w:val="28"/>
          <w:szCs w:val="28"/>
        </w:rPr>
        <w:t>活动由</w:t>
      </w:r>
      <w:r>
        <w:rPr>
          <w:rFonts w:hint="eastAsia" w:ascii="宋体" w:hAnsi="宋体" w:eastAsia="宋体"/>
          <w:sz w:val="28"/>
          <w:szCs w:val="28"/>
          <w:lang w:val="en-US" w:eastAsia="zh-CN"/>
        </w:rPr>
        <w:t>场景</w:t>
      </w:r>
      <w:r>
        <w:rPr>
          <w:rFonts w:hint="eastAsia" w:ascii="Times New Roman" w:hAnsi="Times New Roman" w:eastAsia="宋体" w:cs="Times New Roman"/>
          <w:kern w:val="0"/>
          <w:sz w:val="28"/>
          <w:szCs w:val="28"/>
        </w:rPr>
        <w:t>车辆消耗的电力引起，计算方式如下：</w:t>
      </w:r>
    </w:p>
    <w:p w14:paraId="1255C6ED">
      <w:pPr>
        <w:tabs>
          <w:tab w:val="left" w:pos="1269"/>
          <w:tab w:val="left" w:pos="1270"/>
        </w:tabs>
        <w:autoSpaceDE w:val="0"/>
        <w:autoSpaceDN w:val="0"/>
        <w:snapToGrid w:val="0"/>
        <w:spacing w:line="360" w:lineRule="auto"/>
        <w:ind w:firstLine="560" w:firstLineChars="200"/>
        <w:jc w:val="right"/>
        <w:rPr>
          <w:rFonts w:ascii="Times New Roman" w:hAnsi="Times New Roman" w:eastAsia="宋体" w:cs="Times New Roman"/>
          <w:kern w:val="0"/>
          <w:sz w:val="28"/>
          <w:szCs w:val="28"/>
        </w:rPr>
      </w:pPr>
      <w:r>
        <w:rPr>
          <w:rFonts w:ascii="Times New Roman" w:hAnsi="Times New Roman" w:eastAsia="宋体" w:cs="Times New Roman"/>
          <w:kern w:val="0"/>
          <w:position w:val="-4"/>
          <w:sz w:val="28"/>
          <w:szCs w:val="28"/>
        </w:rPr>
        <w:object>
          <v:shape id="_x0000_i1038" o:spt="75" type="#_x0000_t75" style="height:14.25pt;width:9pt;" o:ole="t" filled="f" o:preferrelative="t" stroked="f" coordsize="21600,21600">
            <v:path/>
            <v:fill on="f" focussize="0,0"/>
            <v:stroke on="f" joinstyle="miter"/>
            <v:imagedata r:id="rId18" o:title=""/>
            <o:lock v:ext="edit" aspectratio="t"/>
            <w10:wrap type="none"/>
            <w10:anchorlock/>
          </v:shape>
          <o:OLEObject Type="Embed" ProgID="Equation.DSMT4" ShapeID="_x0000_i1038" DrawAspect="Content" ObjectID="_1468075738" r:id="rId33">
            <o:LockedField>false</o:LockedField>
          </o:OLEObject>
        </w:object>
      </w:r>
      <w:r>
        <w:rPr>
          <w:rFonts w:ascii="Times New Roman" w:hAnsi="Times New Roman" w:eastAsia="宋体" w:cs="Times New Roman"/>
          <w:kern w:val="0"/>
          <w:position w:val="-28"/>
          <w:sz w:val="28"/>
          <w:szCs w:val="28"/>
        </w:rPr>
        <w:object>
          <v:shape id="_x0000_i1039" o:spt="75" type="#_x0000_t75" style="height:27pt;width:175.5pt;" o:ole="t" filled="f" o:preferrelative="t" stroked="f" coordsize="21600,21600">
            <v:path/>
            <v:fill on="f" focussize="0,0"/>
            <v:stroke on="f" joinstyle="miter"/>
            <v:imagedata r:id="rId35" o:title=""/>
            <o:lock v:ext="edit" aspectratio="t"/>
            <w10:wrap type="none"/>
            <w10:anchorlock/>
          </v:shape>
          <o:OLEObject Type="Embed" ProgID="Equation.DSMT4" ShapeID="_x0000_i1039" DrawAspect="Content" ObjectID="_1468075739" r:id="rId34">
            <o:LockedField>false</o:LockedField>
          </o:OLEObject>
        </w:object>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ab/>
      </w:r>
      <w:r>
        <w:rPr>
          <w:rFonts w:hint="eastAsia" w:ascii="Times New Roman" w:hAnsi="Times New Roman" w:eastAsia="宋体" w:cs="Times New Roman"/>
          <w:kern w:val="0"/>
          <w:sz w:val="28"/>
          <w:szCs w:val="28"/>
          <w:lang w:eastAsia="zh-CN"/>
        </w:rPr>
        <w:t>(</w:t>
      </w:r>
      <w:r>
        <w:rPr>
          <w:rFonts w:hint="eastAsia" w:ascii="Times New Roman" w:hAnsi="Times New Roman" w:eastAsia="宋体" w:cs="Times New Roman"/>
          <w:kern w:val="0"/>
          <w:sz w:val="28"/>
          <w:szCs w:val="28"/>
        </w:rPr>
        <w:t>3</w:t>
      </w:r>
      <w:r>
        <w:rPr>
          <w:rFonts w:hint="eastAsia" w:ascii="Times New Roman" w:hAnsi="Times New Roman" w:eastAsia="宋体" w:cs="Times New Roman"/>
          <w:kern w:val="0"/>
          <w:sz w:val="28"/>
          <w:szCs w:val="28"/>
          <w:lang w:eastAsia="zh-CN"/>
        </w:rPr>
        <w:t>)</w:t>
      </w:r>
    </w:p>
    <w:p w14:paraId="7FBD2293">
      <w:pPr>
        <w:tabs>
          <w:tab w:val="left" w:pos="1269"/>
          <w:tab w:val="left" w:pos="1270"/>
        </w:tabs>
        <w:autoSpaceDE w:val="0"/>
        <w:autoSpaceDN w:val="0"/>
        <w:snapToGrid w:val="0"/>
        <w:spacing w:line="360" w:lineRule="auto"/>
        <w:ind w:firstLine="560" w:firstLineChars="200"/>
        <w:jc w:val="left"/>
        <w:rPr>
          <w:rFonts w:ascii="Times New Roman" w:hAnsi="Times New Roman" w:eastAsia="宋体" w:cs="Times New Roman"/>
          <w:kern w:val="0"/>
          <w:sz w:val="28"/>
          <w:szCs w:val="28"/>
        </w:rPr>
      </w:pPr>
      <w:r>
        <w:rPr>
          <w:rFonts w:hint="eastAsia" w:ascii="Times New Roman" w:hAnsi="Times New Roman" w:eastAsia="宋体" w:cs="Times New Roman"/>
          <w:kern w:val="0"/>
          <w:sz w:val="28"/>
          <w:szCs w:val="28"/>
        </w:rPr>
        <w:t>其中：</w:t>
      </w:r>
    </w:p>
    <w:p w14:paraId="15E44F40">
      <w:pPr>
        <w:tabs>
          <w:tab w:val="left" w:pos="1269"/>
          <w:tab w:val="left" w:pos="1270"/>
        </w:tabs>
        <w:autoSpaceDE w:val="0"/>
        <w:autoSpaceDN w:val="0"/>
        <w:snapToGrid w:val="0"/>
        <w:spacing w:line="360" w:lineRule="auto"/>
        <w:jc w:val="left"/>
        <w:rPr>
          <w:rFonts w:ascii="Times New Roman" w:hAnsi="Times New Roman" w:eastAsia="宋体" w:cs="Times New Roman"/>
          <w:kern w:val="0"/>
          <w:sz w:val="28"/>
          <w:szCs w:val="28"/>
        </w:rPr>
      </w:pPr>
      <w:r>
        <w:rPr>
          <w:rFonts w:ascii="Times New Roman" w:hAnsi="Times New Roman" w:eastAsia="宋体" w:cs="Times New Roman"/>
          <w:i/>
          <w:iCs/>
          <w:kern w:val="0"/>
          <w:position w:val="-12"/>
          <w:sz w:val="28"/>
          <w:szCs w:val="28"/>
        </w:rPr>
        <w:object>
          <v:shape id="_x0000_i1040" o:spt="75" type="#_x0000_t75" style="height:18pt;width:21pt;" o:ole="t" filled="f" o:preferrelative="t" stroked="f" coordsize="21600,21600">
            <v:path/>
            <v:fill on="f" focussize="0,0"/>
            <v:stroke on="f" joinstyle="miter"/>
            <v:imagedata r:id="rId37" o:title=""/>
            <o:lock v:ext="edit" aspectratio="t"/>
            <w10:wrap type="none"/>
            <w10:anchorlock/>
          </v:shape>
          <o:OLEObject Type="Embed" ProgID="Equation.DSMT4" ShapeID="_x0000_i1040" DrawAspect="Content" ObjectID="_1468075740" r:id="rId36">
            <o:LockedField>false</o:LockedField>
          </o:OLEObject>
        </w:object>
      </w:r>
      <w:r>
        <w:rPr>
          <w:rFonts w:ascii="Times New Roman" w:hAnsi="Times New Roman" w:eastAsia="宋体" w:cs="Times New Roman"/>
          <w:kern w:val="0"/>
          <w:sz w:val="28"/>
          <w:szCs w:val="28"/>
        </w:rPr>
        <w:t xml:space="preserve"> </w:t>
      </w:r>
      <w:r>
        <w:rPr>
          <w:rFonts w:ascii="Times New Roman" w:hAnsi="Times New Roman" w:eastAsia="宋体" w:cs="Times New Roman"/>
          <w:kern w:val="0"/>
          <w:sz w:val="28"/>
          <w:szCs w:val="28"/>
        </w:rPr>
        <w:tab/>
      </w:r>
      <w:r>
        <w:rPr>
          <w:rFonts w:hint="eastAsia" w:ascii="Times New Roman" w:hAnsi="Times New Roman" w:eastAsia="宋体" w:cs="Times New Roman"/>
          <w:i/>
          <w:iCs/>
          <w:kern w:val="0"/>
          <w:sz w:val="28"/>
          <w:szCs w:val="28"/>
        </w:rPr>
        <w:t xml:space="preserve">t </w:t>
      </w:r>
      <w:r>
        <w:rPr>
          <w:rFonts w:hint="eastAsia" w:ascii="Times New Roman" w:hAnsi="Times New Roman" w:eastAsia="宋体" w:cs="Times New Roman"/>
          <w:kern w:val="0"/>
          <w:sz w:val="28"/>
          <w:szCs w:val="28"/>
        </w:rPr>
        <w:t>日</w:t>
      </w:r>
      <w:r>
        <w:rPr>
          <w:rFonts w:hint="eastAsia" w:ascii="宋体" w:hAnsi="宋体" w:eastAsia="宋体" w:cs="宋体"/>
          <w:kern w:val="0"/>
          <w:sz w:val="28"/>
          <w:szCs w:val="28"/>
          <w:lang w:val="en-US" w:eastAsia="zh-CN"/>
        </w:rPr>
        <w:t>场景</w:t>
      </w:r>
      <w:r>
        <w:rPr>
          <w:rFonts w:ascii="Times New Roman" w:hAnsi="Times New Roman" w:eastAsia="宋体" w:cs="Times New Roman"/>
          <w:kern w:val="0"/>
          <w:sz w:val="28"/>
          <w:szCs w:val="28"/>
        </w:rPr>
        <w:t>活动产生的排放</w:t>
      </w:r>
      <w:r>
        <w:rPr>
          <w:rFonts w:hint="eastAsia" w:ascii="Times New Roman" w:hAnsi="Times New Roman" w:eastAsia="宋体" w:cs="Times New Roman"/>
          <w:kern w:val="0"/>
          <w:sz w:val="28"/>
          <w:szCs w:val="28"/>
        </w:rPr>
        <w:t>（kg</w:t>
      </w:r>
      <w:r>
        <w:rPr>
          <w:rFonts w:ascii="Times New Roman" w:hAnsi="Times New Roman" w:eastAsia="宋体" w:cs="Times New Roman"/>
          <w:kern w:val="0"/>
          <w:sz w:val="28"/>
          <w:szCs w:val="28"/>
        </w:rPr>
        <w:t>CO</w:t>
      </w:r>
      <w:r>
        <w:rPr>
          <w:rFonts w:ascii="Times New Roman" w:hAnsi="Times New Roman" w:eastAsia="宋体" w:cs="Times New Roman"/>
          <w:kern w:val="0"/>
          <w:sz w:val="28"/>
          <w:szCs w:val="28"/>
          <w:vertAlign w:val="subscript"/>
        </w:rPr>
        <w:t>2</w:t>
      </w:r>
      <w:r>
        <w:rPr>
          <w:rFonts w:hint="eastAsia" w:ascii="Times New Roman" w:hAnsi="Times New Roman" w:eastAsia="宋体" w:cs="Times New Roman"/>
          <w:kern w:val="0"/>
          <w:sz w:val="28"/>
          <w:szCs w:val="28"/>
        </w:rPr>
        <w:t>）</w:t>
      </w:r>
    </w:p>
    <w:p w14:paraId="72C108D0">
      <w:pPr>
        <w:tabs>
          <w:tab w:val="left" w:pos="1269"/>
          <w:tab w:val="left" w:pos="1270"/>
        </w:tabs>
        <w:autoSpaceDE w:val="0"/>
        <w:autoSpaceDN w:val="0"/>
        <w:snapToGrid w:val="0"/>
        <w:spacing w:line="360" w:lineRule="auto"/>
        <w:jc w:val="left"/>
        <w:rPr>
          <w:rFonts w:ascii="Times New Roman" w:hAnsi="Times New Roman" w:eastAsia="宋体" w:cs="Times New Roman"/>
          <w:kern w:val="0"/>
          <w:sz w:val="28"/>
          <w:szCs w:val="28"/>
        </w:rPr>
      </w:pPr>
      <w:r>
        <w:rPr>
          <w:rFonts w:ascii="Times New Roman" w:hAnsi="Times New Roman" w:eastAsia="宋体" w:cs="Times New Roman"/>
          <w:i/>
          <w:iCs/>
          <w:kern w:val="0"/>
          <w:position w:val="-12"/>
          <w:sz w:val="28"/>
          <w:szCs w:val="28"/>
        </w:rPr>
        <w:object>
          <v:shape id="_x0000_i1041" o:spt="75" type="#_x0000_t75" style="height:18pt;width:28.5pt;" o:ole="t" filled="f" o:preferrelative="t" stroked="f" coordsize="21600,21600">
            <v:path/>
            <v:fill on="f" focussize="0,0"/>
            <v:stroke on="f" joinstyle="miter"/>
            <v:imagedata r:id="rId39" o:title=""/>
            <o:lock v:ext="edit" aspectratio="t"/>
            <w10:wrap type="none"/>
            <w10:anchorlock/>
          </v:shape>
          <o:OLEObject Type="Embed" ProgID="Equation.DSMT4" ShapeID="_x0000_i1041" DrawAspect="Content" ObjectID="_1468075741" r:id="rId38">
            <o:LockedField>false</o:LockedField>
          </o:OLEObject>
        </w:object>
      </w:r>
      <w:r>
        <w:rPr>
          <w:rFonts w:ascii="Times New Roman" w:hAnsi="Times New Roman" w:eastAsia="宋体" w:cs="Times New Roman"/>
          <w:kern w:val="0"/>
          <w:sz w:val="28"/>
          <w:szCs w:val="28"/>
        </w:rPr>
        <w:tab/>
      </w:r>
      <w:r>
        <w:rPr>
          <w:rFonts w:hint="eastAsia" w:ascii="Times New Roman" w:hAnsi="Times New Roman" w:eastAsia="宋体" w:cs="Times New Roman"/>
          <w:kern w:val="0"/>
          <w:sz w:val="28"/>
          <w:szCs w:val="28"/>
          <w:lang w:val="en-US" w:eastAsia="zh-CN"/>
        </w:rPr>
        <w:t>电力二氧化碳</w:t>
      </w:r>
      <w:r>
        <w:rPr>
          <w:rFonts w:hint="eastAsia" w:ascii="Times New Roman" w:hAnsi="Times New Roman" w:eastAsia="宋体" w:cs="Times New Roman"/>
          <w:kern w:val="0"/>
          <w:sz w:val="28"/>
          <w:szCs w:val="28"/>
        </w:rPr>
        <w:t>排放因子（kg</w:t>
      </w:r>
      <w:r>
        <w:rPr>
          <w:rFonts w:ascii="Times New Roman" w:hAnsi="Times New Roman" w:eastAsia="宋体" w:cs="Times New Roman"/>
          <w:kern w:val="0"/>
          <w:sz w:val="28"/>
          <w:szCs w:val="28"/>
        </w:rPr>
        <w:t>CO</w:t>
      </w:r>
      <w:r>
        <w:rPr>
          <w:rFonts w:ascii="Times New Roman" w:hAnsi="Times New Roman" w:eastAsia="宋体" w:cs="Times New Roman"/>
          <w:kern w:val="0"/>
          <w:sz w:val="28"/>
          <w:szCs w:val="28"/>
          <w:vertAlign w:val="subscript"/>
        </w:rPr>
        <w:t>2</w:t>
      </w:r>
      <w:r>
        <w:rPr>
          <w:rFonts w:ascii="Times New Roman" w:hAnsi="Times New Roman" w:eastAsia="宋体" w:cs="Times New Roman"/>
          <w:kern w:val="0"/>
          <w:sz w:val="28"/>
          <w:szCs w:val="28"/>
        </w:rPr>
        <w:t>/</w:t>
      </w:r>
      <w:r>
        <w:rPr>
          <w:rFonts w:hint="eastAsia" w:ascii="Times New Roman" w:hAnsi="Times New Roman" w:eastAsia="宋体" w:cs="Times New Roman"/>
          <w:kern w:val="0"/>
          <w:sz w:val="28"/>
          <w:szCs w:val="28"/>
        </w:rPr>
        <w:t>k</w:t>
      </w:r>
      <w:r>
        <w:rPr>
          <w:rFonts w:ascii="Times New Roman" w:hAnsi="Times New Roman" w:eastAsia="宋体" w:cs="Times New Roman"/>
          <w:kern w:val="0"/>
          <w:sz w:val="28"/>
          <w:szCs w:val="28"/>
        </w:rPr>
        <w:t>Wh</w:t>
      </w:r>
      <w:r>
        <w:rPr>
          <w:rFonts w:hint="eastAsia" w:ascii="Times New Roman" w:hAnsi="Times New Roman" w:eastAsia="宋体" w:cs="Times New Roman"/>
          <w:kern w:val="0"/>
          <w:sz w:val="28"/>
          <w:szCs w:val="28"/>
        </w:rPr>
        <w:t>）</w:t>
      </w:r>
    </w:p>
    <w:p w14:paraId="727C0719">
      <w:pPr>
        <w:tabs>
          <w:tab w:val="left" w:pos="1269"/>
          <w:tab w:val="left" w:pos="1270"/>
        </w:tabs>
        <w:autoSpaceDE w:val="0"/>
        <w:autoSpaceDN w:val="0"/>
        <w:snapToGrid w:val="0"/>
        <w:spacing w:line="360" w:lineRule="auto"/>
        <w:jc w:val="left"/>
        <w:rPr>
          <w:rFonts w:hint="eastAsia" w:ascii="Times New Roman" w:hAnsi="Times New Roman" w:eastAsia="宋体" w:cs="Times New Roman"/>
          <w:kern w:val="0"/>
          <w:sz w:val="28"/>
          <w:szCs w:val="28"/>
        </w:rPr>
      </w:pPr>
      <w:r>
        <w:rPr>
          <w:rFonts w:ascii="Times New Roman" w:hAnsi="Times New Roman" w:eastAsia="宋体" w:cs="Times New Roman"/>
          <w:i/>
          <w:iCs/>
          <w:kern w:val="0"/>
          <w:position w:val="-12"/>
          <w:sz w:val="28"/>
          <w:szCs w:val="28"/>
        </w:rPr>
        <w:object>
          <v:shape id="_x0000_i1042" o:spt="75" type="#_x0000_t75" style="height:18pt;width:27pt;" o:ole="t" filled="f" o:preferrelative="t" stroked="f" coordsize="21600,21600">
            <v:path/>
            <v:fill on="f" focussize="0,0"/>
            <v:stroke on="f" joinstyle="miter"/>
            <v:imagedata r:id="rId41" o:title=""/>
            <o:lock v:ext="edit" aspectratio="t"/>
            <w10:wrap type="none"/>
            <w10:anchorlock/>
          </v:shape>
          <o:OLEObject Type="Embed" ProgID="Equation.DSMT4" ShapeID="_x0000_i1042" DrawAspect="Content" ObjectID="_1468075742" r:id="rId40">
            <o:LockedField>false</o:LockedField>
          </o:OLEObject>
        </w:object>
      </w:r>
      <w:r>
        <w:rPr>
          <w:rFonts w:ascii="Times New Roman" w:hAnsi="Times New Roman" w:eastAsia="宋体" w:cs="Times New Roman"/>
          <w:i/>
          <w:iCs/>
          <w:kern w:val="0"/>
          <w:sz w:val="28"/>
          <w:szCs w:val="28"/>
          <w:vertAlign w:val="subscript"/>
        </w:rPr>
        <w:tab/>
      </w:r>
      <w:r>
        <w:rPr>
          <w:rFonts w:hint="eastAsia" w:ascii="Times New Roman" w:hAnsi="Times New Roman" w:eastAsia="宋体" w:cs="Times New Roman"/>
          <w:kern w:val="0"/>
          <w:sz w:val="28"/>
          <w:szCs w:val="28"/>
        </w:rPr>
        <w:t>电动车辆充电的电力的技术传输与分配的平均损失（%）</w:t>
      </w:r>
    </w:p>
    <w:p w14:paraId="56A496E2">
      <w:pPr>
        <w:tabs>
          <w:tab w:val="left" w:pos="1269"/>
          <w:tab w:val="left" w:pos="1270"/>
        </w:tabs>
        <w:autoSpaceDE w:val="0"/>
        <w:autoSpaceDN w:val="0"/>
        <w:snapToGrid w:val="0"/>
        <w:spacing w:line="360" w:lineRule="auto"/>
        <w:jc w:val="left"/>
        <w:rPr>
          <w:rFonts w:ascii="Times New Roman" w:hAnsi="Times New Roman" w:eastAsia="宋体" w:cs="Times New Roman"/>
          <w:kern w:val="0"/>
          <w:sz w:val="28"/>
          <w:szCs w:val="28"/>
        </w:rPr>
      </w:pPr>
      <m:oMath>
        <m:r>
          <m:rPr/>
          <w:rPr>
            <w:rFonts w:ascii="Cambria Math" w:hAnsi="Cambria Math" w:eastAsia="宋体" w:cs="Times New Roman"/>
            <w:kern w:val="0"/>
            <w:sz w:val="28"/>
            <w:szCs w:val="28"/>
          </w:rPr>
          <m:t>E</m:t>
        </m:r>
        <m:sSub>
          <m:sSubPr>
            <m:ctrlPr>
              <w:rPr>
                <w:rFonts w:ascii="Cambria Math" w:hAnsi="Cambria Math" w:eastAsia="宋体" w:cs="Times New Roman"/>
                <w:kern w:val="0"/>
                <w:sz w:val="28"/>
                <w:szCs w:val="28"/>
              </w:rPr>
            </m:ctrlPr>
          </m:sSubPr>
          <m:e>
            <m:r>
              <m:rPr/>
              <w:rPr>
                <w:rFonts w:ascii="Cambria Math" w:hAnsi="Cambria Math" w:eastAsia="宋体" w:cs="Times New Roman"/>
                <w:kern w:val="0"/>
                <w:sz w:val="28"/>
                <w:szCs w:val="28"/>
              </w:rPr>
              <m:t>C</m:t>
            </m:r>
            <m:ctrlPr>
              <w:rPr>
                <w:rFonts w:ascii="Cambria Math" w:hAnsi="Cambria Math" w:eastAsia="宋体" w:cs="Times New Roman"/>
                <w:kern w:val="0"/>
                <w:sz w:val="28"/>
                <w:szCs w:val="28"/>
              </w:rPr>
            </m:ctrlPr>
          </m:e>
          <m:sub>
            <m:r>
              <m:rPr/>
              <w:rPr>
                <w:rFonts w:ascii="Cambria Math" w:hAnsi="Cambria Math" w:eastAsia="宋体" w:cs="Times New Roman"/>
                <w:kern w:val="0"/>
                <w:sz w:val="28"/>
                <w:szCs w:val="28"/>
              </w:rPr>
              <m:t>PJ,i,t</m:t>
            </m:r>
            <m:ctrlPr>
              <w:rPr>
                <w:rFonts w:ascii="Cambria Math" w:hAnsi="Cambria Math" w:eastAsia="宋体" w:cs="Times New Roman"/>
                <w:kern w:val="0"/>
                <w:sz w:val="28"/>
                <w:szCs w:val="28"/>
              </w:rPr>
            </m:ctrlPr>
          </m:sub>
        </m:sSub>
      </m:oMath>
      <w:r>
        <w:rPr>
          <w:rFonts w:ascii="Times New Roman" w:hAnsi="Times New Roman" w:eastAsia="宋体" w:cs="Times New Roman"/>
          <w:kern w:val="0"/>
          <w:sz w:val="28"/>
          <w:szCs w:val="28"/>
        </w:rPr>
        <w:tab/>
      </w:r>
      <w:r>
        <w:rPr>
          <w:rFonts w:hint="eastAsia" w:ascii="Times New Roman" w:hAnsi="Times New Roman" w:eastAsia="宋体" w:cs="Times New Roman"/>
          <w:i/>
          <w:iCs/>
          <w:kern w:val="0"/>
          <w:sz w:val="28"/>
          <w:szCs w:val="28"/>
        </w:rPr>
        <w:t>t</w:t>
      </w:r>
      <w:r>
        <w:rPr>
          <w:rFonts w:ascii="Times New Roman" w:hAnsi="Times New Roman" w:eastAsia="宋体" w:cs="Times New Roman"/>
          <w:kern w:val="0"/>
          <w:sz w:val="28"/>
          <w:szCs w:val="28"/>
        </w:rPr>
        <w:t xml:space="preserve"> </w:t>
      </w:r>
      <w:r>
        <w:rPr>
          <w:rFonts w:hint="eastAsia" w:ascii="Times New Roman" w:hAnsi="Times New Roman" w:eastAsia="宋体" w:cs="Times New Roman"/>
          <w:kern w:val="0"/>
          <w:sz w:val="28"/>
          <w:szCs w:val="28"/>
        </w:rPr>
        <w:t>日</w:t>
      </w:r>
      <w:r>
        <w:rPr>
          <w:rFonts w:ascii="Times New Roman" w:hAnsi="Times New Roman" w:eastAsia="宋体" w:cs="Times New Roman"/>
          <w:kern w:val="0"/>
          <w:sz w:val="28"/>
          <w:szCs w:val="28"/>
        </w:rPr>
        <w:t>充电桩为车型</w:t>
      </w:r>
      <w:r>
        <w:rPr>
          <w:rFonts w:hint="eastAsia" w:ascii="Times New Roman" w:hAnsi="Times New Roman" w:eastAsia="宋体" w:cs="Times New Roman"/>
          <w:kern w:val="0"/>
          <w:sz w:val="28"/>
          <w:szCs w:val="28"/>
        </w:rPr>
        <w:t xml:space="preserve"> </w:t>
      </w:r>
      <w:r>
        <w:rPr>
          <w:rFonts w:ascii="Times New Roman" w:hAnsi="Times New Roman" w:eastAsia="宋体" w:cs="Times New Roman"/>
          <w:i/>
          <w:iCs/>
          <w:kern w:val="0"/>
          <w:sz w:val="28"/>
          <w:szCs w:val="28"/>
        </w:rPr>
        <w:t>i</w:t>
      </w:r>
      <w:r>
        <w:rPr>
          <w:rFonts w:ascii="Times New Roman" w:hAnsi="Times New Roman" w:eastAsia="宋体" w:cs="Times New Roman"/>
          <w:kern w:val="0"/>
          <w:sz w:val="28"/>
          <w:szCs w:val="28"/>
        </w:rPr>
        <w:t xml:space="preserve"> 的</w:t>
      </w:r>
      <w:r>
        <w:rPr>
          <w:rFonts w:hint="eastAsia" w:ascii="宋体" w:hAnsi="宋体" w:eastAsia="宋体" w:cs="宋体"/>
          <w:kern w:val="0"/>
          <w:sz w:val="28"/>
          <w:szCs w:val="28"/>
          <w:lang w:val="en-US" w:eastAsia="zh-CN"/>
        </w:rPr>
        <w:t>场景</w:t>
      </w:r>
      <w:r>
        <w:rPr>
          <w:rFonts w:ascii="Times New Roman" w:hAnsi="Times New Roman" w:eastAsia="宋体" w:cs="Times New Roman"/>
          <w:kern w:val="0"/>
          <w:sz w:val="28"/>
          <w:szCs w:val="28"/>
        </w:rPr>
        <w:t>车辆的充电量</w:t>
      </w:r>
      <w:r>
        <w:rPr>
          <w:rFonts w:hint="eastAsia" w:ascii="Times New Roman" w:hAnsi="Times New Roman" w:eastAsia="宋体" w:cs="Times New Roman"/>
          <w:kern w:val="0"/>
          <w:sz w:val="28"/>
          <w:szCs w:val="28"/>
        </w:rPr>
        <w:t>（k</w:t>
      </w:r>
      <w:r>
        <w:rPr>
          <w:rFonts w:ascii="Times New Roman" w:hAnsi="Times New Roman" w:eastAsia="宋体" w:cs="Times New Roman"/>
          <w:kern w:val="0"/>
          <w:sz w:val="28"/>
          <w:szCs w:val="28"/>
        </w:rPr>
        <w:t>Wh</w:t>
      </w:r>
      <w:r>
        <w:rPr>
          <w:rFonts w:hint="eastAsia" w:ascii="Times New Roman" w:hAnsi="Times New Roman" w:eastAsia="宋体" w:cs="Times New Roman"/>
          <w:kern w:val="0"/>
          <w:sz w:val="28"/>
          <w:szCs w:val="28"/>
        </w:rPr>
        <w:t>）</w:t>
      </w:r>
    </w:p>
    <w:p w14:paraId="1B294DE2">
      <w:pPr>
        <w:tabs>
          <w:tab w:val="left" w:pos="1269"/>
          <w:tab w:val="left" w:pos="1270"/>
        </w:tabs>
        <w:autoSpaceDE w:val="0"/>
        <w:autoSpaceDN w:val="0"/>
        <w:snapToGrid w:val="0"/>
        <w:spacing w:line="360" w:lineRule="auto"/>
        <w:jc w:val="left"/>
        <w:rPr>
          <w:rFonts w:ascii="Times New Roman" w:hAnsi="Times New Roman" w:eastAsia="宋体" w:cs="Times New Roman"/>
          <w:kern w:val="0"/>
          <w:sz w:val="28"/>
          <w:szCs w:val="28"/>
        </w:rPr>
      </w:pPr>
      <w:r>
        <w:rPr>
          <w:rFonts w:ascii="Times New Roman" w:hAnsi="Times New Roman" w:eastAsia="宋体" w:cs="Times New Roman"/>
          <w:i/>
          <w:iCs/>
          <w:kern w:val="0"/>
          <w:position w:val="-6"/>
          <w:sz w:val="28"/>
          <w:szCs w:val="28"/>
        </w:rPr>
        <w:object>
          <v:shape id="_x0000_i1043" o:spt="75" type="#_x0000_t75" style="height:13.5pt;width:7.5pt;" o:ole="t" filled="f" o:preferrelative="t" stroked="f" coordsize="21600,21600">
            <v:path/>
            <v:fill on="f" focussize="0,0"/>
            <v:stroke on="f" joinstyle="miter"/>
            <v:imagedata r:id="rId43" o:title=""/>
            <o:lock v:ext="edit" aspectratio="t"/>
            <w10:wrap type="none"/>
            <w10:anchorlock/>
          </v:shape>
          <o:OLEObject Type="Embed" ProgID="Equation.DSMT4" ShapeID="_x0000_i1043" DrawAspect="Content" ObjectID="_1468075743" r:id="rId42">
            <o:LockedField>false</o:LockedField>
          </o:OLEObject>
        </w:object>
      </w:r>
      <w:r>
        <w:rPr>
          <w:rFonts w:ascii="Times New Roman" w:hAnsi="Times New Roman" w:eastAsia="宋体" w:cs="Times New Roman"/>
          <w:kern w:val="0"/>
          <w:sz w:val="28"/>
          <w:szCs w:val="28"/>
        </w:rPr>
        <w:tab/>
      </w:r>
      <w:r>
        <w:rPr>
          <w:rFonts w:ascii="Times New Roman" w:hAnsi="Times New Roman" w:eastAsia="宋体" w:cs="Times New Roman"/>
          <w:kern w:val="0"/>
          <w:sz w:val="28"/>
          <w:szCs w:val="28"/>
        </w:rPr>
        <w:t>车辆车型</w:t>
      </w:r>
    </w:p>
    <w:p w14:paraId="75757E3B">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bookmarkStart w:id="24" w:name="_Toc170134111"/>
      <w:r>
        <w:rPr>
          <w:rFonts w:hint="eastAsia" w:cs="宋体"/>
          <w:b w:val="0"/>
          <w:bCs/>
          <w:spacing w:val="-5"/>
          <w:sz w:val="28"/>
          <w:szCs w:val="28"/>
          <w:lang w:val="en-US" w:eastAsia="zh-CN"/>
        </w:rPr>
        <w:t>7.5 泄漏计算</w:t>
      </w:r>
    </w:p>
    <w:p w14:paraId="52392026">
      <w:pPr>
        <w:tabs>
          <w:tab w:val="left" w:pos="1269"/>
          <w:tab w:val="left" w:pos="1270"/>
        </w:tabs>
        <w:autoSpaceDE w:val="0"/>
        <w:autoSpaceDN w:val="0"/>
        <w:snapToGrid w:val="0"/>
        <w:spacing w:line="360" w:lineRule="auto"/>
        <w:ind w:firstLine="560" w:firstLineChars="200"/>
        <w:jc w:val="both"/>
        <w:rPr>
          <w:rFonts w:hint="eastAsia" w:ascii="宋体" w:hAnsi="宋体" w:eastAsia="宋体" w:cs="宋体"/>
          <w:kern w:val="0"/>
          <w:sz w:val="28"/>
          <w:szCs w:val="28"/>
          <w:lang w:val="en-US" w:eastAsia="zh-CN"/>
        </w:rPr>
      </w:pPr>
      <w:r>
        <w:rPr>
          <w:rFonts w:hint="eastAsia" w:ascii="宋体" w:hAnsi="宋体" w:eastAsia="宋体" w:cs="宋体"/>
          <w:kern w:val="0"/>
          <w:sz w:val="28"/>
          <w:szCs w:val="28"/>
        </w:rPr>
        <w:t>本方法学不考虑泄漏。</w:t>
      </w:r>
    </w:p>
    <w:p w14:paraId="3991C040">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eastAsia" w:cs="宋体"/>
          <w:b w:val="0"/>
          <w:bCs/>
          <w:spacing w:val="-5"/>
          <w:sz w:val="28"/>
          <w:szCs w:val="28"/>
          <w:lang w:val="en-US" w:eastAsia="zh-CN"/>
        </w:rPr>
        <w:t>7.6 减排量核算</w:t>
      </w:r>
    </w:p>
    <w:p w14:paraId="278939A2">
      <w:pPr>
        <w:tabs>
          <w:tab w:val="left" w:pos="1269"/>
          <w:tab w:val="left" w:pos="1270"/>
        </w:tabs>
        <w:autoSpaceDE w:val="0"/>
        <w:autoSpaceDN w:val="0"/>
        <w:snapToGrid w:val="0"/>
        <w:spacing w:line="360" w:lineRule="auto"/>
        <w:ind w:firstLine="560" w:firstLineChars="200"/>
        <w:jc w:val="both"/>
        <w:rPr>
          <w:rFonts w:hint="eastAsia" w:ascii="宋体" w:hAnsi="宋体" w:eastAsia="宋体" w:cs="宋体"/>
          <w:kern w:val="0"/>
          <w:sz w:val="28"/>
          <w:szCs w:val="28"/>
        </w:rPr>
      </w:pPr>
      <w:r>
        <w:rPr>
          <w:rFonts w:hint="eastAsia" w:ascii="宋体" w:hAnsi="宋体" w:eastAsia="宋体" w:cs="宋体"/>
          <w:kern w:val="0"/>
          <w:sz w:val="28"/>
          <w:szCs w:val="28"/>
        </w:rPr>
        <w:t>根据基准线情景和</w:t>
      </w:r>
      <w:r>
        <w:rPr>
          <w:rFonts w:hint="eastAsia" w:ascii="宋体" w:hAnsi="宋体" w:eastAsia="宋体" w:cs="宋体"/>
          <w:kern w:val="0"/>
          <w:sz w:val="28"/>
          <w:szCs w:val="28"/>
          <w:lang w:val="en-US" w:eastAsia="zh-CN"/>
        </w:rPr>
        <w:t>场景</w:t>
      </w:r>
      <w:r>
        <w:rPr>
          <w:rFonts w:hint="eastAsia" w:ascii="宋体" w:hAnsi="宋体" w:eastAsia="宋体" w:cs="宋体"/>
          <w:kern w:val="0"/>
          <w:sz w:val="28"/>
          <w:szCs w:val="28"/>
        </w:rPr>
        <w:t>排放计算充电行为碳排放，则减排量为：</w:t>
      </w:r>
    </w:p>
    <w:p w14:paraId="5674C248">
      <w:pPr>
        <w:jc w:val="right"/>
        <w:rPr>
          <w:rFonts w:hint="eastAsia" w:ascii="宋体" w:hAnsi="宋体" w:eastAsia="宋体"/>
          <w:sz w:val="28"/>
          <w:szCs w:val="28"/>
        </w:rPr>
      </w:pPr>
      <m:oMath>
        <m:r>
          <m:rPr/>
          <w:rPr>
            <w:rFonts w:hint="default" w:ascii="Cambria Math" w:hAnsi="Cambria Math"/>
            <w:sz w:val="28"/>
          </w:rPr>
          <m:t>E</m:t>
        </m:r>
        <m:sSub>
          <m:sSubPr>
            <m:ctrlPr>
              <w:rPr>
                <w:rFonts w:hint="default" w:ascii="Cambria Math" w:hAnsi="Cambria Math"/>
                <w:sz w:val="28"/>
              </w:rPr>
            </m:ctrlPr>
          </m:sSubPr>
          <m:e>
            <m:r>
              <m:rPr/>
              <w:rPr>
                <w:rFonts w:hint="default" w:ascii="Cambria Math" w:hAnsi="Cambria Math"/>
                <w:sz w:val="28"/>
              </w:rPr>
              <m:t>R</m:t>
            </m:r>
            <m:ctrlPr>
              <w:rPr>
                <w:rFonts w:ascii="Cambria Math" w:hAnsi="Cambria Math"/>
                <w:sz w:val="28"/>
              </w:rPr>
            </m:ctrlPr>
          </m:e>
          <m:sub>
            <m:r>
              <m:rPr/>
              <w:rPr>
                <w:rFonts w:hint="default" w:ascii="Cambria Math" w:hAnsi="Cambria Math"/>
                <w:sz w:val="28"/>
              </w:rPr>
              <m:t>t</m:t>
            </m:r>
            <m:ctrlPr>
              <w:rPr>
                <w:rFonts w:ascii="Cambria Math" w:hAnsi="Cambria Math"/>
                <w:sz w:val="28"/>
              </w:rPr>
            </m:ctrlPr>
          </m:sub>
        </m:sSub>
        <m:r>
          <m:rPr/>
          <w:rPr>
            <w:rFonts w:hint="default" w:ascii="Cambria Math" w:hAnsi="Cambria Math"/>
            <w:sz w:val="28"/>
          </w:rPr>
          <m:t>=B</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lang w:val="en-US" w:eastAsia="zh-CN"/>
              </w:rPr>
              <m:t>t</m:t>
            </m:r>
            <m:ctrlPr>
              <w:rPr>
                <w:rFonts w:ascii="Cambria Math" w:hAnsi="Cambria Math"/>
                <w:sz w:val="28"/>
              </w:rPr>
            </m:ctrlPr>
          </m:sub>
        </m:sSub>
        <m:r>
          <m:rPr/>
          <w:rPr>
            <w:rFonts w:hint="default" w:ascii="Cambria Math" w:hAnsi="Cambria Math"/>
            <w:sz w:val="28"/>
          </w:rPr>
          <m:t>−P</m:t>
        </m:r>
        <m:sSub>
          <m:sSubPr>
            <m:ctrlPr>
              <w:rPr>
                <w:rFonts w:hint="default" w:ascii="Cambria Math" w:hAnsi="Cambria Math"/>
                <w:sz w:val="28"/>
              </w:rPr>
            </m:ctrlPr>
          </m:sSubPr>
          <m:e>
            <m:r>
              <m:rPr/>
              <w:rPr>
                <w:rFonts w:hint="default" w:ascii="Cambria Math" w:hAnsi="Cambria Math"/>
                <w:sz w:val="28"/>
              </w:rPr>
              <m:t>E</m:t>
            </m:r>
            <m:ctrlPr>
              <w:rPr>
                <w:rFonts w:ascii="Cambria Math" w:hAnsi="Cambria Math"/>
                <w:sz w:val="28"/>
              </w:rPr>
            </m:ctrlPr>
          </m:e>
          <m:sub>
            <m:r>
              <m:rPr/>
              <w:rPr>
                <w:rFonts w:hint="default" w:ascii="Cambria Math" w:hAnsi="Cambria Math"/>
                <w:sz w:val="28"/>
                <w:lang w:val="en-US" w:eastAsia="zh-CN"/>
              </w:rPr>
              <m:t>t</m:t>
            </m:r>
            <m:ctrlPr>
              <w:rPr>
                <w:rFonts w:ascii="Cambria Math" w:hAnsi="Cambria Math"/>
                <w:sz w:val="28"/>
              </w:rPr>
            </m:ctrlPr>
          </m:sub>
        </m:sSub>
      </m:oMath>
      <w:r>
        <w:rPr>
          <w:rFonts w:ascii="宋体" w:hAnsi="宋体" w:eastAsia="宋体"/>
          <w:sz w:val="28"/>
          <w:szCs w:val="28"/>
        </w:rPr>
        <w:tab/>
      </w:r>
      <w:r>
        <w:rPr>
          <w:rFonts w:ascii="宋体" w:hAnsi="宋体" w:eastAsia="宋体"/>
          <w:sz w:val="28"/>
          <w:szCs w:val="28"/>
        </w:rPr>
        <w:tab/>
      </w:r>
      <w:r>
        <w:rPr>
          <w:rFonts w:hint="eastAsia" w:ascii="宋体" w:hAnsi="宋体" w:eastAsia="宋体"/>
          <w:sz w:val="28"/>
          <w:szCs w:val="28"/>
          <w:lang w:val="en-US" w:eastAsia="zh-CN"/>
        </w:rPr>
        <w:t xml:space="preserve">       </w:t>
      </w:r>
      <w:r>
        <w:rPr>
          <w:rFonts w:ascii="宋体" w:hAnsi="宋体" w:eastAsia="宋体"/>
          <w:sz w:val="28"/>
          <w:szCs w:val="28"/>
        </w:rPr>
        <w:tab/>
      </w:r>
      <w:r>
        <w:rPr>
          <w:rFonts w:ascii="宋体" w:hAnsi="宋体" w:eastAsia="宋体"/>
          <w:sz w:val="28"/>
          <w:szCs w:val="28"/>
        </w:rPr>
        <w:tab/>
      </w:r>
      <w:r>
        <w:rPr>
          <w:rFonts w:ascii="宋体" w:hAnsi="宋体" w:eastAsia="宋体"/>
          <w:sz w:val="28"/>
          <w:szCs w:val="28"/>
        </w:rPr>
        <w:tab/>
      </w:r>
      <w:r>
        <w:rPr>
          <w:rFonts w:hint="eastAsia" w:ascii="宋体" w:hAnsi="宋体" w:eastAsia="宋体"/>
          <w:sz w:val="28"/>
          <w:szCs w:val="28"/>
          <w:lang w:eastAsia="zh-CN"/>
        </w:rPr>
        <w:t>(</w:t>
      </w:r>
      <w:r>
        <w:rPr>
          <w:rFonts w:hint="eastAsia" w:ascii="Times New Roman" w:hAnsi="Times New Roman" w:eastAsia="宋体"/>
          <w:sz w:val="28"/>
          <w:szCs w:val="28"/>
          <w:lang w:val="en-US" w:eastAsia="zh-CN"/>
        </w:rPr>
        <w:t>4)</w:t>
      </w:r>
    </w:p>
    <w:p w14:paraId="63B756C2">
      <w:pPr>
        <w:tabs>
          <w:tab w:val="left" w:pos="1269"/>
          <w:tab w:val="left" w:pos="1270"/>
        </w:tabs>
        <w:autoSpaceDE w:val="0"/>
        <w:autoSpaceDN w:val="0"/>
        <w:snapToGrid w:val="0"/>
        <w:spacing w:line="360" w:lineRule="auto"/>
        <w:jc w:val="left"/>
        <w:rPr>
          <w:rFonts w:hint="eastAsia" w:ascii="Times New Roman" w:hAnsi="Times New Roman" w:eastAsia="宋体" w:cs="Times New Roman"/>
          <w:kern w:val="0"/>
          <w:sz w:val="28"/>
          <w:szCs w:val="28"/>
          <w:lang w:eastAsia="zh-CN"/>
        </w:rPr>
      </w:pPr>
      <m:oMath>
        <m:sSub>
          <m:sSubPr>
            <m:ctrlPr>
              <w:rPr>
                <w:rFonts w:hint="default" w:ascii="Cambria Math" w:hAnsi="Cambria Math"/>
                <w:sz w:val="28"/>
              </w:rPr>
            </m:ctrlPr>
          </m:sSubPr>
          <m:e>
            <m:r>
              <m:rPr/>
              <w:rPr>
                <w:rFonts w:hint="default" w:ascii="Cambria Math" w:hAnsi="Cambria Math"/>
                <w:sz w:val="28"/>
              </w:rPr>
              <m:t>E</m:t>
            </m:r>
            <m:r>
              <m:rPr/>
              <w:rPr>
                <w:rFonts w:hint="default" w:ascii="Cambria Math" w:hAnsi="Cambria Math"/>
                <w:sz w:val="28"/>
                <w:lang w:val="en-US" w:eastAsia="zh-CN"/>
              </w:rPr>
              <m:t>R</m:t>
            </m:r>
            <m:ctrlPr>
              <w:rPr>
                <w:rFonts w:ascii="Cambria Math" w:hAnsi="Cambria Math"/>
                <w:sz w:val="28"/>
              </w:rPr>
            </m:ctrlPr>
          </m:e>
          <m:sub>
            <m:r>
              <m:rPr/>
              <w:rPr>
                <w:rFonts w:hint="default" w:ascii="Cambria Math" w:hAnsi="Cambria Math"/>
                <w:sz w:val="28"/>
              </w:rPr>
              <m:t>t</m:t>
            </m:r>
            <m:ctrlPr>
              <w:rPr>
                <w:rFonts w:ascii="Cambria Math" w:hAnsi="Cambria Math"/>
                <w:sz w:val="28"/>
              </w:rPr>
            </m:ctrlPr>
          </m:sub>
        </m:sSub>
      </m:oMath>
      <w:r>
        <w:rPr>
          <w:rFonts w:ascii="Times New Roman" w:hAnsi="Times New Roman" w:eastAsia="宋体" w:cs="Times New Roman"/>
          <w:kern w:val="0"/>
          <w:sz w:val="28"/>
          <w:szCs w:val="28"/>
        </w:rPr>
        <w:t xml:space="preserve"> </w:t>
      </w:r>
      <w:r>
        <w:rPr>
          <w:rFonts w:ascii="Times New Roman" w:hAnsi="Times New Roman" w:eastAsia="宋体" w:cs="Times New Roman"/>
          <w:kern w:val="0"/>
          <w:sz w:val="28"/>
          <w:szCs w:val="28"/>
        </w:rPr>
        <w:tab/>
      </w:r>
      <w:r>
        <w:rPr>
          <w:rFonts w:hint="eastAsia" w:ascii="Times New Roman" w:hAnsi="Times New Roman" w:eastAsia="宋体" w:cs="Times New Roman"/>
          <w:i/>
          <w:iCs/>
          <w:kern w:val="0"/>
          <w:sz w:val="28"/>
          <w:szCs w:val="28"/>
        </w:rPr>
        <w:t xml:space="preserve">t </w:t>
      </w:r>
      <w:r>
        <w:rPr>
          <w:rFonts w:hint="eastAsia" w:ascii="Times New Roman" w:hAnsi="Times New Roman" w:eastAsia="宋体" w:cs="Times New Roman"/>
          <w:kern w:val="0"/>
          <w:sz w:val="28"/>
          <w:szCs w:val="28"/>
        </w:rPr>
        <w:t>日</w:t>
      </w:r>
      <w:r>
        <w:rPr>
          <w:rFonts w:hint="eastAsia" w:ascii="宋体" w:hAnsi="宋体" w:eastAsia="宋体" w:cs="宋体"/>
          <w:kern w:val="0"/>
          <w:sz w:val="28"/>
          <w:szCs w:val="28"/>
          <w:lang w:val="en-US" w:eastAsia="zh-CN"/>
        </w:rPr>
        <w:t>场景</w:t>
      </w:r>
      <w:r>
        <w:rPr>
          <w:rFonts w:ascii="Times New Roman" w:hAnsi="Times New Roman" w:eastAsia="宋体" w:cs="Times New Roman"/>
          <w:kern w:val="0"/>
          <w:sz w:val="28"/>
          <w:szCs w:val="28"/>
        </w:rPr>
        <w:t>活动产生的</w:t>
      </w:r>
      <w:r>
        <w:rPr>
          <w:rFonts w:hint="eastAsia" w:ascii="Times New Roman" w:hAnsi="Times New Roman" w:eastAsia="宋体" w:cs="Times New Roman"/>
          <w:kern w:val="0"/>
          <w:sz w:val="28"/>
          <w:szCs w:val="28"/>
          <w:lang w:val="en-US" w:eastAsia="zh-CN"/>
        </w:rPr>
        <w:t>减排量</w:t>
      </w:r>
      <w:r>
        <w:rPr>
          <w:rFonts w:hint="eastAsia" w:ascii="Times New Roman" w:hAnsi="Times New Roman" w:eastAsia="宋体" w:cs="Times New Roman"/>
          <w:kern w:val="0"/>
          <w:sz w:val="28"/>
          <w:szCs w:val="28"/>
        </w:rPr>
        <w:t>（kg</w:t>
      </w:r>
      <w:r>
        <w:rPr>
          <w:rFonts w:ascii="Times New Roman" w:hAnsi="Times New Roman" w:eastAsia="宋体" w:cs="Times New Roman"/>
          <w:kern w:val="0"/>
          <w:sz w:val="28"/>
          <w:szCs w:val="28"/>
        </w:rPr>
        <w:t>CO</w:t>
      </w:r>
      <w:r>
        <w:rPr>
          <w:rFonts w:ascii="Times New Roman" w:hAnsi="Times New Roman" w:eastAsia="宋体" w:cs="Times New Roman"/>
          <w:kern w:val="0"/>
          <w:sz w:val="28"/>
          <w:szCs w:val="28"/>
          <w:vertAlign w:val="subscript"/>
        </w:rPr>
        <w:t>2</w:t>
      </w:r>
      <w:r>
        <w:rPr>
          <w:rFonts w:hint="eastAsia" w:ascii="Times New Roman" w:hAnsi="Times New Roman" w:eastAsia="宋体" w:cs="Times New Roman"/>
          <w:kern w:val="0"/>
          <w:sz w:val="28"/>
          <w:szCs w:val="28"/>
        </w:rPr>
        <w:t>）</w:t>
      </w:r>
      <w:r>
        <w:rPr>
          <w:rFonts w:hint="eastAsia" w:ascii="Times New Roman" w:hAnsi="Times New Roman" w:eastAsia="宋体" w:cs="Times New Roman"/>
          <w:kern w:val="0"/>
          <w:sz w:val="28"/>
          <w:szCs w:val="28"/>
          <w:lang w:eastAsia="zh-CN"/>
        </w:rPr>
        <w:t>。</w:t>
      </w:r>
    </w:p>
    <w:bookmarkEnd w:id="24"/>
    <w:p w14:paraId="788AE6EA">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bookmarkStart w:id="25" w:name="_Toc170134112"/>
      <w:bookmarkStart w:id="26" w:name="_Toc23878"/>
      <w:r>
        <w:rPr>
          <w:rFonts w:hint="eastAsia" w:ascii="黑体" w:hAnsi="黑体" w:eastAsia="黑体" w:cs="黑体"/>
          <w:b w:val="0"/>
          <w:bCs w:val="0"/>
          <w:spacing w:val="-2"/>
          <w:w w:val="95"/>
          <w:kern w:val="0"/>
          <w:sz w:val="28"/>
          <w:szCs w:val="28"/>
          <w:lang w:val="en-US" w:eastAsia="zh-CN"/>
        </w:rPr>
        <w:t>数据来源及监测</w:t>
      </w:r>
      <w:bookmarkEnd w:id="25"/>
      <w:bookmarkEnd w:id="26"/>
    </w:p>
    <w:p w14:paraId="03C9A3A3">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8.1 减排场景设计阶段确定的参数和数据</w:t>
      </w:r>
    </w:p>
    <w:p w14:paraId="5B068F8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场景设计阶段需确定的参数和数据的技术内容和确定方法见表2到表8。</w:t>
      </w:r>
    </w:p>
    <w:p w14:paraId="61A0939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jc w:val="center"/>
        <w:textAlignment w:val="auto"/>
        <w:rPr>
          <w:rFonts w:hint="default" w:ascii="黑体" w:hAnsi="黑体" w:eastAsia="黑体" w:cs="黑体"/>
          <w:kern w:val="0"/>
          <w:sz w:val="24"/>
          <w:szCs w:val="24"/>
          <w:lang w:val="en-US" w:eastAsia="zh-CN"/>
        </w:rPr>
      </w:pPr>
      <w:r>
        <w:rPr>
          <w:rFonts w:hint="eastAsia" w:ascii="黑体" w:hAnsi="黑体" w:eastAsia="黑体" w:cs="黑体"/>
          <w:kern w:val="0"/>
          <w:sz w:val="24"/>
          <w:szCs w:val="24"/>
          <w:lang w:val="en-US" w:eastAsia="zh-CN"/>
        </w:rPr>
        <w:t xml:space="preserve">表2  </w:t>
      </w:r>
      <w:r>
        <w:rPr>
          <w:rFonts w:hint="default" w:ascii="Times New Roman" w:hAnsi="Times New Roman" w:eastAsia="黑体" w:cs="Times New Roman"/>
          <w:i/>
          <w:iCs/>
          <w:kern w:val="0"/>
          <w:sz w:val="24"/>
          <w:szCs w:val="24"/>
        </w:rPr>
        <w:t>TDLi</w:t>
      </w:r>
      <w:r>
        <w:rPr>
          <w:rFonts w:hint="eastAsia" w:ascii="黑体" w:hAnsi="黑体" w:eastAsia="黑体" w:cs="黑体"/>
          <w:kern w:val="0"/>
          <w:sz w:val="24"/>
          <w:szCs w:val="24"/>
        </w:rPr>
        <w:t>的技术内容和确定方法</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4E24D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699744CE">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6B37938F">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eastAsia" w:ascii="Times New Roman" w:hAnsi="Times New Roman" w:eastAsia="宋体" w:cs="Times New Roman"/>
                <w:i/>
                <w:iCs/>
                <w:kern w:val="0"/>
                <w:sz w:val="24"/>
                <w:szCs w:val="24"/>
              </w:rPr>
              <w:t>TDL</w:t>
            </w:r>
            <w:r>
              <w:rPr>
                <w:rFonts w:hint="eastAsia" w:ascii="Times New Roman" w:hAnsi="Times New Roman" w:eastAsia="宋体" w:cs="Times New Roman"/>
                <w:i/>
                <w:iCs/>
                <w:kern w:val="0"/>
                <w:sz w:val="24"/>
                <w:szCs w:val="24"/>
                <w:vertAlign w:val="subscript"/>
              </w:rPr>
              <w:t>i</w:t>
            </w:r>
          </w:p>
        </w:tc>
      </w:tr>
      <w:tr w14:paraId="35A59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16BBA618">
            <w:pPr>
              <w:tabs>
                <w:tab w:val="left" w:pos="1269"/>
                <w:tab w:val="left" w:pos="1270"/>
              </w:tabs>
              <w:autoSpaceDE w:val="0"/>
              <w:autoSpaceDN w:val="0"/>
              <w:snapToGrid w:val="0"/>
              <w:spacing w:line="276" w:lineRule="auto"/>
              <w:jc w:val="left"/>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应用的公式编号</w:t>
            </w:r>
          </w:p>
        </w:tc>
        <w:tc>
          <w:tcPr>
            <w:tcW w:w="6357" w:type="dxa"/>
            <w:vAlign w:val="center"/>
          </w:tcPr>
          <w:p w14:paraId="4E523D8A">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(3)</w:t>
            </w:r>
          </w:p>
        </w:tc>
      </w:tr>
      <w:tr w14:paraId="40B9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68AE91C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0C1C9CD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电动车辆充电的技术传输与分配的平均损失</w:t>
            </w:r>
          </w:p>
        </w:tc>
      </w:tr>
      <w:tr w14:paraId="3AE1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A3FC31B">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7F1B90AD">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w:t>
            </w:r>
          </w:p>
        </w:tc>
      </w:tr>
      <w:tr w14:paraId="42F71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trPr>
        <w:tc>
          <w:tcPr>
            <w:tcW w:w="1939" w:type="dxa"/>
            <w:vAlign w:val="center"/>
          </w:tcPr>
          <w:p w14:paraId="16B48A3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7AD676AA">
            <w:pPr>
              <w:pStyle w:val="26"/>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采用国家权威机构公布值；</w:t>
            </w:r>
          </w:p>
          <w:p w14:paraId="2727F538">
            <w:pPr>
              <w:pStyle w:val="26"/>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根据</w:t>
            </w:r>
            <w:r>
              <w:rPr>
                <w:rFonts w:hint="eastAsia" w:ascii="Times New Roman" w:hAnsi="Times New Roman" w:eastAsia="宋体" w:cs="Times New Roman"/>
                <w:kern w:val="0"/>
                <w:sz w:val="24"/>
                <w:szCs w:val="24"/>
                <w:lang w:eastAsia="zh-CN"/>
              </w:rPr>
              <w:t>CDM-EB Tool05 电力消耗导致的基准线、项目和/或泄漏排放计算工具</w:t>
            </w:r>
            <w:r>
              <w:rPr>
                <w:rFonts w:hint="eastAsia" w:ascii="Times New Roman" w:hAnsi="Times New Roman" w:eastAsia="宋体" w:cs="Times New Roman"/>
                <w:kern w:val="0"/>
                <w:sz w:val="24"/>
                <w:szCs w:val="24"/>
                <w:lang w:val="en-US" w:eastAsia="zh-CN"/>
              </w:rPr>
              <w:t>场景</w:t>
            </w:r>
            <w:r>
              <w:rPr>
                <w:rFonts w:hint="eastAsia" w:ascii="Times New Roman" w:hAnsi="Times New Roman" w:eastAsia="宋体" w:cs="Times New Roman"/>
                <w:kern w:val="0"/>
                <w:sz w:val="24"/>
                <w:szCs w:val="24"/>
              </w:rPr>
              <w:t>排放计算场景缺省值</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20%</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w:t>
            </w:r>
          </w:p>
        </w:tc>
      </w:tr>
    </w:tbl>
    <w:p w14:paraId="66731DC4">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表3 </w:t>
      </w:r>
      <w:r>
        <w:rPr>
          <w:rFonts w:ascii="宋体" w:hAnsi="宋体" w:eastAsia="宋体"/>
          <w:position w:val="-14"/>
          <w:sz w:val="24"/>
          <w:szCs w:val="24"/>
        </w:rPr>
        <w:object>
          <v:shape id="_x0000_i1044" o:spt="75" type="#_x0000_t75" style="height:19.5pt;width:42pt;" o:ole="t" filled="f" o:preferrelative="t" stroked="f" coordsize="21600,21600">
            <v:path/>
            <v:fill on="f" focussize="0,0"/>
            <v:stroke on="f" joinstyle="miter"/>
            <v:imagedata r:id="rId30" o:title=""/>
            <o:lock v:ext="edit" aspectratio="t"/>
            <w10:wrap type="none"/>
            <w10:anchorlock/>
          </v:shape>
          <o:OLEObject Type="Embed" ProgID="Equation.DSMT4" ShapeID="_x0000_i1044" DrawAspect="Content" ObjectID="_1468075744" r:id="rId44">
            <o:LockedField>false</o:LockedField>
          </o:OLEObject>
        </w:objec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58EA5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77BEF7D1">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74360F00">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宋体" w:hAnsi="宋体" w:eastAsia="宋体"/>
                <w:position w:val="-14"/>
                <w:sz w:val="24"/>
                <w:szCs w:val="24"/>
              </w:rPr>
              <w:object>
                <v:shape id="_x0000_i1045" o:spt="75" type="#_x0000_t75" style="height:19.5pt;width:42pt;" o:ole="t" filled="f" o:preferrelative="t" stroked="f" coordsize="21600,21600">
                  <v:path/>
                  <v:fill on="f" focussize="0,0"/>
                  <v:stroke on="f" joinstyle="miter"/>
                  <v:imagedata r:id="rId30" o:title=""/>
                  <o:lock v:ext="edit" aspectratio="t"/>
                  <w10:wrap type="none"/>
                  <w10:anchorlock/>
                </v:shape>
                <o:OLEObject Type="Embed" ProgID="Equation.DSMT4" ShapeID="_x0000_i1045" DrawAspect="Content" ObjectID="_1468075745" r:id="rId45">
                  <o:LockedField>false</o:LockedField>
                </o:OLEObject>
              </w:object>
            </w:r>
          </w:p>
        </w:tc>
      </w:tr>
      <w:tr w14:paraId="2058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31759020">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应用的公式编号</w:t>
            </w:r>
          </w:p>
        </w:tc>
        <w:tc>
          <w:tcPr>
            <w:tcW w:w="6357" w:type="dxa"/>
            <w:vAlign w:val="center"/>
          </w:tcPr>
          <w:p w14:paraId="0626FA3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2)</w:t>
            </w:r>
          </w:p>
        </w:tc>
      </w:tr>
      <w:tr w14:paraId="06DA9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939" w:type="dxa"/>
            <w:vAlign w:val="center"/>
          </w:tcPr>
          <w:p w14:paraId="07C1316C">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1991BBB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highlight w:val="none"/>
              </w:rPr>
              <w:t xml:space="preserve">车辆车型为 </w:t>
            </w:r>
            <w:r>
              <w:rPr>
                <w:rFonts w:hint="eastAsia" w:ascii="Times New Roman" w:hAnsi="Times New Roman" w:eastAsia="宋体" w:cs="Times New Roman"/>
                <w:i/>
                <w:iCs/>
                <w:kern w:val="0"/>
                <w:sz w:val="24"/>
                <w:szCs w:val="24"/>
                <w:highlight w:val="none"/>
              </w:rPr>
              <w:t xml:space="preserve">i </w:t>
            </w:r>
            <w:r>
              <w:rPr>
                <w:rFonts w:hint="eastAsia" w:ascii="Times New Roman" w:hAnsi="Times New Roman" w:eastAsia="宋体" w:cs="Times New Roman"/>
                <w:kern w:val="0"/>
                <w:sz w:val="24"/>
                <w:szCs w:val="24"/>
                <w:highlight w:val="none"/>
              </w:rPr>
              <w:t>的基准</w:t>
            </w:r>
            <w:r>
              <w:rPr>
                <w:rFonts w:hint="eastAsia" w:ascii="Times New Roman" w:hAnsi="Times New Roman" w:eastAsia="宋体" w:cs="Times New Roman"/>
                <w:kern w:val="0"/>
                <w:sz w:val="24"/>
                <w:szCs w:val="24"/>
              </w:rPr>
              <w:t>线的单位里程油耗</w:t>
            </w:r>
          </w:p>
        </w:tc>
      </w:tr>
      <w:tr w14:paraId="55F16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939" w:type="dxa"/>
            <w:shd w:val="clear" w:color="auto" w:fill="auto"/>
            <w:vAlign w:val="center"/>
          </w:tcPr>
          <w:p w14:paraId="28C098D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26BEBDB6">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kg化石燃料/km</w:t>
            </w:r>
          </w:p>
        </w:tc>
      </w:tr>
      <w:tr w14:paraId="219F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7" w:hRule="atLeast"/>
        </w:trPr>
        <w:tc>
          <w:tcPr>
            <w:tcW w:w="1939" w:type="dxa"/>
            <w:vAlign w:val="center"/>
          </w:tcPr>
          <w:p w14:paraId="0ABD0F4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11FFFA9A">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基准线单位里程油耗通过以下顺序进行选择：</w:t>
            </w:r>
          </w:p>
          <w:p w14:paraId="243D9753">
            <w:pPr>
              <w:pStyle w:val="26"/>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国家权威机构、交通行业等的公布值；</w:t>
            </w:r>
          </w:p>
          <w:p w14:paraId="69E31986">
            <w:pPr>
              <w:pStyle w:val="26"/>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制造厂商设计值；</w:t>
            </w:r>
          </w:p>
          <w:p w14:paraId="485729BB">
            <w:pPr>
              <w:pStyle w:val="26"/>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学术研究数据；</w:t>
            </w:r>
          </w:p>
          <w:p w14:paraId="52E8D508">
            <w:pPr>
              <w:pStyle w:val="26"/>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IPCC或者其他国家默认值；</w:t>
            </w:r>
          </w:p>
          <w:p w14:paraId="4941758A">
            <w:pPr>
              <w:pStyle w:val="26"/>
              <w:numPr>
                <w:ilvl w:val="2"/>
                <w:numId w:val="2"/>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相同路线基准线车辆的单位里程油耗；</w:t>
            </w:r>
          </w:p>
          <w:p w14:paraId="6F46FC9B">
            <w:pPr>
              <w:pStyle w:val="26"/>
              <w:numPr>
                <w:ilvl w:val="2"/>
                <w:numId w:val="2"/>
              </w:numPr>
              <w:tabs>
                <w:tab w:val="left" w:pos="463"/>
              </w:tabs>
              <w:autoSpaceDE w:val="0"/>
              <w:autoSpaceDN w:val="0"/>
              <w:snapToGrid w:val="0"/>
              <w:spacing w:line="276" w:lineRule="auto"/>
              <w:ind w:left="463" w:hanging="425" w:firstLineChars="0"/>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抽样确定。抽样车辆采样应参照适用的最新版本的“</w:t>
            </w:r>
            <w:r>
              <w:rPr>
                <w:rFonts w:hint="eastAsia" w:ascii="Times New Roman" w:hAnsi="Times New Roman" w:eastAsia="宋体" w:cs="Times New Roman"/>
                <w:kern w:val="0"/>
                <w:sz w:val="24"/>
                <w:szCs w:val="24"/>
                <w:lang w:val="en-US" w:eastAsia="zh-CN"/>
              </w:rPr>
              <w:t>场景</w:t>
            </w:r>
            <w:r>
              <w:rPr>
                <w:rFonts w:hint="eastAsia" w:ascii="Times New Roman" w:hAnsi="Times New Roman" w:eastAsia="宋体" w:cs="Times New Roman"/>
                <w:kern w:val="0"/>
                <w:sz w:val="24"/>
                <w:szCs w:val="24"/>
              </w:rPr>
              <w:t>活动和规划活动的采样和调查指南”。</w:t>
            </w:r>
          </w:p>
          <w:p w14:paraId="1155BF79">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对于（e）</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（f）选项，对照组必须在车龄（相同或更新）、交通状况（相同或更好）、荷载（相同或更多）和空调具有类似或连续的特性。</w:t>
            </w:r>
          </w:p>
        </w:tc>
      </w:tr>
    </w:tbl>
    <w:p w14:paraId="7F8F10D9">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表4 </w:t>
      </w:r>
      <w:r>
        <w:rPr>
          <w:rFonts w:ascii="宋体" w:hAnsi="宋体" w:eastAsia="宋体"/>
          <w:position w:val="-14"/>
          <w:sz w:val="24"/>
          <w:szCs w:val="24"/>
        </w:rPr>
        <w:object>
          <v:shape id="_x0000_i1046" o:spt="75" type="#_x0000_t75" style="height:19.5pt;width:40.5pt;" o:ole="t" filled="f" o:preferrelative="t" stroked="f" coordsize="21600,21600">
            <v:path/>
            <v:fill on="f" focussize="0,0"/>
            <v:stroke on="f" joinstyle="miter"/>
            <v:imagedata r:id="rId32" o:title=""/>
            <o:lock v:ext="edit" aspectratio="t"/>
            <w10:wrap type="none"/>
            <w10:anchorlock/>
          </v:shape>
          <o:OLEObject Type="Embed" ProgID="Equation.DSMT4" ShapeID="_x0000_i1046" DrawAspect="Content" ObjectID="_1468075746" r:id="rId46">
            <o:LockedField>false</o:LockedField>
          </o:OLEObject>
        </w:objec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08AE1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2A2A6AF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3857503D">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宋体" w:hAnsi="宋体" w:eastAsia="宋体"/>
                <w:position w:val="-14"/>
                <w:sz w:val="24"/>
                <w:szCs w:val="24"/>
              </w:rPr>
              <w:object>
                <v:shape id="_x0000_i1047" o:spt="75" type="#_x0000_t75" style="height:19.5pt;width:40.5pt;" o:ole="t" filled="f" o:preferrelative="t" stroked="f" coordsize="21600,21600">
                  <v:path/>
                  <v:fill on="f" focussize="0,0"/>
                  <v:stroke on="f" joinstyle="miter"/>
                  <v:imagedata r:id="rId32" o:title=""/>
                  <o:lock v:ext="edit" aspectratio="t"/>
                  <w10:wrap type="none"/>
                  <w10:anchorlock/>
                </v:shape>
                <o:OLEObject Type="Embed" ProgID="Equation.DSMT4" ShapeID="_x0000_i1047" DrawAspect="Content" ObjectID="_1468075747" r:id="rId47">
                  <o:LockedField>false</o:LockedField>
                </o:OLEObject>
              </w:object>
            </w:r>
          </w:p>
        </w:tc>
      </w:tr>
      <w:tr w14:paraId="749A4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99AF95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57" w:type="dxa"/>
            <w:vAlign w:val="center"/>
          </w:tcPr>
          <w:p w14:paraId="695B74BC">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2)</w:t>
            </w:r>
          </w:p>
        </w:tc>
      </w:tr>
      <w:tr w14:paraId="14377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5DCD1EA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211DEDC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宋体" w:hAnsi="宋体" w:eastAsia="宋体" w:cs="宋体"/>
                <w:kern w:val="0"/>
                <w:sz w:val="28"/>
                <w:szCs w:val="28"/>
                <w:lang w:val="en-US" w:eastAsia="zh-CN"/>
              </w:rPr>
              <w:t>场景</w:t>
            </w:r>
            <w:r>
              <w:rPr>
                <w:rFonts w:hint="eastAsia" w:ascii="Times New Roman" w:hAnsi="Times New Roman" w:eastAsia="宋体" w:cs="Times New Roman"/>
                <w:kern w:val="0"/>
                <w:sz w:val="24"/>
                <w:szCs w:val="24"/>
              </w:rPr>
              <w:t>车辆车型</w:t>
            </w:r>
            <w:r>
              <w:rPr>
                <w:rFonts w:hint="eastAsia" w:ascii="Times New Roman" w:hAnsi="Times New Roman" w:eastAsia="宋体" w:cs="Times New Roman"/>
                <w:i/>
                <w:iCs/>
                <w:kern w:val="0"/>
                <w:sz w:val="24"/>
                <w:szCs w:val="24"/>
              </w:rPr>
              <w:t>i</w:t>
            </w:r>
            <w:r>
              <w:rPr>
                <w:rFonts w:hint="eastAsia" w:ascii="Times New Roman" w:hAnsi="Times New Roman" w:eastAsia="宋体" w:cs="Times New Roman"/>
                <w:kern w:val="0"/>
                <w:sz w:val="24"/>
                <w:szCs w:val="24"/>
              </w:rPr>
              <w:t>单位里程电力消耗</w:t>
            </w:r>
          </w:p>
        </w:tc>
      </w:tr>
      <w:tr w14:paraId="6C653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CCB9474">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34074D3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kWh/km</w:t>
            </w:r>
          </w:p>
        </w:tc>
      </w:tr>
      <w:tr w14:paraId="4AD5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2EE221A7">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3431D66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基准线单位里程油耗通过以下顺序进行选择：</w:t>
            </w:r>
          </w:p>
          <w:p w14:paraId="76FA822E">
            <w:pPr>
              <w:pStyle w:val="26"/>
              <w:numPr>
                <w:ilvl w:val="2"/>
                <w:numId w:val="3"/>
              </w:numPr>
              <w:tabs>
                <w:tab w:val="left" w:pos="463"/>
              </w:tabs>
              <w:autoSpaceDE w:val="0"/>
              <w:autoSpaceDN w:val="0"/>
              <w:snapToGrid w:val="0"/>
              <w:spacing w:line="276" w:lineRule="auto"/>
              <w:ind w:hanging="1231"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国家权威机构、交通行业等的公布值；</w:t>
            </w:r>
          </w:p>
          <w:p w14:paraId="03612656">
            <w:pPr>
              <w:pStyle w:val="26"/>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制造厂商设计值；</w:t>
            </w:r>
          </w:p>
          <w:p w14:paraId="41085C07">
            <w:pPr>
              <w:pStyle w:val="26"/>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学术研究数据；</w:t>
            </w:r>
          </w:p>
          <w:p w14:paraId="78BF4784">
            <w:pPr>
              <w:pStyle w:val="26"/>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IPCC或者其他国家默认值；</w:t>
            </w:r>
          </w:p>
          <w:p w14:paraId="5D277E06">
            <w:pPr>
              <w:pStyle w:val="26"/>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对</w:t>
            </w:r>
            <w:r>
              <w:rPr>
                <w:rFonts w:hint="eastAsia" w:ascii="Times New Roman" w:hAnsi="Times New Roman" w:eastAsia="宋体" w:cs="Times New Roman"/>
                <w:kern w:val="0"/>
                <w:sz w:val="24"/>
                <w:szCs w:val="24"/>
                <w:lang w:val="en-US" w:eastAsia="zh-CN"/>
              </w:rPr>
              <w:t>场景</w:t>
            </w:r>
            <w:r>
              <w:rPr>
                <w:rFonts w:hint="eastAsia" w:ascii="Times New Roman" w:hAnsi="Times New Roman" w:eastAsia="宋体" w:cs="Times New Roman"/>
                <w:kern w:val="0"/>
                <w:sz w:val="24"/>
                <w:szCs w:val="24"/>
              </w:rPr>
              <w:t>车辆采用抽样方式确定，抽样车辆采样应参照适用的最新版本的“</w:t>
            </w:r>
            <w:r>
              <w:rPr>
                <w:rFonts w:hint="eastAsia" w:ascii="Times New Roman" w:hAnsi="Times New Roman" w:eastAsia="宋体" w:cs="Times New Roman"/>
                <w:kern w:val="0"/>
                <w:sz w:val="24"/>
                <w:szCs w:val="24"/>
                <w:lang w:val="en-US" w:eastAsia="zh-CN"/>
              </w:rPr>
              <w:t>场景</w:t>
            </w:r>
            <w:r>
              <w:rPr>
                <w:rFonts w:hint="eastAsia" w:ascii="Times New Roman" w:hAnsi="Times New Roman" w:eastAsia="宋体" w:cs="Times New Roman"/>
                <w:kern w:val="0"/>
                <w:sz w:val="24"/>
                <w:szCs w:val="24"/>
              </w:rPr>
              <w:t>活动和规划活动的采样和调查指南”；</w:t>
            </w:r>
          </w:p>
          <w:p w14:paraId="4F1A9BBF">
            <w:pPr>
              <w:pStyle w:val="26"/>
              <w:numPr>
                <w:ilvl w:val="2"/>
                <w:numId w:val="3"/>
              </w:numPr>
              <w:tabs>
                <w:tab w:val="left" w:pos="463"/>
              </w:tabs>
              <w:autoSpaceDE w:val="0"/>
              <w:autoSpaceDN w:val="0"/>
              <w:snapToGrid w:val="0"/>
              <w:spacing w:line="276" w:lineRule="auto"/>
              <w:ind w:left="463" w:hanging="425" w:firstLineChars="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监测所有</w:t>
            </w:r>
            <w:r>
              <w:rPr>
                <w:rFonts w:hint="eastAsia" w:ascii="Times New Roman" w:hAnsi="Times New Roman" w:eastAsia="宋体" w:cs="Times New Roman"/>
                <w:kern w:val="0"/>
                <w:sz w:val="24"/>
                <w:szCs w:val="24"/>
                <w:lang w:val="en-US" w:eastAsia="zh-CN"/>
              </w:rPr>
              <w:t>场景</w:t>
            </w:r>
            <w:r>
              <w:rPr>
                <w:rFonts w:hint="eastAsia" w:ascii="Times New Roman" w:hAnsi="Times New Roman" w:eastAsia="宋体" w:cs="Times New Roman"/>
                <w:kern w:val="0"/>
                <w:sz w:val="24"/>
                <w:szCs w:val="24"/>
              </w:rPr>
              <w:t xml:space="preserve">车辆的电力消耗和运行里程，计算车辆车型 </w:t>
            </w:r>
            <w:r>
              <w:rPr>
                <w:rFonts w:hint="eastAsia" w:ascii="Times New Roman" w:hAnsi="Times New Roman" w:eastAsia="宋体" w:cs="Times New Roman"/>
                <w:i/>
                <w:iCs/>
                <w:kern w:val="0"/>
                <w:sz w:val="24"/>
                <w:szCs w:val="24"/>
              </w:rPr>
              <w:t>i</w:t>
            </w:r>
            <w:r>
              <w:rPr>
                <w:rFonts w:hint="eastAsia" w:ascii="Times New Roman" w:hAnsi="Times New Roman" w:eastAsia="宋体" w:cs="Times New Roman"/>
                <w:kern w:val="0"/>
                <w:sz w:val="24"/>
                <w:szCs w:val="24"/>
              </w:rPr>
              <w:t xml:space="preserve"> 的平均单位里程电力消耗。</w:t>
            </w:r>
          </w:p>
        </w:tc>
      </w:tr>
      <w:tr w14:paraId="1E3BB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09186C1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监测程序</w:t>
            </w:r>
          </w:p>
        </w:tc>
        <w:tc>
          <w:tcPr>
            <w:tcW w:w="6357" w:type="dxa"/>
            <w:vAlign w:val="center"/>
          </w:tcPr>
          <w:p w14:paraId="08F79C81">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如果采用选项（f），所有</w:t>
            </w:r>
            <w:r>
              <w:rPr>
                <w:rFonts w:hint="eastAsia" w:ascii="Times New Roman" w:hAnsi="Times New Roman" w:eastAsia="宋体" w:cs="Times New Roman"/>
                <w:kern w:val="0"/>
                <w:sz w:val="24"/>
                <w:szCs w:val="24"/>
                <w:lang w:val="en-US" w:eastAsia="zh-CN"/>
              </w:rPr>
              <w:t>场景</w:t>
            </w:r>
            <w:r>
              <w:rPr>
                <w:rFonts w:hint="eastAsia" w:ascii="Times New Roman" w:hAnsi="Times New Roman" w:eastAsia="宋体" w:cs="Times New Roman"/>
                <w:kern w:val="0"/>
                <w:sz w:val="24"/>
                <w:szCs w:val="24"/>
              </w:rPr>
              <w:t>车辆的电力消耗监测程序见12.2的监测参数表。车辆里程数据采用里程表读数，与行驶日志或</w:t>
            </w:r>
            <w:r>
              <w:rPr>
                <w:rFonts w:ascii="Times New Roman" w:hAnsi="Times New Roman" w:eastAsia="宋体" w:cs="Times New Roman"/>
                <w:kern w:val="0"/>
                <w:sz w:val="24"/>
                <w:szCs w:val="24"/>
              </w:rPr>
              <w:t>GPS信息进行交叉检查。</w:t>
            </w:r>
          </w:p>
        </w:tc>
      </w:tr>
    </w:tbl>
    <w:p w14:paraId="043899F3">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表5 </w:t>
      </w:r>
      <w:r>
        <w:rPr>
          <w:rFonts w:ascii="宋体" w:hAnsi="宋体" w:eastAsia="宋体"/>
          <w:position w:val="-14"/>
          <w:sz w:val="24"/>
          <w:szCs w:val="24"/>
        </w:rPr>
        <w:object>
          <v:shape id="_x0000_i1048" o:spt="75" type="#_x0000_t75" style="height:19.5pt;width:44.25pt;" o:ole="t" filled="f" o:preferrelative="t" stroked="f" coordsize="21600,21600">
            <v:path/>
            <v:fill on="f" focussize="0,0"/>
            <v:stroke on="f" joinstyle="miter"/>
            <v:imagedata r:id="rId16" o:title=""/>
            <o:lock v:ext="edit" aspectratio="t"/>
            <w10:wrap type="none"/>
            <w10:anchorlock/>
          </v:shape>
          <o:OLEObject Type="Embed" ProgID="Equation.DSMT4" ShapeID="_x0000_i1048" DrawAspect="Content" ObjectID="_1468075748" r:id="rId48">
            <o:LockedField>false</o:LockedField>
          </o:OLEObject>
        </w:objec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5AC9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C68DB8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5DBA9A97">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宋体" w:hAnsi="宋体" w:eastAsia="宋体"/>
                <w:position w:val="-14"/>
                <w:sz w:val="24"/>
                <w:szCs w:val="24"/>
              </w:rPr>
              <w:object>
                <v:shape id="_x0000_i1049" o:spt="75" type="#_x0000_t75" style="height:19.5pt;width:44.25pt;" o:ole="t" filled="f" o:preferrelative="t" stroked="f" coordsize="21600,21600">
                  <v:path/>
                  <v:fill on="f" focussize="0,0"/>
                  <v:stroke on="f" joinstyle="miter"/>
                  <v:imagedata r:id="rId16" o:title=""/>
                  <o:lock v:ext="edit" aspectratio="t"/>
                  <w10:wrap type="none"/>
                  <w10:anchorlock/>
                </v:shape>
                <o:OLEObject Type="Embed" ProgID="Equation.DSMT4" ShapeID="_x0000_i1049" DrawAspect="Content" ObjectID="_1468075749" r:id="rId49">
                  <o:LockedField>false</o:LockedField>
                </o:OLEObject>
              </w:object>
            </w:r>
          </w:p>
        </w:tc>
      </w:tr>
      <w:tr w14:paraId="2848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DE2A8B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7B708FC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56E21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6E36F425">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4D4122D5">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车型为</w:t>
            </w:r>
            <w:r>
              <w:rPr>
                <w:rFonts w:hint="eastAsia" w:ascii="Times New Roman" w:hAnsi="Times New Roman" w:eastAsia="宋体" w:cs="Times New Roman"/>
                <w:i/>
                <w:iCs/>
                <w:kern w:val="0"/>
                <w:sz w:val="24"/>
                <w:szCs w:val="24"/>
              </w:rPr>
              <w:t>i</w:t>
            </w:r>
            <w:r>
              <w:rPr>
                <w:rFonts w:hint="eastAsia" w:ascii="Times New Roman" w:hAnsi="Times New Roman" w:eastAsia="宋体" w:cs="Times New Roman"/>
                <w:kern w:val="0"/>
                <w:sz w:val="24"/>
                <w:szCs w:val="24"/>
              </w:rPr>
              <w:t>的基准线车辆消耗燃料的净热值</w:t>
            </w:r>
          </w:p>
        </w:tc>
      </w:tr>
      <w:tr w14:paraId="518C9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BFFB8B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12941F2F">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sz w:val="24"/>
                <w:szCs w:val="24"/>
              </w:rPr>
              <w:t>MJ</w:t>
            </w:r>
            <w:r>
              <w:rPr>
                <w:rFonts w:hint="eastAsia" w:ascii="宋体" w:hAnsi="宋体" w:eastAsia="宋体"/>
                <w:sz w:val="24"/>
                <w:szCs w:val="24"/>
              </w:rPr>
              <w:t>/</w:t>
            </w:r>
            <w:r>
              <w:rPr>
                <w:rFonts w:hint="eastAsia" w:ascii="Times New Roman" w:hAnsi="Times New Roman" w:eastAsia="宋体"/>
                <w:sz w:val="24"/>
                <w:szCs w:val="24"/>
              </w:rPr>
              <w:t>kg</w:t>
            </w:r>
            <w:r>
              <w:rPr>
                <w:rFonts w:hint="eastAsia" w:ascii="宋体" w:hAnsi="宋体" w:eastAsia="宋体"/>
                <w:sz w:val="24"/>
                <w:szCs w:val="24"/>
              </w:rPr>
              <w:t>化石燃料</w:t>
            </w:r>
          </w:p>
        </w:tc>
      </w:tr>
      <w:tr w14:paraId="3E67B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3A420B1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12B17F27">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国家文献数据或IPCC缺省值</w:t>
            </w:r>
          </w:p>
        </w:tc>
      </w:tr>
    </w:tbl>
    <w:p w14:paraId="416DE72D">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表6 </w:t>
      </w:r>
      <w:r>
        <w:rPr>
          <w:rFonts w:ascii="宋体" w:hAnsi="宋体" w:eastAsia="宋体"/>
          <w:position w:val="-14"/>
          <w:sz w:val="24"/>
          <w:szCs w:val="24"/>
        </w:rPr>
        <w:object>
          <v:shape id="_x0000_i1050" o:spt="75" type="#_x0000_t75" style="height:19.5pt;width:36pt;" o:ole="t" filled="f" o:preferrelative="t" stroked="f" coordsize="21600,21600">
            <v:path/>
            <v:fill on="f" focussize="0,0"/>
            <v:stroke on="f" joinstyle="miter"/>
            <v:imagedata r:id="rId20" o:title=""/>
            <o:lock v:ext="edit" aspectratio="t"/>
            <w10:wrap type="none"/>
            <w10:anchorlock/>
          </v:shape>
          <o:OLEObject Type="Embed" ProgID="Equation.DSMT4" ShapeID="_x0000_i1050" DrawAspect="Content" ObjectID="_1468075750" r:id="rId50">
            <o:LockedField>false</o:LockedField>
          </o:OLEObject>
        </w:objec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498C7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33C364F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6A047F17">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宋体" w:hAnsi="宋体" w:eastAsia="宋体"/>
                <w:position w:val="-14"/>
                <w:sz w:val="24"/>
                <w:szCs w:val="24"/>
              </w:rPr>
              <w:object>
                <v:shape id="_x0000_i1051" o:spt="75" type="#_x0000_t75" style="height:19.5pt;width:36pt;" o:ole="t" filled="f" o:preferrelative="t" stroked="f" coordsize="21600,21600">
                  <v:path/>
                  <v:fill on="f" focussize="0,0"/>
                  <v:stroke on="f" joinstyle="miter"/>
                  <v:imagedata r:id="rId20" o:title=""/>
                  <o:lock v:ext="edit" aspectratio="t"/>
                  <w10:wrap type="none"/>
                  <w10:anchorlock/>
                </v:shape>
                <o:OLEObject Type="Embed" ProgID="Equation.DSMT4" ShapeID="_x0000_i1051" DrawAspect="Content" ObjectID="_1468075751" r:id="rId51">
                  <o:LockedField>false</o:LockedField>
                </o:OLEObject>
              </w:object>
            </w:r>
          </w:p>
        </w:tc>
      </w:tr>
      <w:tr w14:paraId="442F9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2C41FAF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57" w:type="dxa"/>
            <w:vAlign w:val="center"/>
          </w:tcPr>
          <w:p w14:paraId="7A450075">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5414B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704B8619">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1C646F76">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车型为</w:t>
            </w:r>
            <w:r>
              <w:rPr>
                <w:rFonts w:hint="eastAsia" w:ascii="Times New Roman" w:hAnsi="Times New Roman" w:eastAsia="宋体" w:cs="Times New Roman"/>
                <w:i/>
                <w:iCs/>
                <w:kern w:val="0"/>
                <w:sz w:val="24"/>
                <w:szCs w:val="24"/>
              </w:rPr>
              <w:t>i</w:t>
            </w:r>
            <w:r>
              <w:rPr>
                <w:rFonts w:hint="eastAsia" w:ascii="Times New Roman" w:hAnsi="Times New Roman" w:eastAsia="宋体" w:cs="Times New Roman"/>
                <w:kern w:val="0"/>
                <w:sz w:val="24"/>
                <w:szCs w:val="24"/>
              </w:rPr>
              <w:t>的基准线车辆消耗燃料的CO</w:t>
            </w:r>
            <w:r>
              <w:rPr>
                <w:rFonts w:hint="eastAsia" w:ascii="Times New Roman" w:hAnsi="Times New Roman" w:eastAsia="宋体" w:cs="Times New Roman"/>
                <w:kern w:val="0"/>
                <w:sz w:val="24"/>
                <w:szCs w:val="24"/>
                <w:vertAlign w:val="subscript"/>
              </w:rPr>
              <w:t>2</w:t>
            </w:r>
            <w:r>
              <w:rPr>
                <w:rFonts w:hint="eastAsia" w:ascii="Times New Roman" w:hAnsi="Times New Roman" w:eastAsia="宋体" w:cs="Times New Roman"/>
                <w:kern w:val="0"/>
                <w:sz w:val="24"/>
                <w:szCs w:val="24"/>
              </w:rPr>
              <w:t>排放因子</w:t>
            </w:r>
          </w:p>
        </w:tc>
      </w:tr>
      <w:tr w14:paraId="55E9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939" w:type="dxa"/>
            <w:shd w:val="clear" w:color="auto" w:fill="auto"/>
            <w:vAlign w:val="center"/>
          </w:tcPr>
          <w:p w14:paraId="7C0D66E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3FDD5F0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sz w:val="24"/>
                <w:szCs w:val="24"/>
              </w:rPr>
              <w:t>kgCO</w:t>
            </w:r>
            <w:r>
              <w:rPr>
                <w:rFonts w:hint="eastAsia" w:ascii="Times New Roman" w:hAnsi="Times New Roman" w:eastAsia="宋体"/>
                <w:sz w:val="24"/>
                <w:szCs w:val="24"/>
                <w:vertAlign w:val="subscript"/>
              </w:rPr>
              <w:t>2</w:t>
            </w:r>
            <w:r>
              <w:rPr>
                <w:rFonts w:hint="eastAsia" w:ascii="宋体" w:hAnsi="宋体" w:eastAsia="宋体"/>
                <w:sz w:val="24"/>
                <w:szCs w:val="24"/>
              </w:rPr>
              <w:t>/</w:t>
            </w:r>
            <w:r>
              <w:rPr>
                <w:rFonts w:hint="eastAsia" w:ascii="Times New Roman" w:hAnsi="Times New Roman" w:eastAsia="宋体"/>
                <w:sz w:val="24"/>
                <w:szCs w:val="24"/>
              </w:rPr>
              <w:t>MJ</w:t>
            </w:r>
          </w:p>
        </w:tc>
      </w:tr>
      <w:tr w14:paraId="1C224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939" w:type="dxa"/>
            <w:vAlign w:val="center"/>
          </w:tcPr>
          <w:p w14:paraId="39CE3F05">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38547BE8">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国家文献数据或IPCC缺省值</w:t>
            </w:r>
          </w:p>
        </w:tc>
      </w:tr>
    </w:tbl>
    <w:p w14:paraId="567E753D">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表7  </w:t>
      </w:r>
      <w:r>
        <w:rPr>
          <w:rFonts w:hint="eastAsia" w:ascii="Times New Roman" w:hAnsi="Times New Roman" w:eastAsia="宋体" w:cs="Times New Roman"/>
          <w:i/>
          <w:iCs/>
          <w:kern w:val="0"/>
          <w:sz w:val="24"/>
          <w:szCs w:val="24"/>
        </w:rPr>
        <w:t>IR</w: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9"/>
        <w:gridCol w:w="6357"/>
      </w:tblGrid>
      <w:tr w14:paraId="1D55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6EB3C8DA">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57" w:type="dxa"/>
            <w:vAlign w:val="center"/>
          </w:tcPr>
          <w:p w14:paraId="022D4251">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hint="eastAsia" w:ascii="Times New Roman" w:hAnsi="Times New Roman" w:eastAsia="宋体" w:cs="Times New Roman"/>
                <w:i/>
                <w:iCs/>
                <w:kern w:val="0"/>
                <w:sz w:val="24"/>
                <w:szCs w:val="24"/>
              </w:rPr>
              <w:t>IR</w:t>
            </w:r>
          </w:p>
        </w:tc>
      </w:tr>
      <w:tr w14:paraId="73226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0263E6C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57" w:type="dxa"/>
            <w:vAlign w:val="center"/>
          </w:tcPr>
          <w:p w14:paraId="4D989F41">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p>
        </w:tc>
      </w:tr>
      <w:tr w14:paraId="5FD95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09E3669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57" w:type="dxa"/>
            <w:vAlign w:val="center"/>
          </w:tcPr>
          <w:p w14:paraId="73E2D384">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基准线车辆技术改进因子 </w:t>
            </w:r>
          </w:p>
        </w:tc>
      </w:tr>
      <w:tr w14:paraId="03970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shd w:val="clear" w:color="auto" w:fill="auto"/>
            <w:vAlign w:val="center"/>
          </w:tcPr>
          <w:p w14:paraId="11949545">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57" w:type="dxa"/>
            <w:shd w:val="clear" w:color="auto" w:fill="auto"/>
            <w:vAlign w:val="center"/>
          </w:tcPr>
          <w:p w14:paraId="0B147CF9">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w:t>
            </w:r>
          </w:p>
        </w:tc>
      </w:tr>
      <w:tr w14:paraId="4D24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9" w:type="dxa"/>
            <w:vAlign w:val="center"/>
          </w:tcPr>
          <w:p w14:paraId="31201F0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57" w:type="dxa"/>
            <w:vAlign w:val="center"/>
          </w:tcPr>
          <w:p w14:paraId="38526CCA">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技术进步率应用于每一日历年。对于基准线所有车辆车型来说其技术改进因子的缺省值为0.99。</w:t>
            </w:r>
          </w:p>
        </w:tc>
      </w:tr>
    </w:tbl>
    <w:p w14:paraId="747025C0">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表8 </w:t>
      </w:r>
      <w:r>
        <w:rPr>
          <w:rFonts w:ascii="Times New Roman" w:hAnsi="Times New Roman" w:eastAsia="宋体" w:cs="Times New Roman"/>
          <w:i/>
          <w:iCs/>
          <w:kern w:val="0"/>
          <w:position w:val="-12"/>
          <w:sz w:val="28"/>
          <w:szCs w:val="28"/>
        </w:rPr>
        <w:object>
          <v:shape id="_x0000_i1052" o:spt="75" type="#_x0000_t75" style="height:18pt;width:28.5pt;" o:ole="t" filled="f" o:preferrelative="t" stroked="f" coordsize="21600,21600">
            <v:path/>
            <v:fill on="f" focussize="0,0"/>
            <v:stroke on="f" joinstyle="miter"/>
            <v:imagedata r:id="rId39" o:title=""/>
            <o:lock v:ext="edit" aspectratio="t"/>
            <w10:wrap type="none"/>
            <w10:anchorlock/>
          </v:shape>
          <o:OLEObject Type="Embed" ProgID="Equation.DSMT4" ShapeID="_x0000_i1052" DrawAspect="Content" ObjectID="_1468075752" r:id="rId52">
            <o:LockedField>false</o:LockedField>
          </o:OLEObject>
        </w:object>
      </w:r>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7AE9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79FD55A8">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43C76D0D">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w:r>
              <w:rPr>
                <w:rFonts w:ascii="Times New Roman" w:hAnsi="Times New Roman" w:eastAsia="宋体" w:cs="Times New Roman"/>
                <w:i/>
                <w:iCs/>
                <w:kern w:val="0"/>
                <w:position w:val="-12"/>
                <w:sz w:val="28"/>
                <w:szCs w:val="28"/>
              </w:rPr>
              <w:object>
                <v:shape id="_x0000_i1053" o:spt="75" type="#_x0000_t75" style="height:18pt;width:28.5pt;" o:ole="t" filled="f" o:preferrelative="t" stroked="f" coordsize="21600,21600">
                  <v:path/>
                  <v:fill on="f" focussize="0,0"/>
                  <v:stroke on="f" joinstyle="miter"/>
                  <v:imagedata r:id="rId39" o:title=""/>
                  <o:lock v:ext="edit" aspectratio="t"/>
                  <w10:wrap type="none"/>
                  <w10:anchorlock/>
                </v:shape>
                <o:OLEObject Type="Embed" ProgID="Equation.DSMT4" ShapeID="_x0000_i1053" DrawAspect="Content" ObjectID="_1468075753" r:id="rId53">
                  <o:LockedField>false</o:LockedField>
                </o:OLEObject>
              </w:object>
            </w:r>
            <w:r>
              <w:rPr>
                <w:rFonts w:ascii="Times New Roman" w:hAnsi="Times New Roman" w:eastAsia="宋体" w:cs="Times New Roman"/>
                <w:i/>
                <w:iCs/>
                <w:kern w:val="0"/>
                <w:sz w:val="24"/>
                <w:szCs w:val="24"/>
              </w:rPr>
              <w:t xml:space="preserve"> </w:t>
            </w:r>
          </w:p>
        </w:tc>
      </w:tr>
      <w:tr w14:paraId="35152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115448B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3C46494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p>
        </w:tc>
      </w:tr>
      <w:tr w14:paraId="4C9CE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2B49EEB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75E6C934">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电力二氧化碳排放因子</w:t>
            </w:r>
          </w:p>
        </w:tc>
      </w:tr>
      <w:tr w14:paraId="6F74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A6ACEAE">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4F94010D">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kgCO</w:t>
            </w:r>
            <w:r>
              <w:rPr>
                <w:rFonts w:hint="eastAsia" w:ascii="Times New Roman" w:hAnsi="Times New Roman" w:eastAsia="宋体" w:cs="Times New Roman"/>
                <w:kern w:val="0"/>
                <w:sz w:val="24"/>
                <w:szCs w:val="24"/>
                <w:vertAlign w:val="subscript"/>
              </w:rPr>
              <w:t>2</w:t>
            </w:r>
            <w:r>
              <w:rPr>
                <w:rFonts w:hint="eastAsia" w:ascii="Times New Roman" w:hAnsi="Times New Roman" w:eastAsia="宋体" w:cs="Times New Roman"/>
                <w:kern w:val="0"/>
                <w:sz w:val="24"/>
                <w:szCs w:val="24"/>
              </w:rPr>
              <w:t>/kWh</w:t>
            </w:r>
          </w:p>
        </w:tc>
      </w:tr>
      <w:tr w14:paraId="07767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62F3C45C">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4DF00C72">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1</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江苏分时分区电碳因子</w:t>
            </w:r>
            <w:r>
              <w:rPr>
                <w:rFonts w:hint="eastAsia" w:ascii="Times New Roman" w:hAnsi="Times New Roman" w:eastAsia="宋体" w:cs="Times New Roman"/>
                <w:kern w:val="0"/>
                <w:sz w:val="24"/>
                <w:szCs w:val="24"/>
                <w:lang w:val="en-US" w:eastAsia="zh-CN"/>
              </w:rPr>
              <w:t>数据库</w:t>
            </w:r>
            <w:r>
              <w:rPr>
                <w:rFonts w:hint="eastAsia" w:ascii="Times New Roman" w:hAnsi="Times New Roman" w:eastAsia="宋体" w:cs="Times New Roman"/>
                <w:kern w:val="0"/>
                <w:sz w:val="24"/>
                <w:szCs w:val="24"/>
              </w:rPr>
              <w:t>中对应南京区域的</w:t>
            </w:r>
            <w:r>
              <w:rPr>
                <w:rFonts w:hint="eastAsia" w:ascii="Times New Roman" w:hAnsi="Times New Roman" w:eastAsia="宋体" w:cs="Times New Roman"/>
                <w:kern w:val="0"/>
                <w:sz w:val="24"/>
                <w:szCs w:val="24"/>
                <w:lang w:val="en-US" w:eastAsia="zh-CN"/>
              </w:rPr>
              <w:t>分时排放因子；</w:t>
            </w:r>
          </w:p>
          <w:p w14:paraId="79BD4BD1">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（2）国家生态环境部发布的最新电力二氧化碳排放因子值；</w:t>
            </w:r>
          </w:p>
          <w:p w14:paraId="6E88F469">
            <w:pPr>
              <w:tabs>
                <w:tab w:val="left" w:pos="1269"/>
                <w:tab w:val="left" w:pos="1270"/>
              </w:tabs>
              <w:autoSpaceDE w:val="0"/>
              <w:autoSpaceDN w:val="0"/>
              <w:snapToGrid w:val="0"/>
              <w:spacing w:line="276" w:lineRule="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（3）场站配套光伏直供电场景：光伏自发自用充电电量部分，不计入电网碳排放，单独建立光伏电量台账分拆核算，对应时段排放因子取值为0；无法拆分光伏直供电电量时，统一采用电网分时因子保守核算。</w:t>
            </w:r>
          </w:p>
        </w:tc>
      </w:tr>
    </w:tbl>
    <w:p w14:paraId="49AAA0C3">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8.2 减排场景实施阶段需要监测的参数和数据</w:t>
      </w:r>
    </w:p>
    <w:p w14:paraId="6D7EBDD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减排场景需监测的参数的技术内容和确定方法见表9。</w:t>
      </w:r>
    </w:p>
    <w:p w14:paraId="01724F76">
      <w:pPr>
        <w:tabs>
          <w:tab w:val="left" w:pos="1269"/>
          <w:tab w:val="left" w:pos="1270"/>
        </w:tabs>
        <w:autoSpaceDE w:val="0"/>
        <w:autoSpaceDN w:val="0"/>
        <w:snapToGrid w:val="0"/>
        <w:spacing w:line="360" w:lineRule="auto"/>
        <w:jc w:val="center"/>
        <w:rPr>
          <w:rFonts w:ascii="Times New Roman" w:hAnsi="Times New Roman" w:eastAsia="宋体" w:cs="Times New Roman"/>
          <w:kern w:val="0"/>
        </w:rPr>
      </w:pPr>
      <w:r>
        <w:rPr>
          <w:rFonts w:hint="eastAsia" w:ascii="黑体" w:hAnsi="黑体" w:eastAsia="黑体" w:cs="黑体"/>
          <w:kern w:val="0"/>
          <w:sz w:val="24"/>
          <w:szCs w:val="24"/>
          <w:lang w:val="en-US" w:eastAsia="zh-CN"/>
        </w:rPr>
        <w:t xml:space="preserve">表9  </w:t>
      </w:r>
      <m:oMath>
        <m:r>
          <m:rPr/>
          <w:rPr>
            <w:rFonts w:ascii="Cambria Math" w:hAnsi="Cambria Math" w:eastAsia="宋体" w:cs="Times New Roman"/>
            <w:kern w:val="0"/>
            <w:sz w:val="24"/>
            <w:szCs w:val="24"/>
          </w:rPr>
          <m:t>E</m:t>
        </m:r>
        <m:sSub>
          <m:sSubPr>
            <m:ctrlPr>
              <w:rPr>
                <w:rFonts w:ascii="Cambria Math" w:hAnsi="Cambria Math" w:eastAsia="宋体" w:cs="Times New Roman"/>
                <w:iCs/>
                <w:kern w:val="0"/>
                <w:sz w:val="24"/>
                <w:szCs w:val="24"/>
              </w:rPr>
            </m:ctrlPr>
          </m:sSubPr>
          <m:e>
            <m:r>
              <m:rPr/>
              <w:rPr>
                <w:rFonts w:ascii="Cambria Math" w:hAnsi="Cambria Math" w:eastAsia="宋体" w:cs="Times New Roman"/>
                <w:kern w:val="0"/>
                <w:sz w:val="24"/>
                <w:szCs w:val="24"/>
              </w:rPr>
              <m:t>C</m:t>
            </m:r>
            <m:ctrlPr>
              <w:rPr>
                <w:rFonts w:ascii="Cambria Math" w:hAnsi="Cambria Math" w:eastAsia="宋体" w:cs="Times New Roman"/>
                <w:iCs/>
                <w:kern w:val="0"/>
                <w:sz w:val="24"/>
                <w:szCs w:val="24"/>
              </w:rPr>
            </m:ctrlPr>
          </m:e>
          <m:sub>
            <m:r>
              <m:rPr/>
              <w:rPr>
                <w:rFonts w:ascii="Cambria Math" w:hAnsi="Cambria Math" w:eastAsia="宋体" w:cs="Times New Roman"/>
                <w:kern w:val="0"/>
                <w:sz w:val="24"/>
                <w:szCs w:val="24"/>
              </w:rPr>
              <m:t>PJ,i,t</m:t>
            </m:r>
            <m:ctrlPr>
              <w:rPr>
                <w:rFonts w:ascii="Cambria Math" w:hAnsi="Cambria Math" w:eastAsia="宋体" w:cs="Times New Roman"/>
                <w:iCs/>
                <w:kern w:val="0"/>
                <w:sz w:val="24"/>
                <w:szCs w:val="24"/>
              </w:rPr>
            </m:ctrlPr>
          </m:sub>
        </m:sSub>
      </m:oMath>
      <w:r>
        <w:rPr>
          <w:rFonts w:hint="eastAsia" w:ascii="黑体" w:hAnsi="黑体" w:eastAsia="黑体" w:cs="黑体"/>
          <w:kern w:val="0"/>
          <w:sz w:val="24"/>
          <w:szCs w:val="24"/>
        </w:rPr>
        <w:t>的技术内容和确定方法</w:t>
      </w:r>
    </w:p>
    <w:tbl>
      <w:tblPr>
        <w:tblStyle w:val="12"/>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7"/>
        <w:gridCol w:w="6369"/>
      </w:tblGrid>
      <w:tr w14:paraId="79C7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31E62BDD">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数据/参数</w:t>
            </w:r>
            <w:r>
              <w:rPr>
                <w:rFonts w:hint="eastAsia" w:ascii="Times New Roman" w:hAnsi="Times New Roman" w:eastAsia="宋体" w:cs="Times New Roman"/>
                <w:kern w:val="0"/>
                <w:sz w:val="24"/>
                <w:szCs w:val="24"/>
                <w:lang w:val="en-US" w:eastAsia="zh-CN"/>
              </w:rPr>
              <w:t>名称</w:t>
            </w:r>
          </w:p>
        </w:tc>
        <w:tc>
          <w:tcPr>
            <w:tcW w:w="6369" w:type="dxa"/>
            <w:vAlign w:val="center"/>
          </w:tcPr>
          <w:p w14:paraId="662D7AA6">
            <w:pPr>
              <w:tabs>
                <w:tab w:val="left" w:pos="1269"/>
                <w:tab w:val="left" w:pos="1270"/>
              </w:tabs>
              <w:autoSpaceDE w:val="0"/>
              <w:autoSpaceDN w:val="0"/>
              <w:snapToGrid w:val="0"/>
              <w:spacing w:line="276" w:lineRule="auto"/>
              <w:rPr>
                <w:rFonts w:ascii="Times New Roman" w:hAnsi="Times New Roman" w:eastAsia="宋体" w:cs="Times New Roman"/>
                <w:i/>
                <w:iCs/>
                <w:kern w:val="0"/>
                <w:sz w:val="24"/>
                <w:szCs w:val="24"/>
              </w:rPr>
            </w:pPr>
            <m:oMathPara>
              <m:oMathParaPr>
                <m:jc m:val="left"/>
              </m:oMathParaPr>
              <m:oMath>
                <m:r>
                  <m:rPr/>
                  <w:rPr>
                    <w:rFonts w:ascii="Cambria Math" w:hAnsi="Cambria Math" w:eastAsia="宋体" w:cs="Times New Roman"/>
                    <w:kern w:val="0"/>
                    <w:sz w:val="24"/>
                    <w:szCs w:val="24"/>
                  </w:rPr>
                  <m:t>E</m:t>
                </m:r>
                <m:sSub>
                  <m:sSubPr>
                    <m:ctrlPr>
                      <w:rPr>
                        <w:rFonts w:ascii="Cambria Math" w:hAnsi="Cambria Math" w:eastAsia="宋体" w:cs="Times New Roman"/>
                        <w:iCs/>
                        <w:kern w:val="0"/>
                        <w:sz w:val="24"/>
                        <w:szCs w:val="24"/>
                      </w:rPr>
                    </m:ctrlPr>
                  </m:sSubPr>
                  <m:e>
                    <m:r>
                      <m:rPr/>
                      <w:rPr>
                        <w:rFonts w:ascii="Cambria Math" w:hAnsi="Cambria Math" w:eastAsia="宋体" w:cs="Times New Roman"/>
                        <w:kern w:val="0"/>
                        <w:sz w:val="24"/>
                        <w:szCs w:val="24"/>
                      </w:rPr>
                      <m:t>C</m:t>
                    </m:r>
                    <m:ctrlPr>
                      <w:rPr>
                        <w:rFonts w:ascii="Cambria Math" w:hAnsi="Cambria Math" w:eastAsia="宋体" w:cs="Times New Roman"/>
                        <w:iCs/>
                        <w:kern w:val="0"/>
                        <w:sz w:val="24"/>
                        <w:szCs w:val="24"/>
                      </w:rPr>
                    </m:ctrlPr>
                  </m:e>
                  <m:sub>
                    <m:r>
                      <m:rPr/>
                      <w:rPr>
                        <w:rFonts w:ascii="Cambria Math" w:hAnsi="Cambria Math" w:eastAsia="宋体" w:cs="Times New Roman"/>
                        <w:kern w:val="0"/>
                        <w:sz w:val="24"/>
                        <w:szCs w:val="24"/>
                      </w:rPr>
                      <m:t>PJ,i,t</m:t>
                    </m:r>
                    <m:ctrlPr>
                      <w:rPr>
                        <w:rFonts w:ascii="Cambria Math" w:hAnsi="Cambria Math" w:eastAsia="宋体" w:cs="Times New Roman"/>
                        <w:iCs/>
                        <w:kern w:val="0"/>
                        <w:sz w:val="24"/>
                        <w:szCs w:val="24"/>
                      </w:rPr>
                    </m:ctrlPr>
                  </m:sub>
                </m:sSub>
              </m:oMath>
            </m:oMathPara>
          </w:p>
        </w:tc>
      </w:tr>
      <w:tr w14:paraId="009DB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688DA68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应用的公式编号</w:t>
            </w:r>
          </w:p>
        </w:tc>
        <w:tc>
          <w:tcPr>
            <w:tcW w:w="6369" w:type="dxa"/>
            <w:vAlign w:val="center"/>
          </w:tcPr>
          <w:p w14:paraId="1D3B2240">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lang w:val="en-US" w:eastAsia="zh-CN"/>
              </w:rPr>
              <w:t>3)</w:t>
            </w:r>
          </w:p>
        </w:tc>
      </w:tr>
      <w:tr w14:paraId="18AC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3EC7771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lang w:val="en-US" w:eastAsia="zh-CN"/>
              </w:rPr>
              <w:t>数据</w:t>
            </w:r>
            <w:r>
              <w:rPr>
                <w:rFonts w:hint="eastAsia" w:ascii="Times New Roman" w:hAnsi="Times New Roman" w:eastAsia="宋体" w:cs="Times New Roman"/>
                <w:kern w:val="0"/>
                <w:sz w:val="24"/>
                <w:szCs w:val="24"/>
              </w:rPr>
              <w:t>描述</w:t>
            </w:r>
          </w:p>
        </w:tc>
        <w:tc>
          <w:tcPr>
            <w:tcW w:w="6369" w:type="dxa"/>
            <w:vAlign w:val="center"/>
          </w:tcPr>
          <w:p w14:paraId="052FDFE2">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i/>
                <w:iCs/>
                <w:kern w:val="0"/>
                <w:sz w:val="24"/>
                <w:szCs w:val="24"/>
              </w:rPr>
              <w:t>t</w:t>
            </w:r>
            <w:r>
              <w:rPr>
                <w:rFonts w:ascii="Times New Roman" w:hAnsi="Times New Roman" w:eastAsia="宋体" w:cs="Times New Roman"/>
                <w:kern w:val="0"/>
                <w:sz w:val="24"/>
                <w:szCs w:val="24"/>
              </w:rPr>
              <w:t xml:space="preserve"> </w:t>
            </w:r>
            <w:r>
              <w:rPr>
                <w:rFonts w:hint="eastAsia" w:ascii="Times New Roman" w:hAnsi="Times New Roman" w:eastAsia="宋体" w:cs="Times New Roman"/>
                <w:kern w:val="0"/>
                <w:sz w:val="24"/>
                <w:szCs w:val="24"/>
              </w:rPr>
              <w:t>日</w:t>
            </w:r>
            <w:r>
              <w:rPr>
                <w:rFonts w:ascii="Times New Roman" w:hAnsi="Times New Roman" w:eastAsia="宋体" w:cs="Times New Roman"/>
                <w:kern w:val="0"/>
                <w:sz w:val="24"/>
                <w:szCs w:val="24"/>
              </w:rPr>
              <w:t>充电桩为车型</w:t>
            </w:r>
            <w:r>
              <w:rPr>
                <w:rFonts w:hint="eastAsia" w:ascii="Times New Roman" w:hAnsi="Times New Roman" w:eastAsia="宋体" w:cs="Times New Roman"/>
                <w:kern w:val="0"/>
                <w:sz w:val="24"/>
                <w:szCs w:val="24"/>
              </w:rPr>
              <w:t xml:space="preserve"> </w:t>
            </w:r>
            <w:r>
              <w:rPr>
                <w:rFonts w:ascii="Times New Roman" w:hAnsi="Times New Roman" w:eastAsia="宋体" w:cs="Times New Roman"/>
                <w:i/>
                <w:iCs/>
                <w:kern w:val="0"/>
                <w:sz w:val="24"/>
                <w:szCs w:val="24"/>
              </w:rPr>
              <w:t>i</w:t>
            </w:r>
            <w:r>
              <w:rPr>
                <w:rFonts w:ascii="Times New Roman" w:hAnsi="Times New Roman" w:eastAsia="宋体" w:cs="Times New Roman"/>
                <w:kern w:val="0"/>
                <w:sz w:val="24"/>
                <w:szCs w:val="24"/>
              </w:rPr>
              <w:t xml:space="preserve"> 的</w:t>
            </w:r>
            <w:r>
              <w:rPr>
                <w:rFonts w:hint="eastAsia" w:ascii="Times New Roman" w:hAnsi="Times New Roman" w:eastAsia="宋体" w:cs="Times New Roman"/>
                <w:kern w:val="0"/>
                <w:sz w:val="24"/>
                <w:szCs w:val="24"/>
                <w:lang w:val="en-US" w:eastAsia="zh-CN"/>
              </w:rPr>
              <w:t>场景</w:t>
            </w:r>
            <w:r>
              <w:rPr>
                <w:rFonts w:ascii="Times New Roman" w:hAnsi="Times New Roman" w:eastAsia="宋体" w:cs="Times New Roman"/>
                <w:kern w:val="0"/>
                <w:sz w:val="24"/>
                <w:szCs w:val="24"/>
              </w:rPr>
              <w:t>车辆的充电量</w:t>
            </w:r>
          </w:p>
        </w:tc>
      </w:tr>
      <w:tr w14:paraId="3175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shd w:val="clear" w:color="auto" w:fill="auto"/>
            <w:vAlign w:val="center"/>
          </w:tcPr>
          <w:p w14:paraId="195B0F65">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数据单位</w:t>
            </w:r>
          </w:p>
        </w:tc>
        <w:tc>
          <w:tcPr>
            <w:tcW w:w="6369" w:type="dxa"/>
            <w:shd w:val="clear" w:color="auto" w:fill="auto"/>
            <w:vAlign w:val="center"/>
          </w:tcPr>
          <w:p w14:paraId="6D46BBD1">
            <w:pPr>
              <w:tabs>
                <w:tab w:val="left" w:pos="1269"/>
                <w:tab w:val="left" w:pos="1270"/>
              </w:tabs>
              <w:autoSpaceDE w:val="0"/>
              <w:autoSpaceDN w:val="0"/>
              <w:snapToGrid w:val="0"/>
              <w:spacing w:line="276" w:lineRule="auto"/>
              <w:rPr>
                <w:rFonts w:hint="eastAsia" w:ascii="Times New Roman" w:hAnsi="Times New Roman" w:eastAsia="宋体" w:cs="Times New Roman"/>
                <w:kern w:val="0"/>
                <w:sz w:val="24"/>
                <w:szCs w:val="24"/>
                <w:lang w:val="en-US" w:eastAsia="zh-CN" w:bidi="ar-SA"/>
              </w:rPr>
            </w:pPr>
            <w:r>
              <w:rPr>
                <w:rFonts w:hint="eastAsia" w:ascii="Times New Roman" w:hAnsi="Times New Roman" w:eastAsia="宋体" w:cs="Times New Roman"/>
                <w:kern w:val="0"/>
                <w:sz w:val="24"/>
                <w:szCs w:val="24"/>
              </w:rPr>
              <w:t>kWh</w:t>
            </w:r>
          </w:p>
        </w:tc>
      </w:tr>
      <w:tr w14:paraId="3A3D2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3292C37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数据来源</w:t>
            </w:r>
          </w:p>
        </w:tc>
        <w:tc>
          <w:tcPr>
            <w:tcW w:w="6369" w:type="dxa"/>
            <w:vAlign w:val="center"/>
          </w:tcPr>
          <w:p w14:paraId="4362A412">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现场测量</w:t>
            </w:r>
          </w:p>
        </w:tc>
      </w:tr>
      <w:tr w14:paraId="2F4F3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56B0F3AB">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监测程序</w:t>
            </w:r>
          </w:p>
        </w:tc>
        <w:tc>
          <w:tcPr>
            <w:tcW w:w="6369" w:type="dxa"/>
            <w:vAlign w:val="center"/>
          </w:tcPr>
          <w:p w14:paraId="5D80BFE9">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场景</w:t>
            </w:r>
            <w:r>
              <w:rPr>
                <w:rFonts w:hint="eastAsia" w:ascii="Times New Roman" w:hAnsi="Times New Roman" w:eastAsia="宋体" w:cs="Times New Roman"/>
                <w:kern w:val="0"/>
                <w:sz w:val="24"/>
                <w:szCs w:val="24"/>
              </w:rPr>
              <w:t>活动充电桩为车型i的</w:t>
            </w:r>
            <w:r>
              <w:rPr>
                <w:rFonts w:hint="eastAsia" w:ascii="Times New Roman" w:hAnsi="Times New Roman" w:eastAsia="宋体" w:cs="Times New Roman"/>
                <w:kern w:val="0"/>
                <w:sz w:val="24"/>
                <w:szCs w:val="24"/>
                <w:lang w:val="en-US" w:eastAsia="zh-CN"/>
              </w:rPr>
              <w:t>场景</w:t>
            </w:r>
            <w:r>
              <w:rPr>
                <w:rFonts w:hint="eastAsia" w:ascii="Times New Roman" w:hAnsi="Times New Roman" w:eastAsia="宋体" w:cs="Times New Roman"/>
                <w:kern w:val="0"/>
                <w:sz w:val="24"/>
                <w:szCs w:val="24"/>
              </w:rPr>
              <w:t>车辆的充电量通过充电桩的充电监测系统进行测量。</w:t>
            </w:r>
          </w:p>
        </w:tc>
      </w:tr>
      <w:tr w14:paraId="1109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0C11E18E">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监测频率</w:t>
            </w:r>
          </w:p>
        </w:tc>
        <w:tc>
          <w:tcPr>
            <w:tcW w:w="6369" w:type="dxa"/>
            <w:vAlign w:val="center"/>
          </w:tcPr>
          <w:p w14:paraId="2506CD91">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连续</w:t>
            </w:r>
          </w:p>
        </w:tc>
      </w:tr>
      <w:tr w14:paraId="07307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927" w:type="dxa"/>
            <w:vAlign w:val="center"/>
          </w:tcPr>
          <w:p w14:paraId="22DF980F">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质量控制程序</w:t>
            </w:r>
          </w:p>
        </w:tc>
        <w:tc>
          <w:tcPr>
            <w:tcW w:w="6369" w:type="dxa"/>
            <w:vAlign w:val="center"/>
          </w:tcPr>
          <w:p w14:paraId="76D93E1B">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充电监测系统测量数据将与行驶日志或充电桩提供结算单进行交叉检查。</w:t>
            </w:r>
          </w:p>
        </w:tc>
      </w:tr>
      <w:tr w14:paraId="60BA5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Align w:val="center"/>
          </w:tcPr>
          <w:p w14:paraId="4C53A443">
            <w:pPr>
              <w:tabs>
                <w:tab w:val="left" w:pos="1269"/>
                <w:tab w:val="left" w:pos="1270"/>
              </w:tabs>
              <w:autoSpaceDE w:val="0"/>
              <w:autoSpaceDN w:val="0"/>
              <w:snapToGrid w:val="0"/>
              <w:spacing w:line="276" w:lineRule="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质量控制程序</w:t>
            </w:r>
          </w:p>
        </w:tc>
        <w:tc>
          <w:tcPr>
            <w:tcW w:w="6369" w:type="dxa"/>
            <w:vAlign w:val="center"/>
          </w:tcPr>
          <w:p w14:paraId="3FD16FCA">
            <w:pPr>
              <w:tabs>
                <w:tab w:val="left" w:pos="463"/>
              </w:tabs>
              <w:autoSpaceDE w:val="0"/>
              <w:autoSpaceDN w:val="0"/>
              <w:snapToGrid w:val="0"/>
              <w:spacing w:line="276" w:lineRule="auto"/>
              <w:ind w:left="38"/>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充电监测系统测量数据将与行驶日志或充电桩提供结算单进行交叉检查。</w:t>
            </w:r>
          </w:p>
        </w:tc>
      </w:tr>
    </w:tbl>
    <w:p w14:paraId="0C8D9887">
      <w:pPr>
        <w:keepNext w:val="0"/>
        <w:keepLines w:val="0"/>
        <w:pageBreakBefore w:val="0"/>
        <w:widowControl w:val="0"/>
        <w:numPr>
          <w:ilvl w:val="-1"/>
          <w:numId w:val="0"/>
        </w:numPr>
        <w:tabs>
          <w:tab w:val="left" w:pos="847"/>
          <w:tab w:val="left" w:pos="848"/>
        </w:tabs>
        <w:kinsoku/>
        <w:wordWrap/>
        <w:overflowPunct/>
        <w:topLinePunct w:val="0"/>
        <w:autoSpaceDE w:val="0"/>
        <w:autoSpaceDN w:val="0"/>
        <w:bidi w:val="0"/>
        <w:adjustRightInd/>
        <w:snapToGrid w:val="0"/>
        <w:spacing w:before="312" w:beforeLines="100" w:after="312" w:afterLines="100"/>
        <w:ind w:left="0" w:firstLine="0"/>
        <w:jc w:val="left"/>
        <w:textAlignment w:val="auto"/>
        <w:outlineLvl w:val="9"/>
        <w:rPr>
          <w:rFonts w:hint="eastAsia" w:ascii="黑体" w:hAnsi="黑体" w:eastAsia="黑体" w:cs="黑体"/>
          <w:b w:val="0"/>
          <w:bCs w:val="0"/>
          <w:spacing w:val="-2"/>
          <w:w w:val="95"/>
          <w:kern w:val="0"/>
          <w:sz w:val="28"/>
          <w:szCs w:val="28"/>
          <w:highlight w:val="none"/>
          <w:lang w:val="en-US" w:eastAsia="zh-CN"/>
        </w:rPr>
      </w:pPr>
      <w:bookmarkStart w:id="27" w:name="_Toc7264"/>
      <w:r>
        <w:rPr>
          <w:rFonts w:hint="eastAsia" w:ascii="黑体" w:hAnsi="黑体" w:eastAsia="黑体" w:cs="黑体"/>
          <w:b w:val="0"/>
          <w:bCs w:val="0"/>
          <w:spacing w:val="-2"/>
          <w:w w:val="95"/>
          <w:kern w:val="0"/>
          <w:sz w:val="28"/>
          <w:szCs w:val="28"/>
          <w:highlight w:val="none"/>
          <w:lang w:val="en-US" w:eastAsia="zh-CN"/>
        </w:rPr>
        <w:t>8.3 减排场景实施及监测的数据管理要求</w:t>
      </w:r>
    </w:p>
    <w:p w14:paraId="33763B8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（1）充电桩充电量、车辆信息等监测数据以自然日为最小单元连续采集，计量设备定期校验，留存设备校准相关记录。</w:t>
      </w:r>
    </w:p>
    <w:p w14:paraId="6FAF6C9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（2）定期将充电桩计量数据、充电结算凭证、车辆行驶记录交叉核对，数据异常及时记录并留存处置台账。</w:t>
      </w:r>
    </w:p>
    <w:p w14:paraId="33A74AB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（3）充电原始数据、核算参数、用户备案材料统一归档留存，档案保管期限满足碳普惠核查与监管追溯要求。</w:t>
      </w:r>
    </w:p>
    <w:p w14:paraId="0924375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（4）充电桩数据对接市级碳普惠平台自动同步存证，实现充电计量、减排计算全流程线上可溯源查验。</w:t>
      </w:r>
    </w:p>
    <w:p w14:paraId="386E57E6">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（5）规范用户充电信息采集、存储权限管理，全过程遵守数据安全与个人信息保护相关法律法规。</w:t>
      </w:r>
    </w:p>
    <w:p w14:paraId="6B909B28">
      <w:pPr>
        <w:keepNext w:val="0"/>
        <w:keepLines w:val="0"/>
        <w:pageBreakBefore w:val="0"/>
        <w:widowControl w:val="0"/>
        <w:numPr>
          <w:ilvl w:val="1"/>
          <w:numId w:val="2"/>
        </w:numPr>
        <w:tabs>
          <w:tab w:val="left" w:pos="847"/>
          <w:tab w:val="left" w:pos="848"/>
        </w:tabs>
        <w:kinsoku/>
        <w:wordWrap/>
        <w:overflowPunct/>
        <w:topLinePunct w:val="0"/>
        <w:autoSpaceDE w:val="0"/>
        <w:autoSpaceDN w:val="0"/>
        <w:bidi w:val="0"/>
        <w:adjustRightInd/>
        <w:snapToGrid w:val="0"/>
        <w:spacing w:before="312" w:beforeLines="100" w:after="312" w:afterLines="100"/>
        <w:ind w:left="283" w:hanging="283"/>
        <w:jc w:val="left"/>
        <w:textAlignment w:val="auto"/>
        <w:outlineLvl w:val="0"/>
        <w:rPr>
          <w:rFonts w:hint="eastAsia" w:ascii="黑体" w:hAnsi="黑体" w:eastAsia="黑体" w:cs="黑体"/>
          <w:b w:val="0"/>
          <w:bCs w:val="0"/>
          <w:spacing w:val="-2"/>
          <w:w w:val="95"/>
          <w:kern w:val="0"/>
          <w:sz w:val="28"/>
          <w:szCs w:val="28"/>
          <w:lang w:val="en-US" w:eastAsia="zh-CN"/>
        </w:rPr>
      </w:pPr>
      <w:r>
        <w:rPr>
          <w:rFonts w:hint="eastAsia" w:ascii="黑体" w:hAnsi="黑体" w:eastAsia="黑体" w:cs="黑体"/>
          <w:b w:val="0"/>
          <w:bCs w:val="0"/>
          <w:spacing w:val="-2"/>
          <w:w w:val="95"/>
          <w:kern w:val="0"/>
          <w:sz w:val="28"/>
          <w:szCs w:val="28"/>
          <w:lang w:val="en-US" w:eastAsia="zh-CN"/>
        </w:rPr>
        <w:t>场景审定与核查要点</w:t>
      </w:r>
      <w:bookmarkEnd w:id="27"/>
    </w:p>
    <w:p w14:paraId="7EC04408">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eastAsia" w:cs="宋体"/>
          <w:b w:val="0"/>
          <w:bCs/>
          <w:spacing w:val="-5"/>
          <w:sz w:val="28"/>
          <w:szCs w:val="28"/>
          <w:lang w:val="en-US" w:eastAsia="zh-CN"/>
        </w:rPr>
      </w:pPr>
      <w:r>
        <w:rPr>
          <w:rFonts w:hint="eastAsia" w:cs="宋体"/>
          <w:b w:val="0"/>
          <w:bCs/>
          <w:spacing w:val="-5"/>
          <w:sz w:val="28"/>
          <w:szCs w:val="28"/>
          <w:lang w:val="en-US" w:eastAsia="zh-CN"/>
        </w:rPr>
        <w:t>9.1 场景适用条件的审定与核查要点</w:t>
      </w:r>
    </w:p>
    <w:p w14:paraId="21F9519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查阅南京市碳普惠平台账户信息、用户身份证明、充电桩报装材料及电价执行凭证，核查</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是否位于南京市行政区域内，用户是否为已注册碳普惠账户的个人主体，且参与</w:t>
      </w:r>
      <w:r>
        <w:rPr>
          <w:rFonts w:hint="eastAsia" w:ascii="宋体" w:hAnsi="宋体" w:eastAsia="宋体" w:cs="宋体"/>
          <w:kern w:val="0"/>
          <w:sz w:val="28"/>
          <w:szCs w:val="28"/>
          <w:lang w:val="en-US" w:eastAsia="zh-CN"/>
        </w:rPr>
        <w:t>场景是否</w:t>
      </w:r>
      <w:r>
        <w:rPr>
          <w:rFonts w:hint="default" w:ascii="宋体" w:hAnsi="宋体" w:eastAsia="宋体" w:cs="宋体"/>
          <w:kern w:val="0"/>
          <w:sz w:val="28"/>
          <w:szCs w:val="28"/>
          <w:lang w:val="en-US" w:eastAsia="zh-CN"/>
        </w:rPr>
        <w:t>为自愿行为。</w:t>
      </w:r>
    </w:p>
    <w:p w14:paraId="5E238E53">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r>
        <w:rPr>
          <w:rFonts w:hint="default" w:ascii="宋体" w:hAnsi="宋体" w:eastAsia="宋体" w:cs="宋体"/>
          <w:kern w:val="0"/>
          <w:sz w:val="28"/>
          <w:szCs w:val="28"/>
          <w:lang w:val="en-US" w:eastAsia="zh-CN"/>
        </w:rPr>
        <w:t>核查充电桩是否为个人直接向电网报装、执行居民电价，权属清晰、手续完备，排除运营类、转供电、工商业电价等不符合要求的充电桩。</w:t>
      </w:r>
    </w:p>
    <w:p w14:paraId="30CFBCB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r>
        <w:rPr>
          <w:rFonts w:hint="default" w:ascii="宋体" w:hAnsi="宋体" w:eastAsia="宋体" w:cs="宋体"/>
          <w:kern w:val="0"/>
          <w:sz w:val="28"/>
          <w:szCs w:val="28"/>
          <w:lang w:val="en-US" w:eastAsia="zh-CN"/>
        </w:rPr>
        <w:t>确认充电车辆</w:t>
      </w:r>
      <w:r>
        <w:rPr>
          <w:rFonts w:hint="eastAsia" w:ascii="宋体" w:hAnsi="宋体" w:eastAsia="宋体" w:cs="宋体"/>
          <w:kern w:val="0"/>
          <w:sz w:val="28"/>
          <w:szCs w:val="28"/>
          <w:highlight w:val="none"/>
          <w:lang w:val="en-US" w:eastAsia="zh-CN"/>
        </w:rPr>
        <w:t>是否</w:t>
      </w:r>
      <w:r>
        <w:rPr>
          <w:rFonts w:hint="default" w:ascii="宋体" w:hAnsi="宋体" w:eastAsia="宋体" w:cs="宋体"/>
          <w:kern w:val="0"/>
          <w:sz w:val="28"/>
          <w:szCs w:val="28"/>
          <w:highlight w:val="none"/>
          <w:lang w:val="en-US" w:eastAsia="zh-CN"/>
        </w:rPr>
        <w:t>为</w:t>
      </w:r>
      <w:r>
        <w:rPr>
          <w:rFonts w:hint="eastAsia" w:ascii="宋体" w:hAnsi="宋体" w:eastAsia="宋体" w:cs="宋体"/>
          <w:kern w:val="0"/>
          <w:sz w:val="28"/>
          <w:szCs w:val="28"/>
          <w:highlight w:val="none"/>
          <w:lang w:val="en-US" w:eastAsia="zh-CN"/>
        </w:rPr>
        <w:t>电动汽车</w:t>
      </w:r>
      <w:r>
        <w:rPr>
          <w:rFonts w:hint="default" w:ascii="宋体" w:hAnsi="宋体" w:eastAsia="宋体" w:cs="宋体"/>
          <w:kern w:val="0"/>
          <w:sz w:val="28"/>
          <w:szCs w:val="28"/>
          <w:highlight w:val="none"/>
          <w:lang w:val="en-US" w:eastAsia="zh-CN"/>
        </w:rPr>
        <w:t>，</w:t>
      </w:r>
      <w:r>
        <w:rPr>
          <w:rFonts w:hint="default" w:ascii="宋体" w:hAnsi="宋体" w:eastAsia="宋体" w:cs="宋体"/>
          <w:kern w:val="0"/>
          <w:sz w:val="28"/>
          <w:szCs w:val="28"/>
          <w:lang w:val="en-US" w:eastAsia="zh-CN"/>
        </w:rPr>
        <w:t>核查车辆行驶证、动力类型等材料，排除商用车、混动车辆及非道路车辆等不适用场景。</w:t>
      </w:r>
    </w:p>
    <w:p w14:paraId="33E5983B">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w:t>
      </w:r>
      <w:r>
        <w:rPr>
          <w:rFonts w:hint="default" w:ascii="宋体" w:hAnsi="宋体" w:eastAsia="宋体" w:cs="宋体"/>
          <w:kern w:val="0"/>
          <w:sz w:val="28"/>
          <w:szCs w:val="28"/>
          <w:lang w:val="en-US" w:eastAsia="zh-CN"/>
        </w:rPr>
        <w:t>4）审核</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是否符合本方法学规定的适用范围，确认</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活动未违反国家及地方相关法律法规、行业标准及南京市碳普惠管理相关要求。</w:t>
      </w:r>
    </w:p>
    <w:p w14:paraId="165E6B0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w:t>
      </w:r>
      <w:r>
        <w:rPr>
          <w:rFonts w:hint="default" w:ascii="宋体" w:hAnsi="宋体" w:eastAsia="宋体" w:cs="宋体"/>
          <w:kern w:val="0"/>
          <w:sz w:val="28"/>
          <w:szCs w:val="28"/>
          <w:lang w:val="en-US" w:eastAsia="zh-CN"/>
        </w:rPr>
        <w:t>5）核查</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是否存在重复申报情况，确认同一充电行为未在其他碳市场、碳普惠机制中重复核算减排量。</w:t>
      </w:r>
    </w:p>
    <w:p w14:paraId="33BC03B5">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default" w:cs="宋体"/>
          <w:b w:val="0"/>
          <w:bCs/>
          <w:spacing w:val="-5"/>
          <w:sz w:val="28"/>
          <w:szCs w:val="28"/>
          <w:lang w:val="en-US" w:eastAsia="zh-CN"/>
        </w:rPr>
        <w:t xml:space="preserve">9.2 </w:t>
      </w:r>
      <w:r>
        <w:rPr>
          <w:rFonts w:hint="eastAsia" w:cs="宋体"/>
          <w:b w:val="0"/>
          <w:bCs/>
          <w:spacing w:val="-5"/>
          <w:sz w:val="28"/>
          <w:szCs w:val="28"/>
          <w:lang w:val="en-US" w:eastAsia="zh-CN"/>
        </w:rPr>
        <w:t>场景</w:t>
      </w:r>
      <w:r>
        <w:rPr>
          <w:rFonts w:hint="default" w:cs="宋体"/>
          <w:b w:val="0"/>
          <w:bCs/>
          <w:spacing w:val="-5"/>
          <w:sz w:val="28"/>
          <w:szCs w:val="28"/>
          <w:lang w:val="en-US" w:eastAsia="zh-CN"/>
        </w:rPr>
        <w:t>边界的审定与核查要点</w:t>
      </w:r>
    </w:p>
    <w:p w14:paraId="77BC039C">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查阅</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申报材料、充电桩权属证明、充电运行记录等材料，核查</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地理边界是否限定于南京市行政区域内的</w:t>
      </w:r>
      <w:r>
        <w:rPr>
          <w:rFonts w:hint="eastAsia" w:ascii="宋体" w:hAnsi="宋体" w:eastAsia="宋体" w:cs="宋体"/>
          <w:kern w:val="0"/>
          <w:sz w:val="28"/>
          <w:szCs w:val="28"/>
          <w:lang w:val="en-US" w:eastAsia="zh-CN"/>
        </w:rPr>
        <w:t>个人</w:t>
      </w:r>
      <w:r>
        <w:rPr>
          <w:rFonts w:hint="default" w:ascii="宋体" w:hAnsi="宋体" w:eastAsia="宋体" w:cs="宋体"/>
          <w:kern w:val="0"/>
          <w:sz w:val="28"/>
          <w:szCs w:val="28"/>
          <w:lang w:val="en-US" w:eastAsia="zh-CN"/>
        </w:rPr>
        <w:t>充电桩及对应充电车辆活动范围。</w:t>
      </w:r>
    </w:p>
    <w:p w14:paraId="291FDCE4">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w:t>
      </w:r>
      <w:r>
        <w:rPr>
          <w:rFonts w:hint="default" w:ascii="宋体" w:hAnsi="宋体" w:eastAsia="宋体" w:cs="宋体"/>
          <w:kern w:val="0"/>
          <w:sz w:val="28"/>
          <w:szCs w:val="28"/>
          <w:lang w:val="en-US" w:eastAsia="zh-CN"/>
        </w:rPr>
        <w:t>2）确认</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设施边界是否仅包含</w:t>
      </w:r>
      <w:r>
        <w:rPr>
          <w:rFonts w:hint="eastAsia" w:ascii="宋体" w:hAnsi="宋体" w:eastAsia="宋体" w:cs="宋体"/>
          <w:kern w:val="0"/>
          <w:sz w:val="28"/>
          <w:szCs w:val="28"/>
          <w:lang w:val="en-US" w:eastAsia="zh-CN"/>
        </w:rPr>
        <w:t>个人</w:t>
      </w:r>
      <w:r>
        <w:rPr>
          <w:rFonts w:hint="default" w:ascii="宋体" w:hAnsi="宋体" w:eastAsia="宋体" w:cs="宋体"/>
          <w:kern w:val="0"/>
          <w:sz w:val="28"/>
          <w:szCs w:val="28"/>
          <w:lang w:val="en-US" w:eastAsia="zh-CN"/>
        </w:rPr>
        <w:t>充电桩、充电车辆、电网供电环节，未纳入无关附属设施、非</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相关设施。</w:t>
      </w:r>
    </w:p>
    <w:p w14:paraId="407D70B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r>
        <w:rPr>
          <w:rFonts w:hint="default" w:ascii="宋体" w:hAnsi="宋体" w:eastAsia="宋体" w:cs="宋体"/>
          <w:kern w:val="0"/>
          <w:sz w:val="28"/>
          <w:szCs w:val="28"/>
          <w:lang w:val="en-US" w:eastAsia="zh-CN"/>
        </w:rPr>
        <w:t>核查</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边界内是否存在重复核算情形，确认无同一充电量跨平台、跨机制重复申领碳普惠权益的情况。</w:t>
      </w:r>
    </w:p>
    <w:p w14:paraId="158AC9BD">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w:t>
      </w:r>
      <w:r>
        <w:rPr>
          <w:rFonts w:hint="default" w:ascii="宋体" w:hAnsi="宋体" w:eastAsia="宋体" w:cs="宋体"/>
          <w:kern w:val="0"/>
          <w:sz w:val="28"/>
          <w:szCs w:val="28"/>
          <w:lang w:val="en-US" w:eastAsia="zh-CN"/>
        </w:rPr>
        <w:t>确认</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边界未擅自扩大或缩小，所有纳入核算的设施、排放源均符合本方法学规定的范围要求。</w:t>
      </w:r>
    </w:p>
    <w:p w14:paraId="191C1C09">
      <w:pPr>
        <w:pStyle w:val="25"/>
        <w:keepNext w:val="0"/>
        <w:keepLines w:val="0"/>
        <w:pageBreakBefore w:val="0"/>
        <w:widowControl/>
        <w:numPr>
          <w:ilvl w:val="0"/>
          <w:numId w:val="0"/>
        </w:numPr>
        <w:kinsoku/>
        <w:wordWrap/>
        <w:overflowPunct/>
        <w:topLinePunct w:val="0"/>
        <w:autoSpaceDE/>
        <w:autoSpaceDN/>
        <w:bidi w:val="0"/>
        <w:adjustRightInd/>
        <w:snapToGrid w:val="0"/>
        <w:spacing w:before="157" w:beforeLines="50" w:after="157" w:afterLines="50"/>
        <w:ind w:left="0" w:firstLine="0" w:firstLineChars="0"/>
        <w:textAlignment w:val="auto"/>
        <w:outlineLvl w:val="9"/>
        <w:rPr>
          <w:rFonts w:hint="default" w:cs="宋体"/>
          <w:b w:val="0"/>
          <w:bCs/>
          <w:spacing w:val="-5"/>
          <w:sz w:val="28"/>
          <w:szCs w:val="28"/>
          <w:lang w:val="en-US" w:eastAsia="zh-CN"/>
        </w:rPr>
      </w:pPr>
      <w:r>
        <w:rPr>
          <w:rFonts w:hint="default" w:cs="宋体"/>
          <w:b w:val="0"/>
          <w:bCs/>
          <w:spacing w:val="-5"/>
          <w:sz w:val="28"/>
          <w:szCs w:val="28"/>
          <w:lang w:val="en-US" w:eastAsia="zh-CN"/>
        </w:rPr>
        <w:t xml:space="preserve">9.3 </w:t>
      </w:r>
      <w:r>
        <w:rPr>
          <w:rFonts w:hint="eastAsia" w:cs="宋体"/>
          <w:b w:val="0"/>
          <w:bCs/>
          <w:spacing w:val="-5"/>
          <w:sz w:val="28"/>
          <w:szCs w:val="28"/>
          <w:lang w:val="en-US" w:eastAsia="zh-CN"/>
        </w:rPr>
        <w:t>场景</w:t>
      </w:r>
      <w:r>
        <w:rPr>
          <w:rFonts w:hint="default" w:cs="宋体"/>
          <w:b w:val="0"/>
          <w:bCs/>
          <w:spacing w:val="-5"/>
          <w:sz w:val="28"/>
          <w:szCs w:val="28"/>
          <w:lang w:val="en-US" w:eastAsia="zh-CN"/>
        </w:rPr>
        <w:t>监测计划的审定与核查要点</w:t>
      </w:r>
    </w:p>
    <w:p w14:paraId="0339C86A">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对于需要监测的数据和参数，查阅监测设备说明书、校准记录、数据采集日志等材料，审核监测频率、测量程序、质量控制程序是否符合规定，数据来源是否可靠。</w:t>
      </w:r>
    </w:p>
    <w:p w14:paraId="4DF92B79">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r>
        <w:rPr>
          <w:rFonts w:hint="default" w:ascii="宋体" w:hAnsi="宋体" w:eastAsia="宋体" w:cs="宋体"/>
          <w:kern w:val="0"/>
          <w:sz w:val="28"/>
          <w:szCs w:val="28"/>
          <w:lang w:val="en-US" w:eastAsia="zh-CN"/>
        </w:rPr>
        <w:t>）对于采用在线监测并对接碳普惠智能服务平台进行减排量核算的模式，需确保平台对接数据、计算方法符合本方法学要求，并支持监测数据上链和全流程追溯。</w:t>
      </w:r>
    </w:p>
    <w:p w14:paraId="7B7DAE07">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（3）</w:t>
      </w:r>
      <w:r>
        <w:rPr>
          <w:rFonts w:hint="default" w:ascii="宋体" w:hAnsi="宋体" w:eastAsia="宋体" w:cs="宋体"/>
          <w:kern w:val="0"/>
          <w:sz w:val="28"/>
          <w:szCs w:val="28"/>
          <w:lang w:val="en-US" w:eastAsia="zh-CN"/>
        </w:rPr>
        <w:t>核查监测数据的完整性、连续性，确认数据以自然日为最小单位记录，无断档、补录、篡改等影响数据真实性的情形。</w:t>
      </w:r>
    </w:p>
    <w:p w14:paraId="4DEC25FE">
      <w:pPr>
        <w:keepNext w:val="0"/>
        <w:keepLines w:val="0"/>
        <w:pageBreakBefore w:val="0"/>
        <w:widowControl w:val="0"/>
        <w:tabs>
          <w:tab w:val="left" w:pos="1269"/>
          <w:tab w:val="left" w:pos="1270"/>
        </w:tabs>
        <w:kinsoku/>
        <w:wordWrap/>
        <w:overflowPunct/>
        <w:topLinePunct w:val="0"/>
        <w:autoSpaceDE w:val="0"/>
        <w:autoSpaceDN w:val="0"/>
        <w:bidi w:val="0"/>
        <w:adjustRightInd/>
        <w:snapToGrid w:val="0"/>
        <w:spacing w:line="360" w:lineRule="auto"/>
        <w:ind w:firstLine="560" w:firstLineChars="200"/>
        <w:jc w:val="both"/>
        <w:textAlignment w:val="auto"/>
        <w:rPr>
          <w:rFonts w:hint="default"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（4）</w:t>
      </w:r>
      <w:r>
        <w:rPr>
          <w:rFonts w:hint="default" w:ascii="宋体" w:hAnsi="宋体" w:eastAsia="宋体" w:cs="宋体"/>
          <w:kern w:val="0"/>
          <w:sz w:val="28"/>
          <w:szCs w:val="28"/>
          <w:lang w:val="en-US" w:eastAsia="zh-CN"/>
        </w:rPr>
        <w:t>审核数据安全与隐私保护措施，确认用户信息采集、存储符合相关规定，监测数据及</w:t>
      </w:r>
      <w:r>
        <w:rPr>
          <w:rFonts w:hint="eastAsia" w:ascii="宋体" w:hAnsi="宋体" w:eastAsia="宋体" w:cs="宋体"/>
          <w:kern w:val="0"/>
          <w:sz w:val="28"/>
          <w:szCs w:val="28"/>
          <w:lang w:val="en-US" w:eastAsia="zh-CN"/>
        </w:rPr>
        <w:t>场景</w:t>
      </w:r>
      <w:r>
        <w:rPr>
          <w:rFonts w:hint="default" w:ascii="宋体" w:hAnsi="宋体" w:eastAsia="宋体" w:cs="宋体"/>
          <w:kern w:val="0"/>
          <w:sz w:val="28"/>
          <w:szCs w:val="28"/>
          <w:lang w:val="en-US" w:eastAsia="zh-CN"/>
        </w:rPr>
        <w:t>档案留存期限满足监管要求。</w:t>
      </w: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5A1B3">
    <w:pPr>
      <w:pStyle w:val="6"/>
      <w:jc w:val="center"/>
      <w:rPr>
        <w:rFonts w:hint="eastAsia"/>
      </w:rPr>
    </w:pPr>
  </w:p>
  <w:p w14:paraId="2058FF4F">
    <w:pPr>
      <w:pStyle w:val="6"/>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66047">
    <w:pPr>
      <w:pStyle w:val="6"/>
      <w:jc w:val="center"/>
      <w:rPr>
        <w:rFonts w:hint="eastAsia"/>
      </w:rPr>
    </w:pPr>
  </w:p>
  <w:p w14:paraId="394889C4">
    <w:pPr>
      <w:pStyle w:val="6"/>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6528284"/>
    </w:sdtPr>
    <w:sdtContent>
      <w:p w14:paraId="7AA64CAB">
        <w:pPr>
          <w:pStyle w:val="6"/>
          <w:jc w:val="center"/>
          <w:rPr>
            <w:rFonts w:hint="eastAsia"/>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p w14:paraId="58D82731">
    <w:pPr>
      <w:pStyle w:val="6"/>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EA5CB9"/>
    <w:multiLevelType w:val="multilevel"/>
    <w:tmpl w:val="15EA5CB9"/>
    <w:lvl w:ilvl="0" w:tentative="0">
      <w:start w:val="1"/>
      <w:numFmt w:val="decimal"/>
      <w:lvlText w:val="%1"/>
      <w:lvlJc w:val="left"/>
      <w:pPr>
        <w:ind w:left="564" w:hanging="442"/>
      </w:pPr>
      <w:rPr>
        <w:rFonts w:hint="default" w:ascii="宋体" w:hAnsi="宋体" w:eastAsia="宋体" w:cs="宋体"/>
        <w:b w:val="0"/>
        <w:bCs w:val="0"/>
        <w:i w:val="0"/>
        <w:iCs w:val="0"/>
        <w:w w:val="99"/>
        <w:sz w:val="21"/>
        <w:szCs w:val="21"/>
      </w:rPr>
    </w:lvl>
    <w:lvl w:ilvl="1" w:tentative="0">
      <w:start w:val="1"/>
      <w:numFmt w:val="decimal"/>
      <w:lvlText w:val="%2"/>
      <w:lvlJc w:val="left"/>
      <w:pPr>
        <w:ind w:left="284" w:hanging="284"/>
      </w:pPr>
      <w:rPr>
        <w:rFonts w:hint="default" w:ascii="黑体" w:hAnsi="黑体" w:eastAsia="黑体" w:cs="黑体"/>
        <w:b/>
        <w:bCs/>
        <w:i w:val="0"/>
        <w:iCs w:val="0"/>
        <w:w w:val="98"/>
        <w:sz w:val="21"/>
        <w:szCs w:val="21"/>
      </w:rPr>
    </w:lvl>
    <w:lvl w:ilvl="2" w:tentative="0">
      <w:start w:val="1"/>
      <w:numFmt w:val="lowerLetter"/>
      <w:lvlText w:val="%3)"/>
      <w:lvlJc w:val="left"/>
      <w:pPr>
        <w:ind w:left="1269" w:hanging="442"/>
      </w:pPr>
      <w:rPr>
        <w:rFonts w:hint="default" w:ascii="Times New Roman" w:hAnsi="Times New Roman" w:eastAsia="Times New Roman" w:cs="Times New Roman"/>
        <w:b w:val="0"/>
        <w:bCs w:val="0"/>
        <w:i w:val="0"/>
        <w:iCs w:val="0"/>
        <w:w w:val="99"/>
        <w:sz w:val="21"/>
        <w:szCs w:val="21"/>
      </w:rPr>
    </w:lvl>
    <w:lvl w:ilvl="3" w:tentative="0">
      <w:start w:val="0"/>
      <w:numFmt w:val="bullet"/>
      <w:lvlText w:val="•"/>
      <w:lvlJc w:val="left"/>
      <w:pPr>
        <w:ind w:left="2308" w:hanging="442"/>
      </w:pPr>
      <w:rPr>
        <w:rFonts w:hint="default"/>
      </w:rPr>
    </w:lvl>
    <w:lvl w:ilvl="4" w:tentative="0">
      <w:start w:val="0"/>
      <w:numFmt w:val="bullet"/>
      <w:lvlText w:val="•"/>
      <w:lvlJc w:val="left"/>
      <w:pPr>
        <w:ind w:left="3356" w:hanging="442"/>
      </w:pPr>
      <w:rPr>
        <w:rFonts w:hint="default"/>
      </w:rPr>
    </w:lvl>
    <w:lvl w:ilvl="5" w:tentative="0">
      <w:start w:val="0"/>
      <w:numFmt w:val="bullet"/>
      <w:lvlText w:val="•"/>
      <w:lvlJc w:val="left"/>
      <w:pPr>
        <w:ind w:left="4404" w:hanging="442"/>
      </w:pPr>
      <w:rPr>
        <w:rFonts w:hint="default"/>
      </w:rPr>
    </w:lvl>
    <w:lvl w:ilvl="6" w:tentative="0">
      <w:start w:val="0"/>
      <w:numFmt w:val="bullet"/>
      <w:lvlText w:val="•"/>
      <w:lvlJc w:val="left"/>
      <w:pPr>
        <w:ind w:left="5453" w:hanging="442"/>
      </w:pPr>
      <w:rPr>
        <w:rFonts w:hint="default"/>
      </w:rPr>
    </w:lvl>
    <w:lvl w:ilvl="7" w:tentative="0">
      <w:start w:val="0"/>
      <w:numFmt w:val="bullet"/>
      <w:lvlText w:val="•"/>
      <w:lvlJc w:val="left"/>
      <w:pPr>
        <w:ind w:left="6501" w:hanging="442"/>
      </w:pPr>
      <w:rPr>
        <w:rFonts w:hint="default"/>
      </w:rPr>
    </w:lvl>
    <w:lvl w:ilvl="8" w:tentative="0">
      <w:start w:val="0"/>
      <w:numFmt w:val="bullet"/>
      <w:lvlText w:val="•"/>
      <w:lvlJc w:val="left"/>
      <w:pPr>
        <w:ind w:left="7549" w:hanging="442"/>
      </w:pPr>
      <w:rPr>
        <w:rFonts w:hint="default"/>
      </w:rPr>
    </w:lvl>
  </w:abstractNum>
  <w:abstractNum w:abstractNumId="1">
    <w:nsid w:val="21D35FEC"/>
    <w:multiLevelType w:val="multilevel"/>
    <w:tmpl w:val="21D35FEC"/>
    <w:lvl w:ilvl="0" w:tentative="0">
      <w:start w:val="1"/>
      <w:numFmt w:val="decimal"/>
      <w:lvlText w:val="%1"/>
      <w:lvlJc w:val="left"/>
      <w:pPr>
        <w:ind w:left="564" w:hanging="442"/>
      </w:pPr>
      <w:rPr>
        <w:rFonts w:hint="default" w:ascii="宋体" w:hAnsi="宋体" w:eastAsia="宋体" w:cs="宋体"/>
        <w:b w:val="0"/>
        <w:bCs w:val="0"/>
        <w:i w:val="0"/>
        <w:iCs w:val="0"/>
        <w:w w:val="99"/>
        <w:sz w:val="21"/>
        <w:szCs w:val="21"/>
      </w:rPr>
    </w:lvl>
    <w:lvl w:ilvl="1" w:tentative="0">
      <w:start w:val="1"/>
      <w:numFmt w:val="decimal"/>
      <w:lvlText w:val="%2"/>
      <w:lvlJc w:val="left"/>
      <w:pPr>
        <w:ind w:left="284" w:hanging="284"/>
      </w:pPr>
      <w:rPr>
        <w:rFonts w:hint="default" w:ascii="黑体" w:hAnsi="黑体" w:eastAsia="黑体" w:cs="黑体"/>
        <w:b w:val="0"/>
        <w:bCs w:val="0"/>
        <w:i w:val="0"/>
        <w:iCs w:val="0"/>
        <w:w w:val="98"/>
        <w:sz w:val="28"/>
        <w:szCs w:val="28"/>
      </w:rPr>
    </w:lvl>
    <w:lvl w:ilvl="2" w:tentative="0">
      <w:start w:val="1"/>
      <w:numFmt w:val="lowerLetter"/>
      <w:lvlText w:val="%3)"/>
      <w:lvlJc w:val="left"/>
      <w:pPr>
        <w:ind w:left="1269" w:hanging="442"/>
      </w:pPr>
      <w:rPr>
        <w:rFonts w:hint="default" w:ascii="Times New Roman" w:hAnsi="Times New Roman" w:eastAsia="Times New Roman" w:cs="Times New Roman"/>
        <w:b w:val="0"/>
        <w:bCs w:val="0"/>
        <w:i w:val="0"/>
        <w:iCs w:val="0"/>
        <w:w w:val="99"/>
        <w:sz w:val="28"/>
        <w:szCs w:val="28"/>
      </w:rPr>
    </w:lvl>
    <w:lvl w:ilvl="3" w:tentative="0">
      <w:start w:val="0"/>
      <w:numFmt w:val="bullet"/>
      <w:lvlText w:val="•"/>
      <w:lvlJc w:val="left"/>
      <w:pPr>
        <w:ind w:left="2308" w:hanging="442"/>
      </w:pPr>
      <w:rPr>
        <w:rFonts w:hint="default"/>
      </w:rPr>
    </w:lvl>
    <w:lvl w:ilvl="4" w:tentative="0">
      <w:start w:val="0"/>
      <w:numFmt w:val="bullet"/>
      <w:lvlText w:val="•"/>
      <w:lvlJc w:val="left"/>
      <w:pPr>
        <w:ind w:left="3356" w:hanging="442"/>
      </w:pPr>
      <w:rPr>
        <w:rFonts w:hint="default"/>
      </w:rPr>
    </w:lvl>
    <w:lvl w:ilvl="5" w:tentative="0">
      <w:start w:val="0"/>
      <w:numFmt w:val="bullet"/>
      <w:lvlText w:val="•"/>
      <w:lvlJc w:val="left"/>
      <w:pPr>
        <w:ind w:left="4404" w:hanging="442"/>
      </w:pPr>
      <w:rPr>
        <w:rFonts w:hint="default"/>
      </w:rPr>
    </w:lvl>
    <w:lvl w:ilvl="6" w:tentative="0">
      <w:start w:val="0"/>
      <w:numFmt w:val="bullet"/>
      <w:lvlText w:val="•"/>
      <w:lvlJc w:val="left"/>
      <w:pPr>
        <w:ind w:left="5453" w:hanging="442"/>
      </w:pPr>
      <w:rPr>
        <w:rFonts w:hint="default"/>
      </w:rPr>
    </w:lvl>
    <w:lvl w:ilvl="7" w:tentative="0">
      <w:start w:val="0"/>
      <w:numFmt w:val="bullet"/>
      <w:lvlText w:val="•"/>
      <w:lvlJc w:val="left"/>
      <w:pPr>
        <w:ind w:left="6501" w:hanging="442"/>
      </w:pPr>
      <w:rPr>
        <w:rFonts w:hint="default"/>
      </w:rPr>
    </w:lvl>
    <w:lvl w:ilvl="8" w:tentative="0">
      <w:start w:val="0"/>
      <w:numFmt w:val="bullet"/>
      <w:lvlText w:val="•"/>
      <w:lvlJc w:val="left"/>
      <w:pPr>
        <w:ind w:left="7549" w:hanging="442"/>
      </w:pPr>
      <w:rPr>
        <w:rFonts w:hint="default"/>
      </w:rPr>
    </w:lvl>
  </w:abstractNum>
  <w:abstractNum w:abstractNumId="2">
    <w:nsid w:val="4BFB2C8D"/>
    <w:multiLevelType w:val="multilevel"/>
    <w:tmpl w:val="4BFB2C8D"/>
    <w:lvl w:ilvl="0" w:tentative="0">
      <w:start w:val="1"/>
      <w:numFmt w:val="japaneseCounting"/>
      <w:lvlText w:val="%1、"/>
      <w:lvlJc w:val="left"/>
      <w:pPr>
        <w:ind w:left="1997" w:hanging="720"/>
      </w:pPr>
    </w:lvl>
    <w:lvl w:ilvl="1" w:tentative="0">
      <w:start w:val="1"/>
      <w:numFmt w:val="lowerLetter"/>
      <w:pStyle w:val="25"/>
      <w:lvlText w:val="%2)"/>
      <w:lvlJc w:val="left"/>
      <w:pPr>
        <w:ind w:left="2157" w:hanging="440"/>
      </w:pPr>
    </w:lvl>
    <w:lvl w:ilvl="2" w:tentative="0">
      <w:start w:val="1"/>
      <w:numFmt w:val="lowerRoman"/>
      <w:lvlText w:val="%3."/>
      <w:lvlJc w:val="right"/>
      <w:pPr>
        <w:ind w:left="2597" w:hanging="440"/>
      </w:pPr>
    </w:lvl>
    <w:lvl w:ilvl="3" w:tentative="0">
      <w:start w:val="1"/>
      <w:numFmt w:val="decimal"/>
      <w:lvlText w:val="%4."/>
      <w:lvlJc w:val="left"/>
      <w:pPr>
        <w:ind w:left="3037" w:hanging="440"/>
      </w:pPr>
    </w:lvl>
    <w:lvl w:ilvl="4" w:tentative="0">
      <w:start w:val="1"/>
      <w:numFmt w:val="lowerLetter"/>
      <w:lvlText w:val="%5)"/>
      <w:lvlJc w:val="left"/>
      <w:pPr>
        <w:ind w:left="3477" w:hanging="440"/>
      </w:pPr>
    </w:lvl>
    <w:lvl w:ilvl="5" w:tentative="0">
      <w:start w:val="1"/>
      <w:numFmt w:val="lowerRoman"/>
      <w:lvlText w:val="%6."/>
      <w:lvlJc w:val="right"/>
      <w:pPr>
        <w:ind w:left="3917" w:hanging="440"/>
      </w:pPr>
    </w:lvl>
    <w:lvl w:ilvl="6" w:tentative="0">
      <w:start w:val="1"/>
      <w:numFmt w:val="decimal"/>
      <w:lvlText w:val="%7."/>
      <w:lvlJc w:val="left"/>
      <w:pPr>
        <w:ind w:left="4357" w:hanging="440"/>
      </w:pPr>
    </w:lvl>
    <w:lvl w:ilvl="7" w:tentative="0">
      <w:start w:val="1"/>
      <w:numFmt w:val="lowerLetter"/>
      <w:lvlText w:val="%8)"/>
      <w:lvlJc w:val="left"/>
      <w:pPr>
        <w:ind w:left="4797" w:hanging="440"/>
      </w:pPr>
    </w:lvl>
    <w:lvl w:ilvl="8" w:tentative="0">
      <w:start w:val="1"/>
      <w:numFmt w:val="lowerRoman"/>
      <w:lvlText w:val="%9."/>
      <w:lvlJc w:val="right"/>
      <w:pPr>
        <w:ind w:left="5237" w:hanging="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E4MGFkYTkwNjZjODA3YTU3OGUyNDFjZDZiMjMyMWMifQ=="/>
  </w:docVars>
  <w:rsids>
    <w:rsidRoot w:val="00172A27"/>
    <w:rsid w:val="00033D01"/>
    <w:rsid w:val="00064323"/>
    <w:rsid w:val="00064630"/>
    <w:rsid w:val="00066DD6"/>
    <w:rsid w:val="0008299C"/>
    <w:rsid w:val="000E2DD6"/>
    <w:rsid w:val="000F4A9D"/>
    <w:rsid w:val="00107E28"/>
    <w:rsid w:val="00135E9E"/>
    <w:rsid w:val="0014492B"/>
    <w:rsid w:val="00144C16"/>
    <w:rsid w:val="00163A9B"/>
    <w:rsid w:val="00172A27"/>
    <w:rsid w:val="001E58B7"/>
    <w:rsid w:val="00247549"/>
    <w:rsid w:val="0027585E"/>
    <w:rsid w:val="00290C9D"/>
    <w:rsid w:val="0029106E"/>
    <w:rsid w:val="002A7502"/>
    <w:rsid w:val="002B3157"/>
    <w:rsid w:val="002C28C4"/>
    <w:rsid w:val="002C334A"/>
    <w:rsid w:val="002D39D2"/>
    <w:rsid w:val="002F256B"/>
    <w:rsid w:val="00315C0D"/>
    <w:rsid w:val="0032238C"/>
    <w:rsid w:val="00367C76"/>
    <w:rsid w:val="003B7581"/>
    <w:rsid w:val="003C6052"/>
    <w:rsid w:val="003D5151"/>
    <w:rsid w:val="003E1FB7"/>
    <w:rsid w:val="00405F7C"/>
    <w:rsid w:val="00411682"/>
    <w:rsid w:val="00420603"/>
    <w:rsid w:val="004331CC"/>
    <w:rsid w:val="0044372E"/>
    <w:rsid w:val="004627CA"/>
    <w:rsid w:val="004879EA"/>
    <w:rsid w:val="00487ED1"/>
    <w:rsid w:val="004C1E7B"/>
    <w:rsid w:val="005025A5"/>
    <w:rsid w:val="00514197"/>
    <w:rsid w:val="00526B85"/>
    <w:rsid w:val="00531926"/>
    <w:rsid w:val="0054019F"/>
    <w:rsid w:val="00553254"/>
    <w:rsid w:val="005557E4"/>
    <w:rsid w:val="00576390"/>
    <w:rsid w:val="0058308E"/>
    <w:rsid w:val="005B62B3"/>
    <w:rsid w:val="005F5DEE"/>
    <w:rsid w:val="00603B4D"/>
    <w:rsid w:val="006262FE"/>
    <w:rsid w:val="00663D09"/>
    <w:rsid w:val="00671107"/>
    <w:rsid w:val="006745C1"/>
    <w:rsid w:val="006C5CA6"/>
    <w:rsid w:val="00715AFC"/>
    <w:rsid w:val="00731022"/>
    <w:rsid w:val="00742278"/>
    <w:rsid w:val="00760281"/>
    <w:rsid w:val="007929FB"/>
    <w:rsid w:val="007B2FE0"/>
    <w:rsid w:val="007F1909"/>
    <w:rsid w:val="007F7C6C"/>
    <w:rsid w:val="008340AF"/>
    <w:rsid w:val="0083483E"/>
    <w:rsid w:val="00857266"/>
    <w:rsid w:val="00865293"/>
    <w:rsid w:val="008900DA"/>
    <w:rsid w:val="008A0076"/>
    <w:rsid w:val="008A1DE1"/>
    <w:rsid w:val="008A67A4"/>
    <w:rsid w:val="008E409E"/>
    <w:rsid w:val="008E657F"/>
    <w:rsid w:val="00972162"/>
    <w:rsid w:val="009836B7"/>
    <w:rsid w:val="00995495"/>
    <w:rsid w:val="009B23DF"/>
    <w:rsid w:val="009C021B"/>
    <w:rsid w:val="009C2FBF"/>
    <w:rsid w:val="00A00B65"/>
    <w:rsid w:val="00A02B66"/>
    <w:rsid w:val="00A064F3"/>
    <w:rsid w:val="00A14114"/>
    <w:rsid w:val="00A3478F"/>
    <w:rsid w:val="00A40BCE"/>
    <w:rsid w:val="00A472BD"/>
    <w:rsid w:val="00A47DA1"/>
    <w:rsid w:val="00A65C60"/>
    <w:rsid w:val="00A71C94"/>
    <w:rsid w:val="00AC63FB"/>
    <w:rsid w:val="00AD1A38"/>
    <w:rsid w:val="00B00489"/>
    <w:rsid w:val="00B06992"/>
    <w:rsid w:val="00B21CC0"/>
    <w:rsid w:val="00B97A70"/>
    <w:rsid w:val="00BD5ADF"/>
    <w:rsid w:val="00BF3B9F"/>
    <w:rsid w:val="00C2718A"/>
    <w:rsid w:val="00C3028D"/>
    <w:rsid w:val="00C53B88"/>
    <w:rsid w:val="00C84696"/>
    <w:rsid w:val="00CC185A"/>
    <w:rsid w:val="00CC3DF5"/>
    <w:rsid w:val="00CD1056"/>
    <w:rsid w:val="00CD3E20"/>
    <w:rsid w:val="00D0125A"/>
    <w:rsid w:val="00D0381A"/>
    <w:rsid w:val="00D63CCE"/>
    <w:rsid w:val="00D83922"/>
    <w:rsid w:val="00DB7805"/>
    <w:rsid w:val="00DD00F2"/>
    <w:rsid w:val="00E17F09"/>
    <w:rsid w:val="00E32D95"/>
    <w:rsid w:val="00E63848"/>
    <w:rsid w:val="00EB4D72"/>
    <w:rsid w:val="00EC73DC"/>
    <w:rsid w:val="00EF39F9"/>
    <w:rsid w:val="00F05BE5"/>
    <w:rsid w:val="00F11B25"/>
    <w:rsid w:val="00F36EBB"/>
    <w:rsid w:val="00F53BA2"/>
    <w:rsid w:val="00F86769"/>
    <w:rsid w:val="00FB2C67"/>
    <w:rsid w:val="00FB3896"/>
    <w:rsid w:val="00FF16D8"/>
    <w:rsid w:val="00FF51B1"/>
    <w:rsid w:val="01497B09"/>
    <w:rsid w:val="02B32DB9"/>
    <w:rsid w:val="0E803AD5"/>
    <w:rsid w:val="0EDC0C85"/>
    <w:rsid w:val="11C21DA6"/>
    <w:rsid w:val="12F54EB3"/>
    <w:rsid w:val="16626B95"/>
    <w:rsid w:val="17CA6FF4"/>
    <w:rsid w:val="1C2A656D"/>
    <w:rsid w:val="1EB27D37"/>
    <w:rsid w:val="232229EB"/>
    <w:rsid w:val="28187FFD"/>
    <w:rsid w:val="2C020C08"/>
    <w:rsid w:val="316B5D64"/>
    <w:rsid w:val="367250E2"/>
    <w:rsid w:val="398E5251"/>
    <w:rsid w:val="3C710F56"/>
    <w:rsid w:val="3CC72F54"/>
    <w:rsid w:val="3E0C209B"/>
    <w:rsid w:val="3E5552F2"/>
    <w:rsid w:val="49E018C5"/>
    <w:rsid w:val="4AC705C3"/>
    <w:rsid w:val="4F3071A9"/>
    <w:rsid w:val="571C2F84"/>
    <w:rsid w:val="63611D5B"/>
    <w:rsid w:val="68A21128"/>
    <w:rsid w:val="6F16070F"/>
    <w:rsid w:val="75567D69"/>
    <w:rsid w:val="7A585AA1"/>
    <w:rsid w:val="7B3C1066"/>
    <w:rsid w:val="7BE41FBD"/>
    <w:rsid w:val="7CA74403"/>
    <w:rsid w:val="7D6606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9"/>
    <w:pPr>
      <w:autoSpaceDE w:val="0"/>
      <w:autoSpaceDN w:val="0"/>
      <w:ind w:left="828" w:hanging="420"/>
      <w:jc w:val="left"/>
      <w:outlineLvl w:val="0"/>
    </w:pPr>
    <w:rPr>
      <w:rFonts w:ascii="黑体" w:hAnsi="黑体" w:eastAsia="黑体" w:cs="黑体"/>
      <w:b/>
      <w:bCs/>
      <w:kern w:val="0"/>
      <w:szCs w:val="21"/>
      <w:lang w:eastAsia="en-US"/>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19"/>
    <w:qFormat/>
    <w:uiPriority w:val="1"/>
    <w:pPr>
      <w:autoSpaceDE w:val="0"/>
      <w:autoSpaceDN w:val="0"/>
      <w:jc w:val="left"/>
    </w:pPr>
    <w:rPr>
      <w:rFonts w:ascii="宋体" w:hAnsi="宋体" w:eastAsia="宋体" w:cs="宋体"/>
      <w:kern w:val="0"/>
      <w:szCs w:val="21"/>
      <w:lang w:eastAsia="en-US"/>
    </w:rPr>
  </w:style>
  <w:style w:type="paragraph" w:styleId="5">
    <w:name w:val="toc 3"/>
    <w:basedOn w:val="1"/>
    <w:next w:val="1"/>
    <w:unhideWhenUsed/>
    <w:qFormat/>
    <w:uiPriority w:val="39"/>
    <w:pPr>
      <w:widowControl/>
      <w:spacing w:after="100" w:line="259" w:lineRule="auto"/>
      <w:ind w:left="440"/>
      <w:jc w:val="left"/>
    </w:pPr>
    <w:rPr>
      <w:rFonts w:cs="Times New Roman"/>
      <w:kern w:val="0"/>
      <w:sz w:val="22"/>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tabs>
        <w:tab w:val="center" w:pos="4153"/>
        <w:tab w:val="right" w:pos="8306"/>
      </w:tabs>
      <w:snapToGrid w:val="0"/>
      <w:jc w:val="center"/>
    </w:pPr>
    <w:rPr>
      <w:sz w:val="18"/>
      <w:szCs w:val="18"/>
    </w:rPr>
  </w:style>
  <w:style w:type="paragraph" w:styleId="8">
    <w:name w:val="toc 1"/>
    <w:basedOn w:val="1"/>
    <w:next w:val="1"/>
    <w:unhideWhenUsed/>
    <w:qFormat/>
    <w:uiPriority w:val="39"/>
    <w:pPr>
      <w:widowControl/>
      <w:snapToGrid w:val="0"/>
      <w:spacing w:line="480" w:lineRule="auto"/>
      <w:ind w:left="150" w:hanging="150" w:hangingChars="150"/>
      <w:jc w:val="left"/>
    </w:pPr>
    <w:rPr>
      <w:rFonts w:ascii="Times New Roman" w:hAnsi="Times New Roman" w:eastAsia="宋体" w:cs="Times New Roman"/>
      <w:kern w:val="0"/>
    </w:rPr>
  </w:style>
  <w:style w:type="paragraph" w:styleId="9">
    <w:name w:val="footnote text"/>
    <w:basedOn w:val="1"/>
    <w:link w:val="20"/>
    <w:semiHidden/>
    <w:unhideWhenUsed/>
    <w:qFormat/>
    <w:uiPriority w:val="99"/>
    <w:pPr>
      <w:autoSpaceDE w:val="0"/>
      <w:autoSpaceDN w:val="0"/>
      <w:snapToGrid w:val="0"/>
      <w:jc w:val="left"/>
    </w:pPr>
    <w:rPr>
      <w:rFonts w:ascii="宋体" w:hAnsi="宋体" w:eastAsia="宋体" w:cs="宋体"/>
      <w:kern w:val="0"/>
      <w:sz w:val="18"/>
      <w:szCs w:val="18"/>
      <w:lang w:eastAsia="en-US"/>
    </w:rPr>
  </w:style>
  <w:style w:type="paragraph" w:styleId="10">
    <w:name w:val="toc 2"/>
    <w:basedOn w:val="1"/>
    <w:next w:val="1"/>
    <w:unhideWhenUsed/>
    <w:qFormat/>
    <w:uiPriority w:val="39"/>
    <w:pPr>
      <w:widowControl/>
      <w:spacing w:after="100" w:line="259" w:lineRule="auto"/>
      <w:ind w:left="220"/>
      <w:jc w:val="left"/>
    </w:pPr>
    <w:rPr>
      <w:rFonts w:eastAsia="宋体" w:cs="Times New Roman"/>
      <w:kern w:val="0"/>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character" w:styleId="15">
    <w:name w:val="footnote reference"/>
    <w:basedOn w:val="13"/>
    <w:semiHidden/>
    <w:unhideWhenUsed/>
    <w:qFormat/>
    <w:uiPriority w:val="99"/>
    <w:rPr>
      <w:vertAlign w:val="superscript"/>
    </w:rPr>
  </w:style>
  <w:style w:type="character" w:customStyle="1" w:styleId="16">
    <w:name w:val="页眉 字符"/>
    <w:basedOn w:val="13"/>
    <w:link w:val="7"/>
    <w:qFormat/>
    <w:uiPriority w:val="99"/>
    <w:rPr>
      <w:sz w:val="18"/>
      <w:szCs w:val="18"/>
    </w:rPr>
  </w:style>
  <w:style w:type="character" w:customStyle="1" w:styleId="17">
    <w:name w:val="页脚 字符"/>
    <w:basedOn w:val="13"/>
    <w:link w:val="6"/>
    <w:qFormat/>
    <w:uiPriority w:val="99"/>
    <w:rPr>
      <w:sz w:val="18"/>
      <w:szCs w:val="18"/>
    </w:rPr>
  </w:style>
  <w:style w:type="character" w:customStyle="1" w:styleId="18">
    <w:name w:val="标题 1 字符"/>
    <w:basedOn w:val="13"/>
    <w:link w:val="2"/>
    <w:qFormat/>
    <w:uiPriority w:val="9"/>
    <w:rPr>
      <w:rFonts w:ascii="黑体" w:hAnsi="黑体" w:eastAsia="黑体" w:cs="黑体"/>
      <w:b/>
      <w:bCs/>
      <w:kern w:val="0"/>
      <w:szCs w:val="21"/>
      <w:lang w:eastAsia="en-US"/>
    </w:rPr>
  </w:style>
  <w:style w:type="character" w:customStyle="1" w:styleId="19">
    <w:name w:val="正文文本 字符"/>
    <w:basedOn w:val="13"/>
    <w:link w:val="4"/>
    <w:qFormat/>
    <w:uiPriority w:val="1"/>
    <w:rPr>
      <w:rFonts w:ascii="宋体" w:hAnsi="宋体" w:eastAsia="宋体" w:cs="宋体"/>
      <w:kern w:val="0"/>
      <w:szCs w:val="21"/>
      <w:lang w:eastAsia="en-US"/>
    </w:rPr>
  </w:style>
  <w:style w:type="character" w:customStyle="1" w:styleId="20">
    <w:name w:val="脚注文本 字符"/>
    <w:basedOn w:val="13"/>
    <w:link w:val="9"/>
    <w:semiHidden/>
    <w:qFormat/>
    <w:uiPriority w:val="99"/>
    <w:rPr>
      <w:rFonts w:ascii="宋体" w:hAnsi="宋体" w:eastAsia="宋体" w:cs="宋体"/>
      <w:kern w:val="0"/>
      <w:sz w:val="18"/>
      <w:szCs w:val="18"/>
      <w:lang w:eastAsia="en-US"/>
    </w:rPr>
  </w:style>
  <w:style w:type="character" w:styleId="21">
    <w:name w:val="Placeholder Text"/>
    <w:basedOn w:val="13"/>
    <w:semiHidden/>
    <w:qFormat/>
    <w:uiPriority w:val="99"/>
    <w:rPr>
      <w:color w:val="666666"/>
    </w:rPr>
  </w:style>
  <w:style w:type="paragraph" w:customStyle="1" w:styleId="22">
    <w:name w:val="TOC 标题1"/>
    <w:basedOn w:val="2"/>
    <w:next w:val="1"/>
    <w:unhideWhenUsed/>
    <w:qFormat/>
    <w:uiPriority w:val="39"/>
    <w:pPr>
      <w:keepNext/>
      <w:keepLines/>
      <w:widowControl/>
      <w:autoSpaceDE/>
      <w:autoSpaceDN/>
      <w:spacing w:before="240" w:line="259" w:lineRule="auto"/>
      <w:ind w:left="0" w:firstLine="0"/>
      <w:outlineLvl w:val="9"/>
    </w:pPr>
    <w:rPr>
      <w:rFonts w:asciiTheme="majorHAnsi" w:hAnsiTheme="majorHAnsi" w:eastAsiaTheme="majorEastAsia" w:cstheme="majorBidi"/>
      <w:b w:val="0"/>
      <w:bCs w:val="0"/>
      <w:color w:val="2F5597" w:themeColor="accent1" w:themeShade="BF"/>
      <w:sz w:val="32"/>
      <w:szCs w:val="32"/>
      <w:lang w:eastAsia="zh-CN"/>
    </w:rPr>
  </w:style>
  <w:style w:type="paragraph" w:customStyle="1" w:styleId="23">
    <w:name w:val="段"/>
    <w:qFormat/>
    <w:uiPriority w:val="99"/>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24">
    <w:name w:val="章标题 字符"/>
    <w:link w:val="25"/>
    <w:qFormat/>
    <w:uiPriority w:val="0"/>
    <w:rPr>
      <w:rFonts w:ascii="黑体" w:hAnsi="黑体" w:eastAsia="黑体" w:cs="黑体"/>
      <w:sz w:val="21"/>
      <w:szCs w:val="21"/>
    </w:rPr>
  </w:style>
  <w:style w:type="paragraph" w:customStyle="1" w:styleId="25">
    <w:name w:val="章标题"/>
    <w:basedOn w:val="1"/>
    <w:next w:val="1"/>
    <w:link w:val="24"/>
    <w:qFormat/>
    <w:uiPriority w:val="0"/>
    <w:pPr>
      <w:widowControl/>
      <w:numPr>
        <w:ilvl w:val="1"/>
        <w:numId w:val="1"/>
      </w:numPr>
      <w:spacing w:beforeLines="100" w:afterLines="100"/>
      <w:outlineLvl w:val="0"/>
    </w:pPr>
    <w:rPr>
      <w:rFonts w:ascii="黑体" w:hAnsi="黑体" w:eastAsia="黑体" w:cs="黑体"/>
      <w:kern w:val="0"/>
      <w:szCs w:val="21"/>
    </w:rPr>
  </w:style>
  <w:style w:type="paragraph" w:styleId="2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theme" Target="theme/theme1.xml"/><Relationship Id="rId57" Type="http://schemas.openxmlformats.org/officeDocument/2006/relationships/fontTable" Target="fontTable.xml"/><Relationship Id="rId56" Type="http://schemas.openxmlformats.org/officeDocument/2006/relationships/customXml" Target="../customXml/item2.xml"/><Relationship Id="rId55" Type="http://schemas.openxmlformats.org/officeDocument/2006/relationships/customXml" Target="../customXml/item1.xml"/><Relationship Id="rId54" Type="http://schemas.openxmlformats.org/officeDocument/2006/relationships/numbering" Target="numbering.xml"/><Relationship Id="rId53" Type="http://schemas.openxmlformats.org/officeDocument/2006/relationships/oleObject" Target="embeddings/oleObject29.bin"/><Relationship Id="rId52" Type="http://schemas.openxmlformats.org/officeDocument/2006/relationships/oleObject" Target="embeddings/oleObject28.bin"/><Relationship Id="rId51" Type="http://schemas.openxmlformats.org/officeDocument/2006/relationships/oleObject" Target="embeddings/oleObject27.bin"/><Relationship Id="rId50" Type="http://schemas.openxmlformats.org/officeDocument/2006/relationships/oleObject" Target="embeddings/oleObject26.bin"/><Relationship Id="rId5" Type="http://schemas.openxmlformats.org/officeDocument/2006/relationships/footer" Target="footer3.xml"/><Relationship Id="rId49" Type="http://schemas.openxmlformats.org/officeDocument/2006/relationships/oleObject" Target="embeddings/oleObject25.bin"/><Relationship Id="rId48" Type="http://schemas.openxmlformats.org/officeDocument/2006/relationships/oleObject" Target="embeddings/oleObject24.bin"/><Relationship Id="rId47" Type="http://schemas.openxmlformats.org/officeDocument/2006/relationships/oleObject" Target="embeddings/oleObject23.bin"/><Relationship Id="rId46" Type="http://schemas.openxmlformats.org/officeDocument/2006/relationships/oleObject" Target="embeddings/oleObject22.bin"/><Relationship Id="rId45" Type="http://schemas.openxmlformats.org/officeDocument/2006/relationships/oleObject" Target="embeddings/oleObject21.bin"/><Relationship Id="rId44" Type="http://schemas.openxmlformats.org/officeDocument/2006/relationships/oleObject" Target="embeddings/oleObject20.bin"/><Relationship Id="rId43" Type="http://schemas.openxmlformats.org/officeDocument/2006/relationships/image" Target="media/image18.wmf"/><Relationship Id="rId42" Type="http://schemas.openxmlformats.org/officeDocument/2006/relationships/oleObject" Target="embeddings/oleObject19.bin"/><Relationship Id="rId41" Type="http://schemas.openxmlformats.org/officeDocument/2006/relationships/image" Target="media/image17.wmf"/><Relationship Id="rId40" Type="http://schemas.openxmlformats.org/officeDocument/2006/relationships/oleObject" Target="embeddings/oleObject18.bin"/><Relationship Id="rId4" Type="http://schemas.openxmlformats.org/officeDocument/2006/relationships/footer" Target="footer2.xml"/><Relationship Id="rId39" Type="http://schemas.openxmlformats.org/officeDocument/2006/relationships/image" Target="media/image16.wmf"/><Relationship Id="rId38" Type="http://schemas.openxmlformats.org/officeDocument/2006/relationships/oleObject" Target="embeddings/oleObject17.bin"/><Relationship Id="rId37" Type="http://schemas.openxmlformats.org/officeDocument/2006/relationships/image" Target="media/image15.wmf"/><Relationship Id="rId36" Type="http://schemas.openxmlformats.org/officeDocument/2006/relationships/oleObject" Target="embeddings/oleObject16.bin"/><Relationship Id="rId35" Type="http://schemas.openxmlformats.org/officeDocument/2006/relationships/image" Target="media/image14.wmf"/><Relationship Id="rId34" Type="http://schemas.openxmlformats.org/officeDocument/2006/relationships/oleObject" Target="embeddings/oleObject15.bin"/><Relationship Id="rId33" Type="http://schemas.openxmlformats.org/officeDocument/2006/relationships/oleObject" Target="embeddings/oleObject14.bin"/><Relationship Id="rId32" Type="http://schemas.openxmlformats.org/officeDocument/2006/relationships/image" Target="media/image13.wmf"/><Relationship Id="rId31" Type="http://schemas.openxmlformats.org/officeDocument/2006/relationships/oleObject" Target="embeddings/oleObject13.bin"/><Relationship Id="rId30" Type="http://schemas.openxmlformats.org/officeDocument/2006/relationships/image" Target="media/image12.wmf"/><Relationship Id="rId3" Type="http://schemas.openxmlformats.org/officeDocument/2006/relationships/footer" Target="footer1.xml"/><Relationship Id="rId29" Type="http://schemas.openxmlformats.org/officeDocument/2006/relationships/oleObject" Target="embeddings/oleObject12.bin"/><Relationship Id="rId28" Type="http://schemas.openxmlformats.org/officeDocument/2006/relationships/image" Target="media/image11.wmf"/><Relationship Id="rId27" Type="http://schemas.openxmlformats.org/officeDocument/2006/relationships/oleObject" Target="embeddings/oleObject11.bin"/><Relationship Id="rId26" Type="http://schemas.openxmlformats.org/officeDocument/2006/relationships/image" Target="media/image10.wmf"/><Relationship Id="rId25" Type="http://schemas.openxmlformats.org/officeDocument/2006/relationships/oleObject" Target="embeddings/oleObject10.bin"/><Relationship Id="rId24" Type="http://schemas.openxmlformats.org/officeDocument/2006/relationships/image" Target="media/image9.wmf"/><Relationship Id="rId23" Type="http://schemas.openxmlformats.org/officeDocument/2006/relationships/oleObject" Target="embeddings/oleObject9.bin"/><Relationship Id="rId22" Type="http://schemas.openxmlformats.org/officeDocument/2006/relationships/image" Target="media/image8.wmf"/><Relationship Id="rId21" Type="http://schemas.openxmlformats.org/officeDocument/2006/relationships/oleObject" Target="embeddings/oleObject8.bin"/><Relationship Id="rId20" Type="http://schemas.openxmlformats.org/officeDocument/2006/relationships/image" Target="media/image7.wmf"/><Relationship Id="rId2" Type="http://schemas.openxmlformats.org/officeDocument/2006/relationships/settings" Target="settings.xml"/><Relationship Id="rId19" Type="http://schemas.openxmlformats.org/officeDocument/2006/relationships/oleObject" Target="embeddings/oleObject7.bin"/><Relationship Id="rId18" Type="http://schemas.openxmlformats.org/officeDocument/2006/relationships/image" Target="media/image6.wmf"/><Relationship Id="rId17" Type="http://schemas.openxmlformats.org/officeDocument/2006/relationships/oleObject" Target="embeddings/oleObject6.bin"/><Relationship Id="rId16" Type="http://schemas.openxmlformats.org/officeDocument/2006/relationships/image" Target="media/image5.wmf"/><Relationship Id="rId15" Type="http://schemas.openxmlformats.org/officeDocument/2006/relationships/oleObject" Target="embeddings/oleObject5.bin"/><Relationship Id="rId14" Type="http://schemas.openxmlformats.org/officeDocument/2006/relationships/image" Target="media/image4.wmf"/><Relationship Id="rId13" Type="http://schemas.openxmlformats.org/officeDocument/2006/relationships/oleObject" Target="embeddings/oleObject4.bin"/><Relationship Id="rId12" Type="http://schemas.openxmlformats.org/officeDocument/2006/relationships/image" Target="media/image3.wmf"/><Relationship Id="rId11" Type="http://schemas.openxmlformats.org/officeDocument/2006/relationships/oleObject" Target="embeddings/oleObject3.bin"/><Relationship Id="rId10" Type="http://schemas.openxmlformats.org/officeDocument/2006/relationships/image" Target="media/image2.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193a53d7-02d6-4210-96d1-632e4743cad6</errorID>
      <errorWord>引言</errorWord>
      <group>L1_Word</group>
      <groupName>字词问题</groupName>
      <ability>L2_Typo</ability>
      <abilityName>字词错误</abilityName>
      <candidateList>
        <item> 引言</item>
      </candidateList>
      <explain/>
      <paraID>674A43B3</paraID>
      <start>0</start>
      <end>2</end>
      <status>unmodified</status>
      <modifiedWord/>
      <trackRevisions>false</trackRevisions>
    </reviewItem>
    <reviewItem>
      <errorID>fa71a190-038b-4596-ac50-fd130640e732</errorID>
      <errorWord>明确个人</errorWord>
      <group>L1_Grammar</group>
      <groupName>语法问题</groupName>
      <ability>L2_Grammar</ability>
      <abilityName>语法错误</abilityName>
      <candidateList>
        <item>明确</item>
      </candidateList>
      <explain/>
      <paraID>24A617D8</paraID>
      <start>121</start>
      <end>125</end>
      <status>ignored</status>
      <modifiedWord/>
      <trackRevisions>false</trackRevisions>
    </reviewItem>
    <reviewItem>
      <errorID>a2038b7a-9757-4b0a-98ae-1efdc7b4ba9c</errorID>
      <errorWord>本</errorWord>
      <group>L1_Word</group>
      <groupName>字词问题</groupName>
      <ability>L2_Typo</ability>
      <abilityName>字词错误</abilityName>
      <candidateList>
        <item> 本</item>
      </candidateList>
      <explain/>
      <paraID>7A7D588C</paraID>
      <start>0</start>
      <end>1</end>
      <status>unmodified</status>
      <modifiedWord/>
      <trackRevisions>false</trackRevisions>
    </reviewItem>
    <reviewItem>
      <errorID>9d490b91-46d6-4d84-b5b1-52a7659e07c7</errorID>
      <errorWord>CDM-EB Tool05</errorWord>
      <group>L1_Other</group>
      <groupName>其他问题</groupName>
      <ability>L2_Consistency</ability>
      <abilityName>一致性检查</abilityName>
      <candidateList>
        <item>CDM EB tool 05</item>
      </candidateList>
      <explain>实体一致性错误，后文引用该工具名称格式为CDM EB tool 05，此处格式不一致</explain>
      <paraID>4EE75F38</paraID>
      <start>0</start>
      <end>13</end>
      <status>unmodified</status>
      <modifiedWord/>
      <trackRevisions>false</trackRevisions>
    </reviewItem>
    <reviewItem>
      <errorID>c8dce62e-f5dc-4b33-8ace-10b84141b24e</errorID>
      <errorWord>。</errorWord>
      <group>L1_Punc</group>
      <groupName>标点问题</groupName>
      <ability>L2_Punc_CN</ability>
      <abilityName>标点符号问题</abilityName>
      <candidateList>
        <item/>
      </candidateList>
      <explain/>
      <paraID>324065DC</paraID>
      <start>26</start>
      <end>27</end>
      <status>unmodified</status>
      <modifiedWord/>
      <trackRevisions>false</trackRevisions>
    </reviewItem>
    <reviewItem>
      <errorID>294dc3c0-71b6-4794-99fe-7c7973a61b15</errorID>
      <errorWord>基本</errorWord>
      <group>L1_Punc</group>
      <groupName>标点问题</groupName>
      <ability>L2_Punc_CN</ability>
      <abilityName>标点符号问题</abilityName>
      <candidateList>
        <item>. 基本</item>
      </candidateList>
      <explain/>
      <paraID>3E522A90</paraID>
      <start>0</start>
      <end>2</end>
      <status>unmodified</status>
      <modifiedWord/>
      <trackRevisions>false</trackRevisions>
    </reviewItem>
    <reviewItem>
      <errorID>258e9b86-e195-407e-aae0-e8bcd33454ed</errorID>
      <errorWord>核算</errorWord>
      <group>L1_Punc</group>
      <groupName>标点问题</groupName>
      <ability>L2_Punc_CN</ability>
      <abilityName>标点符号问题</abilityName>
      <candidateList>
        <item>. 核算</item>
      </candidateList>
      <explain/>
      <paraID>26C6FF6F</paraID>
      <start>0</start>
      <end>2</end>
      <status>unmodified</status>
      <modifiedWord/>
      <trackRevisions>false</trackRevisions>
    </reviewItem>
    <reviewItem>
      <errorID>fd5cbbe0-5072-478b-976f-c4161fdc1aed</errorID>
      <errorWord>减排</errorWord>
      <group>L1_Punc</group>
      <groupName>标点问题</groupName>
      <ability>L2_Punc_CN</ability>
      <abilityName>标点符号问题</abilityName>
      <candidateList>
        <item>. 减排</item>
      </candidateList>
      <explain/>
      <paraID>4E05064D</paraID>
      <start>0</start>
      <end>2</end>
      <status>unmodified</status>
      <modifiedWord/>
      <trackRevisions>false</trackRevisions>
    </reviewItem>
    <reviewItem>
      <errorID>afbe747b-05e5-425a-83f5-feade74749ba</errorID>
      <errorWord>（</errorWord>
      <group>L1_Format</group>
      <groupName>格式问题</groupName>
      <ability>L2_HalfPunc_CN</ability>
      <abilityName>全半角问题</abilityName>
      <candidateList>
        <item>(</item>
      </candidateList>
      <explain>文本全半角错误。</explain>
      <paraID>5E56CD98</paraID>
      <start>92</start>
      <end>93</end>
      <status>unmodified</status>
      <modifiedWord/>
      <trackRevisions>false</trackRevisions>
    </reviewItem>
    <reviewItem>
      <errorID>90817062-4572-4526-9304-03e6c19d03d8</errorID>
      <errorWord>）</errorWord>
      <group>L1_Format</group>
      <groupName>格式问题</groupName>
      <ability>L2_HalfPunc_CN</ability>
      <abilityName>全半角问题</abilityName>
      <candidateList>
        <item>)</item>
      </candidateList>
      <explain>文本全半角错误。</explain>
      <paraID>5E56CD98</paraID>
      <start>94</start>
      <end>95</end>
      <status>unmodified</status>
      <modifiedWord/>
      <trackRevisions>false</trackRevisions>
    </reviewItem>
    <reviewItem>
      <errorID>98e553c6-7aff-414f-89c4-015f40270d50</errorID>
      <errorWord>（</errorWord>
      <group>L1_Format</group>
      <groupName>格式问题</groupName>
      <ability>L2_HalfPunc_CN</ability>
      <abilityName>全半角问题</abilityName>
      <candidateList>
        <item>(</item>
      </candidateList>
      <explain>文本全半角错误。</explain>
      <paraID>76FEA44F</paraID>
      <start>34</start>
      <end>35</end>
      <status>unmodified</status>
      <modifiedWord/>
      <trackRevisions>false</trackRevisions>
    </reviewItem>
    <reviewItem>
      <errorID>74863c0b-ab3e-4160-97cd-5f89ed309297</errorID>
      <errorWord>）</errorWord>
      <group>L1_Format</group>
      <groupName>格式问题</groupName>
      <ability>L2_HalfPunc_CN</ability>
      <abilityName>全半角问题</abilityName>
      <candidateList>
        <item>)</item>
      </candidateList>
      <explain>文本全半角错误。</explain>
      <paraID>76FEA44F</paraID>
      <start>36</start>
      <end>37</end>
      <status>unmodified</status>
      <modifiedWord/>
      <trackRevisions>false</trackRevisions>
    </reviewItem>
    <reviewItem>
      <errorID>bd7b2e6f-66a2-4a05-a053-404a278b915f</errorID>
      <errorWord>（</errorWord>
      <group>L1_Format</group>
      <groupName>格式问题</groupName>
      <ability>L2_HalfPunc_CN</ability>
      <abilityName>全半角问题</abilityName>
      <candidateList>
        <item>(</item>
      </candidateList>
      <explain>文本全半角错误。</explain>
      <paraID>1255C6ED</paraID>
      <start>58</start>
      <end>59</end>
      <status>unmodified</status>
      <modifiedWord/>
      <trackRevisions>false</trackRevisions>
    </reviewItem>
    <reviewItem>
      <errorID>01e1ef95-17a1-4c8b-9253-375ba6c6bbb0</errorID>
      <errorWord>）</errorWord>
      <group>L1_Format</group>
      <groupName>格式问题</groupName>
      <ability>L2_HalfPunc_CN</ability>
      <abilityName>全半角问题</abilityName>
      <candidateList>
        <item>)</item>
      </candidateList>
      <explain>文本全半角错误。</explain>
      <paraID>1255C6ED</paraID>
      <start>60</start>
      <end>61</end>
      <status>unmodified</status>
      <modifiedWord/>
      <trackRevisions>false</trackRevisions>
    </reviewItem>
    <reviewItem>
      <errorID>8e6c969a-25db-4c8d-add6-8654e2bf8415</errorID>
      <errorWord>,</errorWord>
      <group>L1_Punc</group>
      <groupName>标点问题</groupName>
      <ability>L2_Punc_CN</ability>
      <abilityName>标点符号问题</abilityName>
      <candidateList/>
      <explain/>
      <paraID>56A496E2</paraID>
      <start>10</start>
      <end>11</end>
      <status>unmodified</status>
      <modifiedWord/>
      <trackRevisions>false</trackRevisions>
    </reviewItem>
    <reviewItem>
      <errorID>e002b5ff-914e-4e0c-a319-524184202536</errorID>
      <errorWord>泄露</errorWord>
      <group>L1_Word</group>
      <groupName>字词问题</groupName>
      <ability>L2_Typo</ability>
      <abilityName>字词错误</abilityName>
      <candidateList>
        <item>泄漏</item>
      </candidateList>
      <explain>存在发音相同字词的误用。</explain>
      <paraID>75757E3B</paraID>
      <start>4</start>
      <end>6</end>
      <status>unmodified</status>
      <modifiedWord/>
      <trackRevisions>false</trackRevisions>
    </reviewItem>
    <reviewItem>
      <errorID>7732b4e9-7300-4c33-b99e-ef39aa3d2e45</errorID>
      <errorWord>（</errorWord>
      <group>L1_Format</group>
      <groupName>格式问题</groupName>
      <ability>L2_HalfPunc_CN</ability>
      <abilityName>全半角问题</abilityName>
      <candidateList>
        <item>(</item>
      </candidateList>
      <explain>文本全半角错误。</explain>
      <paraID>5674C248</paraID>
      <start>41</start>
      <end>42</end>
      <status>unmodified</status>
      <modifiedWord/>
      <trackRevisions>false</trackRevisions>
    </reviewItem>
    <reviewItem>
      <errorID>7e3de14f-a512-4ab8-8e19-9657178b04a6</errorID>
      <errorWord>）</errorWord>
      <group>L1_Format</group>
      <groupName>格式问题</groupName>
      <ability>L2_HalfPunc_CN</ability>
      <abilityName>全半角问题</abilityName>
      <candidateList>
        <item>)</item>
      </candidateList>
      <explain>文本全半角错误。</explain>
      <paraID>5674C248</paraID>
      <start>43</start>
      <end>44</end>
      <status>unmodified</status>
      <modifiedWord/>
      <trackRevisions>false</trackRevisions>
    </reviewItem>
    <reviewItem>
      <errorID>9373853e-dba8-41a6-9eb7-a21560127257</errorID>
      <errorWord>数据</errorWord>
      <group>L1_Punc</group>
      <groupName>标点问题</groupName>
      <ability>L2_Punc_CN</ability>
      <abilityName>标点符号问题</abilityName>
      <candidateList>
        <item>. 数据</item>
      </candidateList>
      <explain/>
      <paraID>788AE6EA</paraID>
      <start>0</start>
      <end>2</end>
      <status>unmodified</status>
      <modifiedWord/>
      <trackRevisions>false</trackRevisions>
    </reviewItem>
    <reviewItem>
      <errorID>6d4c53d4-7d16-4a6d-8122-125021a8e490</errorID>
      <errorWord>（</errorWord>
      <group>L1_Format</group>
      <groupName>格式问题</groupName>
      <ability>L2_HalfPunc_CN</ability>
      <abilityName>全半角问题</abilityName>
      <candidateList>
        <item>(</item>
      </candidateList>
      <explain>文本全半角错误。</explain>
      <paraID>4E523D8A</paraID>
      <start>0</start>
      <end>1</end>
      <status>unmodified</status>
      <modifiedWord/>
      <trackRevisions>false</trackRevisions>
    </reviewItem>
    <reviewItem>
      <errorID>dd6ac1fc-75b6-4562-a5ba-39c71d263b72</errorID>
      <errorWord>）</errorWord>
      <group>L1_Format</group>
      <groupName>格式问题</groupName>
      <ability>L2_HalfPunc_CN</ability>
      <abilityName>全半角问题</abilityName>
      <candidateList>
        <item>)</item>
      </candidateList>
      <explain>文本全半角错误。</explain>
      <paraID>4E523D8A</paraID>
      <start>2</start>
      <end>3</end>
      <status>unmodified</status>
      <modifiedWord/>
      <trackRevisions>false</trackRevisions>
    </reviewItem>
    <reviewItem>
      <errorID>b456c3da-040b-40d0-be1b-f8f43eaaccd8</errorID>
      <errorWord>泄露</errorWord>
      <group>L1_Word</group>
      <groupName>字词问题</groupName>
      <ability>L2_Typo</ability>
      <abilityName>字词错误</abilityName>
      <candidateList>
        <item>泄漏</item>
      </candidateList>
      <explain>存在发音相同字词的误用。</explain>
      <paraID>2727F538</paraID>
      <start>33</start>
      <end>35</end>
      <status>unmodified</status>
      <modifiedWord/>
      <trackRevisions>false</trackRevisions>
    </reviewItem>
    <reviewItem>
      <errorID>8eecf76c-8079-4a7a-a540-be61915bb055</errorID>
      <errorWord>  </errorWord>
      <group>L1_Punc</group>
      <groupName>标点问题</groupName>
      <ability>L2_Punc_CN</ability>
      <abilityName>标点符号问题</abilityName>
      <candidateList>
        <item/>
      </candidateList>
      <explain>此处空格冗余，建议删除。</explain>
      <paraID>66731DC4</paraID>
      <start>2</start>
      <end>4</end>
      <status>unmodified</status>
      <modifiedWord/>
      <trackRevisions>false</trackRevisions>
    </reviewItem>
    <reviewItem>
      <errorID>36dedd43-effb-4299-bf09-606c389c79ae</errorID>
      <errorWord>（</errorWord>
      <group>L1_Format</group>
      <groupName>格式问题</groupName>
      <ability>L2_HalfPunc_CN</ability>
      <abilityName>全半角问题</abilityName>
      <candidateList>
        <item>(</item>
      </candidateList>
      <explain>文本全半角错误。</explain>
      <paraID> 626FA30</paraID>
      <start>0</start>
      <end>1</end>
      <status>unmodified</status>
      <modifiedWord/>
      <trackRevisions>false</trackRevisions>
    </reviewItem>
    <reviewItem>
      <errorID>49f87fab-b981-4ba7-ac1f-e272a25882d9</errorID>
      <errorWord>）</errorWord>
      <group>L1_Format</group>
      <groupName>格式问题</groupName>
      <ability>L2_HalfPunc_CN</ability>
      <abilityName>全半角问题</abilityName>
      <candidateList>
        <item>)</item>
      </candidateList>
      <explain>文本全半角错误。</explain>
      <paraID> 626FA30</paraID>
      <start>2</start>
      <end>3</end>
      <status>unmodified</status>
      <modifiedWord/>
      <trackRevisions>false</trackRevisions>
    </reviewItem>
    <reviewItem>
      <errorID>8c5b30cf-e7b9-43f6-81e1-213145f85057</errorID>
      <errorWord>~</errorWord>
      <group>L1_Format</group>
      <groupName>格式问题</groupName>
      <ability>L2_HalfPunc_CN</ability>
      <abilityName>全半角问题</abilityName>
      <candidateList>
        <item>～</item>
      </candidateList>
      <explain>文本全半角错误。</explain>
      <paraID>1155BF79</paraID>
      <start>5</start>
      <end>6</end>
      <status>unmodified</status>
      <modifiedWord/>
      <trackRevisions>false</trackRevisions>
    </reviewItem>
    <reviewItem>
      <errorID>f5a25e56-1eb9-4258-bd15-53a34ed8be20</errorID>
      <errorWord>  </errorWord>
      <group>L1_Punc</group>
      <groupName>标点问题</groupName>
      <ability>L2_Punc_CN</ability>
      <abilityName>标点符号问题</abilityName>
      <candidateList>
        <item/>
      </candidateList>
      <explain>此处空格冗余，建议删除。</explain>
      <paraID>7F8F10D9</paraID>
      <start>2</start>
      <end>4</end>
      <status>unmodified</status>
      <modifiedWord/>
      <trackRevisions>false</trackRevisions>
    </reviewItem>
    <reviewItem>
      <errorID>2ad60768-e802-4155-a054-006b43ddba3e</errorID>
      <errorWord>（</errorWord>
      <group>L1_Format</group>
      <groupName>格式问题</groupName>
      <ability>L2_HalfPunc_CN</ability>
      <abilityName>全半角问题</abilityName>
      <candidateList>
        <item>(</item>
      </candidateList>
      <explain>文本全半角错误。</explain>
      <paraID>695B74BC</paraID>
      <start>0</start>
      <end>1</end>
      <status>unmodified</status>
      <modifiedWord/>
      <trackRevisions>false</trackRevisions>
    </reviewItem>
    <reviewItem>
      <errorID>78f92100-c2b0-41b5-b901-d02aa864b2dd</errorID>
      <errorWord>）</errorWord>
      <group>L1_Format</group>
      <groupName>格式问题</groupName>
      <ability>L2_HalfPunc_CN</ability>
      <abilityName>全半角问题</abilityName>
      <candidateList>
        <item>)</item>
      </candidateList>
      <explain>文本全半角错误。</explain>
      <paraID>695B74BC</paraID>
      <start>2</start>
      <end>3</end>
      <status>unmodified</status>
      <modifiedWord/>
      <trackRevisions>false</trackRevisions>
    </reviewItem>
    <reviewItem>
      <errorID>ccd9429f-d922-4d21-9bf5-fe7fa822581a</errorID>
      <errorWord>  </errorWord>
      <group>L1_Punc</group>
      <groupName>标点问题</groupName>
      <ability>L2_Punc_CN</ability>
      <abilityName>标点符号问题</abilityName>
      <candidateList>
        <item/>
      </candidateList>
      <explain>此处空格冗余，建议删除。</explain>
      <paraID> 43899F3</paraID>
      <start>2</start>
      <end>4</end>
      <status>unmodified</status>
      <modifiedWord/>
      <trackRevisions>false</trackRevisions>
    </reviewItem>
    <reviewItem>
      <errorID>bc34bb0c-93a0-4de1-ba5a-63a34558d00f</errorID>
      <errorWord>（</errorWord>
      <group>L1_Format</group>
      <groupName>格式问题</groupName>
      <ability>L2_HalfPunc_CN</ability>
      <abilityName>全半角问题</abilityName>
      <candidateList>
        <item>(</item>
      </candidateList>
      <explain>文本全半角错误。</explain>
      <paraID>7B708FC2</paraID>
      <start>0</start>
      <end>1</end>
      <status>unmodified</status>
      <modifiedWord/>
      <trackRevisions>false</trackRevisions>
    </reviewItem>
    <reviewItem>
      <errorID>21998adf-426b-4bcc-85b0-b8d461189937</errorID>
      <errorWord>）</errorWord>
      <group>L1_Format</group>
      <groupName>格式问题</groupName>
      <ability>L2_HalfPunc_CN</ability>
      <abilityName>全半角问题</abilityName>
      <candidateList>
        <item>)</item>
      </candidateList>
      <explain>文本全半角错误。</explain>
      <paraID>7B708FC2</paraID>
      <start>2</start>
      <end>3</end>
      <status>unmodified</status>
      <modifiedWord/>
      <trackRevisions>false</trackRevisions>
    </reviewItem>
    <reviewItem>
      <errorID>610af9c0-2c12-48e0-bbfe-49503b5b6b46</errorID>
      <errorWord>  </errorWord>
      <group>L1_Punc</group>
      <groupName>标点问题</groupName>
      <ability>L2_Punc_CN</ability>
      <abilityName>标点符号问题</abilityName>
      <candidateList>
        <item/>
      </candidateList>
      <explain>此处空格冗余，建议删除。</explain>
      <paraID>416DE72D</paraID>
      <start>2</start>
      <end>4</end>
      <status>unmodified</status>
      <modifiedWord/>
      <trackRevisions>false</trackRevisions>
    </reviewItem>
    <reviewItem>
      <errorID>f7f7a0f4-1967-4971-a3ff-1fcfa2996888</errorID>
      <errorWord>（</errorWord>
      <group>L1_Format</group>
      <groupName>格式问题</groupName>
      <ability>L2_HalfPunc_CN</ability>
      <abilityName>全半角问题</abilityName>
      <candidateList>
        <item>(</item>
      </candidateList>
      <explain>文本全半角错误。</explain>
      <paraID>7A450075</paraID>
      <start>0</start>
      <end>1</end>
      <status>unmodified</status>
      <modifiedWord/>
      <trackRevisions>false</trackRevisions>
    </reviewItem>
    <reviewItem>
      <errorID>d711196d-c512-4bf2-93fc-81e8c51f5fe6</errorID>
      <errorWord>）</errorWord>
      <group>L1_Format</group>
      <groupName>格式问题</groupName>
      <ability>L2_HalfPunc_CN</ability>
      <abilityName>全半角问题</abilityName>
      <candidateList>
        <item>)</item>
      </candidateList>
      <explain>文本全半角错误。</explain>
      <paraID>7A450075</paraID>
      <start>2</start>
      <end>3</end>
      <status>unmodified</status>
      <modifiedWord/>
      <trackRevisions>false</trackRevisions>
    </reviewItem>
    <reviewItem>
      <errorID>88618041-d308-4c5a-95e5-06cfa25d3125</errorID>
      <errorWord>（</errorWord>
      <group>L1_Format</group>
      <groupName>格式问题</groupName>
      <ability>L2_HalfPunc_CN</ability>
      <abilityName>全半角问题</abilityName>
      <candidateList>
        <item>(</item>
      </candidateList>
      <explain>文本全半角错误。</explain>
      <paraID>4D989F41</paraID>
      <start>0</start>
      <end>1</end>
      <status>unmodified</status>
      <modifiedWord/>
      <trackRevisions>false</trackRevisions>
    </reviewItem>
    <reviewItem>
      <errorID>37ceb834-7131-4b14-b2b9-7da1aa1674b0</errorID>
      <errorWord>）</errorWord>
      <group>L1_Format</group>
      <groupName>格式问题</groupName>
      <ability>L2_HalfPunc_CN</ability>
      <abilityName>全半角问题</abilityName>
      <candidateList>
        <item>)</item>
      </candidateList>
      <explain>文本全半角错误。</explain>
      <paraID>4D989F41</paraID>
      <start>2</start>
      <end>3</end>
      <status>unmodified</status>
      <modifiedWord/>
      <trackRevisions>false</trackRevisions>
    </reviewItem>
    <reviewItem>
      <errorID>efa3c205-a78d-4b63-82d5-08fb8811d073</errorID>
      <errorWord>  </errorWord>
      <group>L1_Punc</group>
      <groupName>标点问题</groupName>
      <ability>L2_Punc_CN</ability>
      <abilityName>标点符号问题</abilityName>
      <candidateList>
        <item/>
      </candidateList>
      <explain>此处空格冗余，建议删除。</explain>
      <paraID>747025C0</paraID>
      <start>2</start>
      <end>4</end>
      <status>unmodified</status>
      <modifiedWord/>
      <trackRevisions>false</trackRevisions>
    </reviewItem>
    <reviewItem>
      <errorID>60cf6a04-f37f-4bed-9b35-2fdb2301ea5e</errorID>
      <errorWord>（</errorWord>
      <group>L1_Format</group>
      <groupName>格式问题</groupName>
      <ability>L2_HalfPunc_CN</ability>
      <abilityName>全半角问题</abilityName>
      <candidateList>
        <item>(</item>
      </candidateList>
      <explain>文本全半角错误。</explain>
      <paraID>3C464940</paraID>
      <start>0</start>
      <end>1</end>
      <status>unmodified</status>
      <modifiedWord/>
      <trackRevisions>false</trackRevisions>
    </reviewItem>
    <reviewItem>
      <errorID>dba5ff2d-bb86-4fdb-9d60-c569d8332fde</errorID>
      <errorWord>）</errorWord>
      <group>L1_Format</group>
      <groupName>格式问题</groupName>
      <ability>L2_HalfPunc_CN</ability>
      <abilityName>全半角问题</abilityName>
      <candidateList>
        <item>)</item>
      </candidateList>
      <explain>文本全半角错误。</explain>
      <paraID>3C464940</paraID>
      <start>2</start>
      <end>3</end>
      <status>unmodified</status>
      <modifiedWord/>
      <trackRevisions>false</trackRevisions>
    </reviewItem>
    <reviewItem>
      <errorID>934c06be-4c4e-4698-bf36-beb3490210d9</errorID>
      <errorWord>,</errorWord>
      <group>L1_Punc</group>
      <groupName>标点问题</groupName>
      <ability>L2_Punc_CN</ability>
      <abilityName>标点符号问题</abilityName>
      <candidateList/>
      <explain/>
      <paraID>662D7AA6</paraID>
      <start>10</start>
      <end>11</end>
      <status>unmodified</status>
      <modifiedWord/>
      <trackRevisions>false</trackRevisions>
    </reviewItem>
    <reviewItem>
      <errorID>9a4d5816-a78e-4caa-9284-a67248df56fc</errorID>
      <errorWord>（</errorWord>
      <group>L1_Format</group>
      <groupName>格式问题</groupName>
      <ability>L2_HalfPunc_CN</ability>
      <abilityName>全半角问题</abilityName>
      <candidateList>
        <item>(</item>
      </candidateList>
      <explain>文本全半角错误。</explain>
      <paraID>1D3B2240</paraID>
      <start>0</start>
      <end>1</end>
      <status>unmodified</status>
      <modifiedWord/>
      <trackRevisions>false</trackRevisions>
    </reviewItem>
    <reviewItem>
      <errorID>9d272ea4-d260-406f-bfef-f92909fb965c</errorID>
      <errorWord>）</errorWord>
      <group>L1_Format</group>
      <groupName>格式问题</groupName>
      <ability>L2_HalfPunc_CN</ability>
      <abilityName>全半角问题</abilityName>
      <candidateList>
        <item>)</item>
      </candidateList>
      <explain>文本全半角错误。</explain>
      <paraID>1D3B2240</paraID>
      <start>2</start>
      <end>3</end>
      <status>unmodified</status>
      <modifiedWord/>
      <trackRevisions>false</trackRevisions>
    </reviewItem>
    <reviewItem>
      <errorID>8399a4dc-1d65-42bc-8be2-1acab338de8d</errorID>
      <errorWord>项目</errorWord>
      <group>L1_Punc</group>
      <groupName>标点问题</groupName>
      <ability>L2_Punc_CN</ability>
      <abilityName>标点符号问题</abilityName>
      <candidateList>
        <item>. 项目</item>
      </candidateList>
      <explain/>
      <paraID>6B909B28</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679d9-ddbc-47d3-9092-dccc0b66f4bd}">
  <ds:schemaRefs/>
</ds:datastoreItem>
</file>

<file path=customXml/itemProps2.xml><?xml version="1.0" encoding="utf-8"?>
<ds:datastoreItem xmlns:ds="http://schemas.openxmlformats.org/officeDocument/2006/customXml" ds:itemID="{4220073B-BE95-4226-844B-D8F894C17F39}">
  <ds:schemaRefs/>
</ds:datastoreItem>
</file>

<file path=docProps/app.xml><?xml version="1.0" encoding="utf-8"?>
<Properties xmlns="http://schemas.openxmlformats.org/officeDocument/2006/extended-properties" xmlns:vt="http://schemas.openxmlformats.org/officeDocument/2006/docPropsVTypes">
  <Template>Normal</Template>
  <Pages>13</Pages>
  <Words>2855</Words>
  <Characters>3090</Characters>
  <Lines>42</Lines>
  <Paragraphs>11</Paragraphs>
  <TotalTime>6</TotalTime>
  <ScaleCrop>false</ScaleCrop>
  <LinksUpToDate>false</LinksUpToDate>
  <CharactersWithSpaces>3219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2024-07-25T08:50:00Z</dcterms:created>
  <dc:creator>Yidan WANG</dc:creator>
  <cp:lastModifiedBy>anrisun</cp:lastModifiedBy>
  <dcterms:modified xsi:type="dcterms:W3CDTF">2026-07-31T07:29:38Z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6DE1A510B88745DAB12CF63CBC40B354_13</vt:lpwstr>
  </property>
  <property fmtid="{D5CDD505-2E9C-101B-9397-08002B2CF9AE}" pid="4" name="MTWinEqns">
    <vt:bool>true</vt:bool>
  </property>
  <property fmtid="{D5CDD505-2E9C-101B-9397-08002B2CF9AE}" pid="5" name="KSOTemplateDocerSaveRecord">
    <vt:lpwstr>eyJoZGlkIjoiOTZhMGU3YWI5ZTAwZWUxMmMzNjNkODIwNDhkZTEwZjEiLCJ1c2VySWQiOiI2MDQ5MTI3OTUifQ==</vt:lpwstr>
  </property>
</Properties>
</file>