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55136">
      <w:pPr>
        <w:rPr>
          <w:sz w:val="52"/>
          <w:szCs w:val="52"/>
        </w:rPr>
      </w:pPr>
      <w:bookmarkStart w:id="0" w:name="OLE_LINK14"/>
    </w:p>
    <w:p w14:paraId="28496248">
      <w:pPr>
        <w:rPr>
          <w:sz w:val="52"/>
          <w:szCs w:val="52"/>
        </w:rPr>
      </w:pPr>
    </w:p>
    <w:p w14:paraId="224C1995">
      <w:pPr>
        <w:rPr>
          <w:sz w:val="52"/>
          <w:szCs w:val="52"/>
        </w:rPr>
      </w:pPr>
    </w:p>
    <w:p w14:paraId="5C7E3029">
      <w:pPr>
        <w:keepNext/>
        <w:keepLines/>
        <w:widowControl/>
        <w:spacing w:before="312" w:beforeLines="100" w:after="312" w:afterLines="100" w:line="560" w:lineRule="exact"/>
        <w:jc w:val="center"/>
        <w:outlineLvl w:val="0"/>
        <w:rPr>
          <w:rFonts w:ascii="黑体" w:hAnsi="黑体" w:eastAsia="黑体" w:cs="Times New Roman"/>
          <w:bCs/>
          <w:kern w:val="44"/>
          <w:sz w:val="52"/>
          <w:szCs w:val="52"/>
        </w:rPr>
      </w:pPr>
      <w:bookmarkStart w:id="1" w:name="_Toc225155025"/>
      <w:bookmarkStart w:id="2" w:name="_Toc225155009"/>
      <w:bookmarkStart w:id="3" w:name="_Toc225154726"/>
      <w:bookmarkStart w:id="4" w:name="_Toc5335"/>
      <w:bookmarkStart w:id="5" w:name="_Toc232172233"/>
      <w:bookmarkStart w:id="6" w:name="_Toc225155149"/>
      <w:r>
        <w:rPr>
          <w:rFonts w:hint="eastAsia" w:ascii="黑体" w:hAnsi="黑体" w:eastAsia="黑体" w:cs="Times New Roman"/>
          <w:bCs/>
          <w:kern w:val="44"/>
          <w:sz w:val="52"/>
          <w:szCs w:val="52"/>
        </w:rPr>
        <w:t>南京市绿色出行碳普惠方法学</w:t>
      </w:r>
      <w:bookmarkEnd w:id="1"/>
      <w:bookmarkEnd w:id="2"/>
      <w:bookmarkEnd w:id="3"/>
      <w:bookmarkEnd w:id="4"/>
      <w:bookmarkEnd w:id="5"/>
      <w:bookmarkEnd w:id="6"/>
    </w:p>
    <w:p w14:paraId="700A7639">
      <w:pPr>
        <w:keepNext/>
        <w:keepLines/>
        <w:widowControl/>
        <w:spacing w:before="312" w:beforeLines="100" w:after="312" w:afterLines="100" w:line="560" w:lineRule="exact"/>
        <w:jc w:val="center"/>
        <w:outlineLvl w:val="0"/>
        <w:rPr>
          <w:rFonts w:ascii="方正仿宋_GBK" w:hAnsi="方正仿宋_GBK" w:eastAsia="方正仿宋_GBK" w:cs="方正仿宋_GBK"/>
          <w:bCs/>
          <w:kern w:val="44"/>
          <w:sz w:val="32"/>
          <w:szCs w:val="32"/>
        </w:rPr>
      </w:pPr>
      <w:bookmarkStart w:id="7" w:name="_Toc232172234"/>
      <w:r>
        <w:rPr>
          <w:rFonts w:hint="eastAsia" w:ascii="方正仿宋_GBK" w:hAnsi="方正仿宋_GBK" w:eastAsia="方正仿宋_GBK" w:cs="方正仿宋_GBK"/>
          <w:bCs/>
          <w:kern w:val="44"/>
          <w:sz w:val="32"/>
          <w:szCs w:val="32"/>
        </w:rPr>
        <w:t>（</w:t>
      </w:r>
      <w:r>
        <w:rPr>
          <w:rFonts w:hint="eastAsia" w:ascii="方正仿宋_GBK" w:hAnsi="方正仿宋_GBK" w:eastAsia="方正仿宋_GBK" w:cs="方正仿宋_GBK"/>
          <w:bCs/>
          <w:kern w:val="44"/>
          <w:sz w:val="32"/>
          <w:szCs w:val="32"/>
          <w:lang w:val="en-US" w:eastAsia="zh-CN"/>
        </w:rPr>
        <w:t>公示</w:t>
      </w:r>
      <w:r>
        <w:rPr>
          <w:rFonts w:hint="eastAsia" w:ascii="方正仿宋_GBK" w:hAnsi="方正仿宋_GBK" w:eastAsia="方正仿宋_GBK" w:cs="方正仿宋_GBK"/>
          <w:bCs/>
          <w:kern w:val="44"/>
          <w:sz w:val="32"/>
          <w:szCs w:val="32"/>
        </w:rPr>
        <w:t>稿）</w:t>
      </w:r>
      <w:bookmarkEnd w:id="7"/>
    </w:p>
    <w:p w14:paraId="5C666709">
      <w:pPr>
        <w:rPr>
          <w:sz w:val="52"/>
          <w:szCs w:val="52"/>
        </w:rPr>
      </w:pPr>
    </w:p>
    <w:p w14:paraId="5F8BA7B3">
      <w:pPr>
        <w:rPr>
          <w:sz w:val="52"/>
          <w:szCs w:val="52"/>
        </w:rPr>
      </w:pPr>
    </w:p>
    <w:p w14:paraId="0BAD594B">
      <w:pPr>
        <w:rPr>
          <w:sz w:val="52"/>
          <w:szCs w:val="52"/>
        </w:rPr>
      </w:pPr>
    </w:p>
    <w:p w14:paraId="14474EDE">
      <w:pPr>
        <w:rPr>
          <w:sz w:val="52"/>
          <w:szCs w:val="52"/>
        </w:rPr>
      </w:pPr>
    </w:p>
    <w:p w14:paraId="0EA94C1B">
      <w:pPr>
        <w:rPr>
          <w:sz w:val="52"/>
          <w:szCs w:val="52"/>
        </w:rPr>
      </w:pPr>
    </w:p>
    <w:p w14:paraId="0FD956CB">
      <w:pPr>
        <w:rPr>
          <w:sz w:val="52"/>
          <w:szCs w:val="52"/>
        </w:rPr>
      </w:pPr>
    </w:p>
    <w:p w14:paraId="1FE358F4">
      <w:pPr>
        <w:rPr>
          <w:sz w:val="52"/>
          <w:szCs w:val="52"/>
        </w:rPr>
      </w:pPr>
    </w:p>
    <w:p w14:paraId="6FD84CBF">
      <w:pPr>
        <w:rPr>
          <w:sz w:val="52"/>
          <w:szCs w:val="52"/>
        </w:rPr>
      </w:pPr>
    </w:p>
    <w:p w14:paraId="58053FDC">
      <w:pPr>
        <w:jc w:val="center"/>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黑体" w:hAnsi="黑体" w:eastAsia="黑体"/>
          <w:sz w:val="32"/>
          <w:szCs w:val="32"/>
        </w:rPr>
        <w:t>二〇二六年六月</w:t>
      </w:r>
    </w:p>
    <w:p w14:paraId="5C6FBA28">
      <w:pPr>
        <w:jc w:val="center"/>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bookmarkEnd w:id="0"/>
    <w:p w14:paraId="37A8027D">
      <w:pPr>
        <w:pStyle w:val="9"/>
        <w:rPr>
          <w:rStyle w:val="15"/>
          <w:color w:val="auto"/>
          <w:u w:val="none"/>
        </w:rPr>
      </w:pPr>
      <w:r>
        <w:rPr>
          <w:sz w:val="28"/>
          <w:szCs w:val="28"/>
        </w:rPr>
        <w:fldChar w:fldCharType="begin"/>
      </w:r>
      <w:r>
        <w:instrText xml:space="preserve"> </w:instrText>
      </w:r>
      <w:r>
        <w:rPr>
          <w:rFonts w:hint="eastAsia"/>
        </w:rPr>
        <w:instrText xml:space="preserve">TOC \o "1-2" \h \z \u</w:instrText>
      </w:r>
      <w:r>
        <w:instrText xml:space="preserve"> </w:instrText>
      </w:r>
      <w:r>
        <w:rPr>
          <w:sz w:val="28"/>
          <w:szCs w:val="28"/>
        </w:rPr>
        <w:fldChar w:fldCharType="separate"/>
      </w:r>
      <w:r>
        <w:rPr>
          <w:rStyle w:val="15"/>
          <w:rFonts w:hint="eastAsia"/>
          <w:color w:val="auto"/>
          <w:u w:val="none"/>
        </w:rPr>
        <w:t>目 录</w:t>
      </w:r>
    </w:p>
    <w:p w14:paraId="196BFB3F"/>
    <w:p w14:paraId="4374364C">
      <w:pPr>
        <w:pStyle w:val="10"/>
      </w:pPr>
      <w:r>
        <w:fldChar w:fldCharType="begin"/>
      </w:r>
      <w:r>
        <w:instrText xml:space="preserve"> HYPERLINK \l "_Toc232172236" </w:instrText>
      </w:r>
      <w:r>
        <w:fldChar w:fldCharType="separate"/>
      </w:r>
      <w:r>
        <w:rPr>
          <w:rStyle w:val="15"/>
        </w:rPr>
        <w:t>1 引言</w:t>
      </w:r>
      <w:r>
        <w:tab/>
      </w:r>
      <w:r>
        <w:fldChar w:fldCharType="begin"/>
      </w:r>
      <w:r>
        <w:instrText xml:space="preserve"> PAGEREF _Toc232172236 \h </w:instrText>
      </w:r>
      <w:r>
        <w:fldChar w:fldCharType="separate"/>
      </w:r>
      <w:r>
        <w:t>1</w:t>
      </w:r>
      <w:r>
        <w:fldChar w:fldCharType="end"/>
      </w:r>
      <w:r>
        <w:fldChar w:fldCharType="end"/>
      </w:r>
    </w:p>
    <w:p w14:paraId="5C53E6FC">
      <w:pPr>
        <w:pStyle w:val="10"/>
      </w:pPr>
      <w:r>
        <w:fldChar w:fldCharType="begin"/>
      </w:r>
      <w:r>
        <w:instrText xml:space="preserve"> HYPERLINK \l "_Toc232172237" </w:instrText>
      </w:r>
      <w:r>
        <w:fldChar w:fldCharType="separate"/>
      </w:r>
      <w:r>
        <w:rPr>
          <w:rStyle w:val="15"/>
        </w:rPr>
        <w:t>2 适用范围</w:t>
      </w:r>
      <w:r>
        <w:tab/>
      </w:r>
      <w:r>
        <w:fldChar w:fldCharType="begin"/>
      </w:r>
      <w:r>
        <w:instrText xml:space="preserve"> PAGEREF _Toc232172237 \h </w:instrText>
      </w:r>
      <w:r>
        <w:fldChar w:fldCharType="separate"/>
      </w:r>
      <w:r>
        <w:t>1</w:t>
      </w:r>
      <w:r>
        <w:fldChar w:fldCharType="end"/>
      </w:r>
      <w:r>
        <w:fldChar w:fldCharType="end"/>
      </w:r>
    </w:p>
    <w:p w14:paraId="19D14889">
      <w:pPr>
        <w:pStyle w:val="10"/>
      </w:pPr>
      <w:r>
        <w:fldChar w:fldCharType="begin"/>
      </w:r>
      <w:r>
        <w:instrText xml:space="preserve"> HYPERLINK \l "_Toc232172238" </w:instrText>
      </w:r>
      <w:r>
        <w:fldChar w:fldCharType="separate"/>
      </w:r>
      <w:r>
        <w:rPr>
          <w:rStyle w:val="15"/>
        </w:rPr>
        <w:t>3 引用文件</w:t>
      </w:r>
      <w:r>
        <w:tab/>
      </w:r>
      <w:r>
        <w:fldChar w:fldCharType="begin"/>
      </w:r>
      <w:r>
        <w:instrText xml:space="preserve"> PAGEREF _Toc232172238 \h </w:instrText>
      </w:r>
      <w:r>
        <w:fldChar w:fldCharType="separate"/>
      </w:r>
      <w:r>
        <w:t>1</w:t>
      </w:r>
      <w:r>
        <w:fldChar w:fldCharType="end"/>
      </w:r>
      <w:r>
        <w:fldChar w:fldCharType="end"/>
      </w:r>
    </w:p>
    <w:p w14:paraId="0CD87455">
      <w:pPr>
        <w:pStyle w:val="10"/>
      </w:pPr>
      <w:r>
        <w:fldChar w:fldCharType="begin"/>
      </w:r>
      <w:r>
        <w:instrText xml:space="preserve"> HYPERLINK \l "_Toc232172239" </w:instrText>
      </w:r>
      <w:r>
        <w:fldChar w:fldCharType="separate"/>
      </w:r>
      <w:r>
        <w:rPr>
          <w:rStyle w:val="15"/>
        </w:rPr>
        <w:t>4 术语与定义</w:t>
      </w:r>
      <w:r>
        <w:tab/>
      </w:r>
      <w:r>
        <w:fldChar w:fldCharType="begin"/>
      </w:r>
      <w:r>
        <w:instrText xml:space="preserve"> PAGEREF _Toc232172239 \h </w:instrText>
      </w:r>
      <w:r>
        <w:fldChar w:fldCharType="separate"/>
      </w:r>
      <w:r>
        <w:t>2</w:t>
      </w:r>
      <w:r>
        <w:fldChar w:fldCharType="end"/>
      </w:r>
      <w:r>
        <w:fldChar w:fldCharType="end"/>
      </w:r>
    </w:p>
    <w:p w14:paraId="66F39C12">
      <w:pPr>
        <w:pStyle w:val="10"/>
      </w:pPr>
      <w:r>
        <w:fldChar w:fldCharType="begin"/>
      </w:r>
      <w:r>
        <w:instrText xml:space="preserve"> HYPERLINK \l "_Toc232172240" </w:instrText>
      </w:r>
      <w:r>
        <w:fldChar w:fldCharType="separate"/>
      </w:r>
      <w:r>
        <w:rPr>
          <w:rStyle w:val="15"/>
        </w:rPr>
        <w:t>5 基本要求</w:t>
      </w:r>
      <w:r>
        <w:tab/>
      </w:r>
      <w:r>
        <w:fldChar w:fldCharType="begin"/>
      </w:r>
      <w:r>
        <w:instrText xml:space="preserve"> PAGEREF _Toc232172240 \h </w:instrText>
      </w:r>
      <w:r>
        <w:fldChar w:fldCharType="separate"/>
      </w:r>
      <w:r>
        <w:t>3</w:t>
      </w:r>
      <w:r>
        <w:fldChar w:fldCharType="end"/>
      </w:r>
      <w:r>
        <w:fldChar w:fldCharType="end"/>
      </w:r>
    </w:p>
    <w:p w14:paraId="2AB74B69">
      <w:pPr>
        <w:pStyle w:val="10"/>
      </w:pPr>
      <w:r>
        <w:fldChar w:fldCharType="begin"/>
      </w:r>
      <w:r>
        <w:instrText xml:space="preserve"> HYPERLINK \l "_Toc232172241" </w:instrText>
      </w:r>
      <w:r>
        <w:fldChar w:fldCharType="separate"/>
      </w:r>
      <w:r>
        <w:rPr>
          <w:rStyle w:val="15"/>
        </w:rPr>
        <w:t>6 核算边界及排放源（汇或库）</w:t>
      </w:r>
      <w:r>
        <w:tab/>
      </w:r>
      <w:r>
        <w:fldChar w:fldCharType="begin"/>
      </w:r>
      <w:r>
        <w:instrText xml:space="preserve"> PAGEREF _Toc232172241 \h </w:instrText>
      </w:r>
      <w:r>
        <w:fldChar w:fldCharType="separate"/>
      </w:r>
      <w:r>
        <w:t>4</w:t>
      </w:r>
      <w:r>
        <w:fldChar w:fldCharType="end"/>
      </w:r>
      <w:r>
        <w:fldChar w:fldCharType="end"/>
      </w:r>
    </w:p>
    <w:p w14:paraId="54D4D20F">
      <w:pPr>
        <w:pStyle w:val="10"/>
      </w:pPr>
      <w:r>
        <w:fldChar w:fldCharType="begin"/>
      </w:r>
      <w:r>
        <w:instrText xml:space="preserve"> HYPERLINK \l "_Toc232172242" </w:instrText>
      </w:r>
      <w:r>
        <w:fldChar w:fldCharType="separate"/>
      </w:r>
      <w:r>
        <w:rPr>
          <w:rStyle w:val="15"/>
        </w:rPr>
        <w:t>7 减排量核算</w:t>
      </w:r>
      <w:r>
        <w:tab/>
      </w:r>
      <w:r>
        <w:fldChar w:fldCharType="begin"/>
      </w:r>
      <w:r>
        <w:instrText xml:space="preserve"> PAGEREF _Toc232172242 \h </w:instrText>
      </w:r>
      <w:r>
        <w:fldChar w:fldCharType="separate"/>
      </w:r>
      <w:r>
        <w:t>4</w:t>
      </w:r>
      <w:r>
        <w:fldChar w:fldCharType="end"/>
      </w:r>
      <w:r>
        <w:fldChar w:fldCharType="end"/>
      </w:r>
    </w:p>
    <w:p w14:paraId="038B7E44">
      <w:pPr>
        <w:pStyle w:val="10"/>
      </w:pPr>
      <w:r>
        <w:fldChar w:fldCharType="begin"/>
      </w:r>
      <w:r>
        <w:instrText xml:space="preserve"> HYPERLINK \l "_Toc232172243" </w:instrText>
      </w:r>
      <w:r>
        <w:fldChar w:fldCharType="separate"/>
      </w:r>
      <w:r>
        <w:rPr>
          <w:rStyle w:val="15"/>
        </w:rPr>
        <w:t>8 数据来源及监测</w:t>
      </w:r>
      <w:r>
        <w:tab/>
      </w:r>
      <w:r>
        <w:fldChar w:fldCharType="begin"/>
      </w:r>
      <w:r>
        <w:instrText xml:space="preserve"> PAGEREF _Toc232172243 \h </w:instrText>
      </w:r>
      <w:r>
        <w:fldChar w:fldCharType="separate"/>
      </w:r>
      <w:r>
        <w:t>8</w:t>
      </w:r>
      <w:r>
        <w:fldChar w:fldCharType="end"/>
      </w:r>
      <w:r>
        <w:fldChar w:fldCharType="end"/>
      </w:r>
    </w:p>
    <w:p w14:paraId="1977B100">
      <w:pPr>
        <w:pStyle w:val="10"/>
      </w:pPr>
      <w:r>
        <w:fldChar w:fldCharType="begin"/>
      </w:r>
      <w:r>
        <w:instrText xml:space="preserve"> HYPERLINK \l "_Toc232172244" </w:instrText>
      </w:r>
      <w:r>
        <w:fldChar w:fldCharType="separate"/>
      </w:r>
      <w:r>
        <w:rPr>
          <w:rStyle w:val="15"/>
          <w:color w:val="auto"/>
        </w:rPr>
        <w:t>附 录 A</w:t>
      </w:r>
      <w:r>
        <w:tab/>
      </w:r>
      <w:r>
        <w:fldChar w:fldCharType="begin"/>
      </w:r>
      <w:r>
        <w:instrText xml:space="preserve"> PAGEREF _Toc232172244 \h </w:instrText>
      </w:r>
      <w:r>
        <w:fldChar w:fldCharType="separate"/>
      </w:r>
      <w:r>
        <w:t>12</w:t>
      </w:r>
      <w:r>
        <w:fldChar w:fldCharType="end"/>
      </w:r>
      <w:r>
        <w:fldChar w:fldCharType="end"/>
      </w:r>
    </w:p>
    <w:p w14:paraId="036A6129">
      <w:pPr>
        <w:pStyle w:val="10"/>
      </w:pPr>
      <w:r>
        <w:fldChar w:fldCharType="end"/>
      </w:r>
    </w:p>
    <w:p w14:paraId="231E22C9"/>
    <w:p w14:paraId="56293808">
      <w:pPr>
        <w:sectPr>
          <w:footerReference r:id="rId3" w:type="default"/>
          <w:pgSz w:w="11906" w:h="16838"/>
          <w:pgMar w:top="1440" w:right="1800" w:bottom="1440" w:left="1800" w:header="851" w:footer="992" w:gutter="0"/>
          <w:pgNumType w:start="1"/>
          <w:cols w:space="425" w:num="1"/>
          <w:docGrid w:type="lines" w:linePitch="312" w:charSpace="0"/>
        </w:sectPr>
      </w:pPr>
    </w:p>
    <w:p w14:paraId="065781E5">
      <w:pPr>
        <w:keepNext/>
        <w:keepLines/>
        <w:widowControl/>
        <w:spacing w:before="312" w:beforeLines="100" w:after="312" w:afterLines="100" w:line="560" w:lineRule="exact"/>
        <w:jc w:val="center"/>
        <w:outlineLvl w:val="0"/>
        <w:rPr>
          <w:rFonts w:ascii="黑体" w:hAnsi="黑体" w:eastAsia="黑体" w:cs="Times New Roman"/>
          <w:bCs/>
          <w:kern w:val="44"/>
          <w:sz w:val="52"/>
          <w:szCs w:val="52"/>
        </w:rPr>
      </w:pPr>
      <w:bookmarkStart w:id="8" w:name="_Toc225155010"/>
      <w:bookmarkStart w:id="9" w:name="_Toc22239"/>
      <w:bookmarkStart w:id="10" w:name="_Toc232172235"/>
      <w:bookmarkStart w:id="11" w:name="_Toc225155150"/>
      <w:bookmarkStart w:id="12" w:name="_Toc225154727"/>
      <w:bookmarkStart w:id="13" w:name="_Toc225155026"/>
      <w:r>
        <w:rPr>
          <w:rFonts w:hint="eastAsia" w:ascii="黑体" w:hAnsi="黑体" w:eastAsia="黑体" w:cs="Times New Roman"/>
          <w:bCs/>
          <w:kern w:val="44"/>
          <w:sz w:val="52"/>
          <w:szCs w:val="52"/>
        </w:rPr>
        <w:t>南京市绿色出行碳普惠方法学</w:t>
      </w:r>
      <w:bookmarkEnd w:id="8"/>
      <w:bookmarkEnd w:id="9"/>
      <w:bookmarkEnd w:id="10"/>
      <w:bookmarkEnd w:id="11"/>
      <w:bookmarkEnd w:id="12"/>
      <w:bookmarkEnd w:id="13"/>
    </w:p>
    <w:p w14:paraId="661EF2C0">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14" w:name="_Toc225155151"/>
      <w:bookmarkStart w:id="15" w:name="_Toc225155027"/>
      <w:bookmarkStart w:id="16" w:name="_Toc225154728"/>
      <w:bookmarkStart w:id="17" w:name="_Toc225155011"/>
      <w:bookmarkStart w:id="18" w:name="_Toc232172236"/>
      <w:bookmarkStart w:id="19" w:name="_Toc154504462"/>
      <w:r>
        <w:rPr>
          <w:rFonts w:ascii="黑体" w:hAnsi="黑体" w:eastAsia="黑体" w:cs="Times New Roman"/>
          <w:bCs/>
          <w:sz w:val="28"/>
          <w:szCs w:val="28"/>
        </w:rPr>
        <w:t xml:space="preserve">1 </w:t>
      </w:r>
      <w:r>
        <w:rPr>
          <w:rFonts w:hint="eastAsia" w:ascii="黑体" w:hAnsi="黑体" w:eastAsia="黑体" w:cs="Times New Roman"/>
          <w:bCs/>
          <w:sz w:val="28"/>
          <w:szCs w:val="28"/>
        </w:rPr>
        <w:t>引言</w:t>
      </w:r>
      <w:bookmarkEnd w:id="14"/>
      <w:bookmarkEnd w:id="15"/>
      <w:bookmarkEnd w:id="16"/>
      <w:bookmarkEnd w:id="17"/>
      <w:bookmarkEnd w:id="18"/>
      <w:bookmarkEnd w:id="19"/>
    </w:p>
    <w:p w14:paraId="4C53914E">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本方法学旨在通过量化个人绿色出行的低碳行为，增强公众绿色出行意识，引导公众践行绿色出行，促进绿色出行习惯养成。本方法学</w:t>
      </w:r>
      <w:bookmarkStart w:id="20" w:name="OLE_LINK7"/>
      <w:r>
        <w:rPr>
          <w:rFonts w:hint="eastAsia" w:ascii="Times New Roman" w:hAnsi="Times New Roman" w:cs="Times New Roman"/>
          <w:sz w:val="28"/>
          <w:szCs w:val="28"/>
        </w:rPr>
        <w:t>为南京市碳普惠场景方法学（Ⅱ类），</w:t>
      </w:r>
      <w:bookmarkEnd w:id="20"/>
      <w:r>
        <w:rPr>
          <w:rFonts w:hint="eastAsia" w:ascii="Times New Roman" w:hAnsi="Times New Roman" w:cs="Times New Roman"/>
          <w:sz w:val="28"/>
          <w:szCs w:val="28"/>
        </w:rPr>
        <w:t>新开发版本，无需额外性论证。</w:t>
      </w:r>
    </w:p>
    <w:p w14:paraId="3CFA4A35">
      <w:pPr>
        <w:adjustRightInd w:val="0"/>
        <w:snapToGrid w:val="0"/>
        <w:spacing w:line="360" w:lineRule="auto"/>
        <w:ind w:firstLine="420"/>
        <w:rPr>
          <w:rFonts w:ascii="Times New Roman" w:hAnsi="Times New Roman" w:cs="Times New Roman"/>
          <w:sz w:val="28"/>
          <w:szCs w:val="28"/>
        </w:rPr>
      </w:pPr>
      <w:bookmarkStart w:id="21" w:name="OLE_LINK23"/>
      <w:r>
        <w:rPr>
          <w:rFonts w:hint="eastAsia" w:ascii="Times New Roman" w:hAnsi="Times New Roman" w:cs="Times New Roman"/>
          <w:sz w:val="28"/>
          <w:szCs w:val="28"/>
        </w:rPr>
        <w:t>本方法学由南京碳普惠机制研究项目支撑。</w:t>
      </w:r>
      <w:bookmarkEnd w:id="21"/>
    </w:p>
    <w:p w14:paraId="68FDAA2B">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22" w:name="_Toc232172237"/>
      <w:bookmarkStart w:id="23" w:name="_Toc225155028"/>
      <w:bookmarkStart w:id="24" w:name="_Toc225155152"/>
      <w:bookmarkStart w:id="25" w:name="_Toc225155012"/>
      <w:bookmarkStart w:id="26" w:name="_Toc225154729"/>
      <w:r>
        <w:rPr>
          <w:rFonts w:ascii="黑体" w:hAnsi="黑体" w:eastAsia="黑体" w:cs="Times New Roman"/>
          <w:bCs/>
          <w:sz w:val="28"/>
          <w:szCs w:val="28"/>
        </w:rPr>
        <w:t>2 适用范围</w:t>
      </w:r>
      <w:bookmarkEnd w:id="22"/>
      <w:bookmarkEnd w:id="23"/>
      <w:bookmarkEnd w:id="24"/>
      <w:bookmarkEnd w:id="25"/>
      <w:bookmarkEnd w:id="26"/>
    </w:p>
    <w:p w14:paraId="5DFA0AFB">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本方法适用</w:t>
      </w:r>
      <w:r>
        <w:rPr>
          <w:rFonts w:hint="eastAsia" w:ascii="Times New Roman" w:hAnsi="Times New Roman" w:cs="Times New Roman"/>
          <w:sz w:val="28"/>
          <w:szCs w:val="28"/>
          <w:lang w:eastAsia="zh-CN"/>
        </w:rPr>
        <w:t>于</w:t>
      </w:r>
      <w:r>
        <w:rPr>
          <w:rFonts w:hint="eastAsia" w:ascii="Times New Roman" w:hAnsi="Times New Roman" w:cs="Times New Roman"/>
          <w:sz w:val="28"/>
          <w:szCs w:val="28"/>
        </w:rPr>
        <w:t>南京市行政区域范围内，个人采用公共汽车、城市轨道交通（包括南京市运营的跨市和跨省的线路）、骑行、步行等绿色出行方式，减少乘坐有更多温室气体排放的交通工具所产生的减排量的核算。</w:t>
      </w:r>
    </w:p>
    <w:p w14:paraId="5C842529">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本方法学适用于在碳普惠平台注册、知悉本市碳普惠机制并自愿参与的用户。</w:t>
      </w:r>
    </w:p>
    <w:p w14:paraId="549277E6">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27" w:name="_Toc225154730"/>
      <w:bookmarkStart w:id="28" w:name="_Toc154504463"/>
      <w:bookmarkStart w:id="29" w:name="_Toc225155153"/>
      <w:bookmarkStart w:id="30" w:name="_Toc225155013"/>
      <w:bookmarkStart w:id="31" w:name="_Toc232172238"/>
      <w:bookmarkStart w:id="32" w:name="_Toc225155029"/>
      <w:r>
        <w:rPr>
          <w:rFonts w:ascii="黑体" w:hAnsi="黑体" w:eastAsia="黑体" w:cs="Times New Roman"/>
          <w:bCs/>
          <w:sz w:val="28"/>
          <w:szCs w:val="28"/>
        </w:rPr>
        <w:t xml:space="preserve">3 </w:t>
      </w:r>
      <w:r>
        <w:rPr>
          <w:rFonts w:hint="eastAsia" w:ascii="黑体" w:hAnsi="黑体" w:eastAsia="黑体" w:cs="Times New Roman"/>
          <w:bCs/>
          <w:sz w:val="28"/>
          <w:szCs w:val="28"/>
        </w:rPr>
        <w:t>引用文件</w:t>
      </w:r>
      <w:bookmarkEnd w:id="27"/>
      <w:bookmarkEnd w:id="28"/>
      <w:bookmarkEnd w:id="29"/>
      <w:bookmarkEnd w:id="30"/>
      <w:bookmarkEnd w:id="31"/>
      <w:bookmarkEnd w:id="32"/>
    </w:p>
    <w:p w14:paraId="120EA2E0">
      <w:pPr>
        <w:adjustRightInd w:val="0"/>
        <w:snapToGrid w:val="0"/>
        <w:spacing w:line="360" w:lineRule="auto"/>
        <w:ind w:firstLine="420"/>
        <w:rPr>
          <w:rFonts w:ascii="Times New Roman" w:hAnsi="Times New Roman" w:cs="Times New Roman"/>
          <w:sz w:val="28"/>
          <w:szCs w:val="32"/>
        </w:rPr>
      </w:pPr>
      <w:r>
        <w:rPr>
          <w:rFonts w:hint="eastAsia" w:ascii="Times New Roman" w:hAnsi="Times New Roman" w:cs="Times New Roman"/>
          <w:sz w:val="28"/>
          <w:szCs w:val="28"/>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711E0F9">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GB/T 32150</w:t>
      </w:r>
      <w:r>
        <w:rPr>
          <w:rFonts w:ascii="Times New Roman" w:hAnsi="Times New Roman" w:cs="Times New Roman"/>
          <w:sz w:val="28"/>
          <w:szCs w:val="28"/>
        </w:rPr>
        <w:t xml:space="preserve"> </w:t>
      </w:r>
      <w:r>
        <w:rPr>
          <w:rFonts w:hint="eastAsia" w:ascii="Times New Roman" w:hAnsi="Times New Roman" w:cs="Times New Roman"/>
          <w:sz w:val="28"/>
          <w:szCs w:val="28"/>
        </w:rPr>
        <w:t>工业企业温室气体排放核算和报告通则</w:t>
      </w:r>
    </w:p>
    <w:p w14:paraId="568B2990">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 xml:space="preserve">GB/T 32151.27-2024 </w:t>
      </w:r>
      <w:r>
        <w:rPr>
          <w:rFonts w:hint="eastAsia" w:ascii="Times New Roman" w:hAnsi="Times New Roman" w:cs="Times New Roman"/>
          <w:sz w:val="28"/>
          <w:szCs w:val="28"/>
        </w:rPr>
        <w:t>温室气体排放核算与报告要求</w:t>
      </w:r>
      <w:r>
        <w:rPr>
          <w:rFonts w:ascii="Times New Roman" w:hAnsi="Times New Roman" w:cs="Times New Roman"/>
          <w:sz w:val="28"/>
          <w:szCs w:val="28"/>
        </w:rPr>
        <w:t xml:space="preserve"> </w:t>
      </w:r>
      <w:r>
        <w:rPr>
          <w:rFonts w:hint="eastAsia" w:ascii="Times New Roman" w:hAnsi="Times New Roman" w:cs="Times New Roman"/>
          <w:sz w:val="28"/>
          <w:szCs w:val="28"/>
        </w:rPr>
        <w:t>第</w:t>
      </w:r>
      <w:r>
        <w:rPr>
          <w:rFonts w:ascii="Times New Roman" w:hAnsi="Times New Roman" w:cs="Times New Roman"/>
          <w:sz w:val="28"/>
          <w:szCs w:val="28"/>
        </w:rPr>
        <w:t>27</w:t>
      </w:r>
      <w:r>
        <w:rPr>
          <w:rFonts w:hint="eastAsia" w:ascii="Times New Roman" w:hAnsi="Times New Roman" w:cs="Times New Roman"/>
          <w:sz w:val="28"/>
          <w:szCs w:val="28"/>
        </w:rPr>
        <w:t>部分：陆上交通运输企业</w:t>
      </w:r>
    </w:p>
    <w:p w14:paraId="33C67060">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 xml:space="preserve">GB/T 32852.1-2025 </w:t>
      </w:r>
      <w:r>
        <w:rPr>
          <w:rFonts w:hint="eastAsia" w:ascii="Times New Roman" w:hAnsi="Times New Roman" w:cs="Times New Roman"/>
          <w:sz w:val="28"/>
          <w:szCs w:val="28"/>
        </w:rPr>
        <w:t>城市客运术语 第</w:t>
      </w:r>
      <w:r>
        <w:rPr>
          <w:rFonts w:ascii="Times New Roman" w:hAnsi="Times New Roman" w:cs="Times New Roman"/>
          <w:sz w:val="28"/>
          <w:szCs w:val="28"/>
        </w:rPr>
        <w:t>1</w:t>
      </w:r>
      <w:r>
        <w:rPr>
          <w:rFonts w:hint="eastAsia" w:ascii="Times New Roman" w:hAnsi="Times New Roman" w:cs="Times New Roman"/>
          <w:sz w:val="28"/>
          <w:szCs w:val="28"/>
        </w:rPr>
        <w:t>部分：通用术语</w:t>
      </w:r>
    </w:p>
    <w:p w14:paraId="5ED1DE67">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G</w:t>
      </w:r>
      <w:r>
        <w:rPr>
          <w:rFonts w:ascii="Times New Roman" w:hAnsi="Times New Roman" w:cs="Times New Roman"/>
          <w:sz w:val="28"/>
          <w:szCs w:val="28"/>
        </w:rPr>
        <w:t xml:space="preserve">B/T 32852.3-2024 </w:t>
      </w:r>
      <w:bookmarkStart w:id="33" w:name="OLE_LINK30"/>
      <w:r>
        <w:rPr>
          <w:rFonts w:hint="eastAsia" w:ascii="Times New Roman" w:hAnsi="Times New Roman" w:cs="Times New Roman"/>
          <w:sz w:val="28"/>
          <w:szCs w:val="28"/>
        </w:rPr>
        <w:t>城市客运术语 第3部分：</w:t>
      </w:r>
      <w:bookmarkStart w:id="34" w:name="OLE_LINK25"/>
      <w:r>
        <w:rPr>
          <w:rFonts w:hint="eastAsia" w:ascii="Times New Roman" w:hAnsi="Times New Roman" w:cs="Times New Roman"/>
          <w:sz w:val="28"/>
          <w:szCs w:val="28"/>
        </w:rPr>
        <w:t>城市轨道交通</w:t>
      </w:r>
      <w:bookmarkEnd w:id="33"/>
      <w:bookmarkEnd w:id="34"/>
    </w:p>
    <w:p w14:paraId="344DF2DB">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G</w:t>
      </w:r>
      <w:r>
        <w:rPr>
          <w:rFonts w:ascii="Times New Roman" w:hAnsi="Times New Roman" w:cs="Times New Roman"/>
          <w:sz w:val="28"/>
          <w:szCs w:val="28"/>
        </w:rPr>
        <w:t xml:space="preserve">B/T 32852.4-2019 </w:t>
      </w:r>
      <w:r>
        <w:rPr>
          <w:rFonts w:hint="eastAsia" w:ascii="Times New Roman" w:hAnsi="Times New Roman" w:cs="Times New Roman"/>
          <w:sz w:val="28"/>
          <w:szCs w:val="28"/>
        </w:rPr>
        <w:t>城市客运术语 第</w:t>
      </w:r>
      <w:r>
        <w:rPr>
          <w:rFonts w:ascii="Times New Roman" w:hAnsi="Times New Roman" w:cs="Times New Roman"/>
          <w:sz w:val="28"/>
          <w:szCs w:val="28"/>
        </w:rPr>
        <w:t>4</w:t>
      </w:r>
      <w:r>
        <w:rPr>
          <w:rFonts w:hint="eastAsia" w:ascii="Times New Roman" w:hAnsi="Times New Roman" w:cs="Times New Roman"/>
          <w:sz w:val="28"/>
          <w:szCs w:val="28"/>
        </w:rPr>
        <w:t>部分：出租汽车</w:t>
      </w:r>
    </w:p>
    <w:p w14:paraId="2D6A8271">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GB/T 33760</w:t>
      </w:r>
      <w:r>
        <w:rPr>
          <w:rFonts w:hint="eastAsia" w:ascii="Times New Roman" w:hAnsi="Times New Roman" w:cs="Times New Roman"/>
          <w:sz w:val="28"/>
          <w:szCs w:val="28"/>
        </w:rPr>
        <w:t xml:space="preserve"> 基于项目的温室气体减排量评估技术规范</w:t>
      </w:r>
      <w:r>
        <w:rPr>
          <w:rFonts w:ascii="Times New Roman" w:hAnsi="Times New Roman" w:cs="Times New Roman"/>
          <w:sz w:val="28"/>
          <w:szCs w:val="28"/>
        </w:rPr>
        <w:t xml:space="preserve"> </w:t>
      </w:r>
      <w:r>
        <w:rPr>
          <w:rFonts w:hint="eastAsia" w:ascii="Times New Roman" w:hAnsi="Times New Roman" w:cs="Times New Roman"/>
          <w:sz w:val="28"/>
          <w:szCs w:val="28"/>
        </w:rPr>
        <w:t>通用要求</w:t>
      </w:r>
    </w:p>
    <w:p w14:paraId="36EDC178">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 xml:space="preserve">CJJ/T 119-2008 </w:t>
      </w:r>
      <w:r>
        <w:rPr>
          <w:rFonts w:hint="eastAsia" w:ascii="Times New Roman" w:hAnsi="Times New Roman" w:cs="Times New Roman"/>
          <w:sz w:val="28"/>
          <w:szCs w:val="28"/>
        </w:rPr>
        <w:t>城市公共交通工程术语标准</w:t>
      </w:r>
    </w:p>
    <w:p w14:paraId="2F49674F">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 xml:space="preserve">ISO 14064-1:2018 </w:t>
      </w:r>
      <w:r>
        <w:rPr>
          <w:rFonts w:hint="eastAsia" w:ascii="Times New Roman" w:hAnsi="Times New Roman" w:cs="Times New Roman"/>
          <w:sz w:val="28"/>
          <w:szCs w:val="28"/>
        </w:rPr>
        <w:t>温室气体</w:t>
      </w:r>
      <w:r>
        <w:rPr>
          <w:rFonts w:ascii="Times New Roman" w:hAnsi="Times New Roman" w:cs="Times New Roman"/>
          <w:sz w:val="28"/>
          <w:szCs w:val="28"/>
        </w:rPr>
        <w:t xml:space="preserve"> </w:t>
      </w:r>
      <w:r>
        <w:rPr>
          <w:rFonts w:hint="eastAsia" w:ascii="Times New Roman" w:hAnsi="Times New Roman" w:cs="Times New Roman"/>
          <w:sz w:val="28"/>
          <w:szCs w:val="28"/>
        </w:rPr>
        <w:t>第</w:t>
      </w:r>
      <w:r>
        <w:rPr>
          <w:rFonts w:ascii="Times New Roman" w:hAnsi="Times New Roman" w:cs="Times New Roman"/>
          <w:sz w:val="28"/>
          <w:szCs w:val="28"/>
        </w:rPr>
        <w:t>1</w:t>
      </w:r>
      <w:r>
        <w:rPr>
          <w:rFonts w:hint="eastAsia" w:ascii="Times New Roman" w:hAnsi="Times New Roman" w:cs="Times New Roman"/>
          <w:sz w:val="28"/>
          <w:szCs w:val="28"/>
        </w:rPr>
        <w:t>部分：组织层面温室气体排放和清除的量化和报告指南</w:t>
      </w:r>
    </w:p>
    <w:p w14:paraId="6A1AFC72">
      <w:pPr>
        <w:adjustRightInd w:val="0"/>
        <w:snapToGrid w:val="0"/>
        <w:spacing w:line="360" w:lineRule="auto"/>
        <w:ind w:firstLine="420"/>
        <w:rPr>
          <w:rFonts w:ascii="Times New Roman" w:hAnsi="Times New Roman" w:cs="Times New Roman"/>
          <w:sz w:val="28"/>
          <w:szCs w:val="28"/>
        </w:rPr>
      </w:pPr>
      <w:bookmarkStart w:id="35" w:name="OLE_LINK41"/>
      <w:r>
        <w:rPr>
          <w:rFonts w:ascii="Times New Roman" w:hAnsi="Times New Roman" w:cs="Times New Roman"/>
          <w:sz w:val="28"/>
          <w:szCs w:val="28"/>
        </w:rPr>
        <w:t>CM-028-V01</w:t>
      </w:r>
      <w:r>
        <w:rPr>
          <w:rFonts w:hint="eastAsia" w:ascii="Times New Roman" w:hAnsi="Times New Roman" w:cs="Times New Roman"/>
          <w:sz w:val="28"/>
          <w:szCs w:val="28"/>
        </w:rPr>
        <w:t>快速公交项目</w:t>
      </w:r>
    </w:p>
    <w:p w14:paraId="285381A0">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CM-032-V01</w:t>
      </w:r>
      <w:r>
        <w:rPr>
          <w:rFonts w:hint="eastAsia" w:ascii="Times New Roman" w:hAnsi="Times New Roman" w:cs="Times New Roman"/>
          <w:sz w:val="28"/>
          <w:szCs w:val="28"/>
        </w:rPr>
        <w:t>快速公交系统</w:t>
      </w:r>
    </w:p>
    <w:p w14:paraId="68D11AA5">
      <w:pPr>
        <w:adjustRightInd w:val="0"/>
        <w:snapToGrid w:val="0"/>
        <w:spacing w:line="360" w:lineRule="auto"/>
        <w:ind w:firstLine="420"/>
        <w:rPr>
          <w:rFonts w:ascii="Times New Roman" w:hAnsi="Times New Roman" w:cs="Times New Roman"/>
          <w:sz w:val="28"/>
          <w:szCs w:val="28"/>
        </w:rPr>
      </w:pPr>
      <w:bookmarkStart w:id="36" w:name="OLE_LINK28"/>
      <w:r>
        <w:rPr>
          <w:rFonts w:ascii="Times New Roman" w:hAnsi="Times New Roman" w:cs="Times New Roman"/>
          <w:sz w:val="28"/>
          <w:szCs w:val="28"/>
        </w:rPr>
        <w:t xml:space="preserve">CDM-EB Tool18 </w:t>
      </w:r>
      <w:r>
        <w:rPr>
          <w:rFonts w:hint="eastAsia" w:ascii="Times New Roman" w:hAnsi="Times New Roman" w:cs="Times New Roman"/>
          <w:sz w:val="28"/>
          <w:szCs w:val="28"/>
        </w:rPr>
        <w:t>城市客运交通模式转换基准线排放计算工具</w:t>
      </w:r>
    </w:p>
    <w:bookmarkEnd w:id="36"/>
    <w:p w14:paraId="38F80EEC">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IPCC 2006国家温室气体清单指南（2019修订版）</w:t>
      </w:r>
    </w:p>
    <w:p w14:paraId="26A0934B">
      <w:pPr>
        <w:adjustRightInd w:val="0"/>
        <w:snapToGrid w:val="0"/>
        <w:spacing w:line="360" w:lineRule="auto"/>
        <w:ind w:firstLine="420"/>
        <w:rPr>
          <w:rFonts w:ascii="Times New Roman" w:hAnsi="Times New Roman" w:cs="Times New Roman"/>
          <w:sz w:val="28"/>
          <w:szCs w:val="28"/>
        </w:rPr>
      </w:pPr>
      <w:bookmarkStart w:id="37" w:name="OLE_LINK5"/>
      <w:r>
        <w:rPr>
          <w:rFonts w:hint="eastAsia" w:ascii="Times New Roman" w:hAnsi="Times New Roman" w:cs="Times New Roman"/>
          <w:sz w:val="28"/>
          <w:szCs w:val="28"/>
        </w:rPr>
        <w:t>《</w:t>
      </w:r>
      <w:bookmarkStart w:id="38" w:name="OLE_LINK9"/>
      <w:r>
        <w:rPr>
          <w:rFonts w:hint="eastAsia" w:ascii="Times New Roman" w:hAnsi="Times New Roman" w:cs="Times New Roman"/>
          <w:sz w:val="28"/>
          <w:szCs w:val="28"/>
        </w:rPr>
        <w:t>南京市碳普惠管理实施方案</w:t>
      </w:r>
      <w:bookmarkEnd w:id="38"/>
      <w:r>
        <w:rPr>
          <w:rFonts w:hint="eastAsia" w:ascii="Times New Roman" w:hAnsi="Times New Roman" w:cs="Times New Roman"/>
          <w:sz w:val="28"/>
          <w:szCs w:val="28"/>
        </w:rPr>
        <w:t>》</w:t>
      </w:r>
    </w:p>
    <w:p w14:paraId="793F789D">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《南京市碳普惠方法学开发与申报指南》</w:t>
      </w:r>
    </w:p>
    <w:bookmarkEnd w:id="35"/>
    <w:bookmarkEnd w:id="37"/>
    <w:p w14:paraId="524DE319">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39" w:name="_Toc232172239"/>
      <w:bookmarkStart w:id="40" w:name="_Toc154504464"/>
      <w:bookmarkStart w:id="41" w:name="_Toc225155014"/>
      <w:bookmarkStart w:id="42" w:name="_Toc225154731"/>
      <w:bookmarkStart w:id="43" w:name="_Toc225155030"/>
      <w:bookmarkStart w:id="44" w:name="_Toc225155154"/>
      <w:r>
        <w:rPr>
          <w:rFonts w:ascii="黑体" w:hAnsi="黑体" w:eastAsia="黑体" w:cs="Times New Roman"/>
          <w:bCs/>
          <w:sz w:val="28"/>
          <w:szCs w:val="28"/>
        </w:rPr>
        <w:t xml:space="preserve">4 </w:t>
      </w:r>
      <w:r>
        <w:rPr>
          <w:rFonts w:hint="eastAsia" w:ascii="黑体" w:hAnsi="黑体" w:eastAsia="黑体" w:cs="Times New Roman"/>
          <w:bCs/>
          <w:sz w:val="28"/>
          <w:szCs w:val="28"/>
        </w:rPr>
        <w:t>术语与定义</w:t>
      </w:r>
      <w:bookmarkEnd w:id="39"/>
      <w:bookmarkEnd w:id="40"/>
      <w:bookmarkEnd w:id="41"/>
      <w:bookmarkEnd w:id="42"/>
      <w:bookmarkEnd w:id="43"/>
      <w:bookmarkEnd w:id="44"/>
    </w:p>
    <w:p w14:paraId="110E189E">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GB/T 32150、GB/T 33760界定的以及下列术语和定义适用于本文件。</w:t>
      </w:r>
    </w:p>
    <w:p w14:paraId="64D31367">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 xml:space="preserve">4.1 绿色出行 </w:t>
      </w:r>
      <w:r>
        <w:rPr>
          <w:rFonts w:ascii="Times New Roman" w:hAnsi="Times New Roman" w:cs="Times New Roman"/>
          <w:sz w:val="28"/>
          <w:szCs w:val="28"/>
        </w:rPr>
        <w:t>green travel</w:t>
      </w:r>
    </w:p>
    <w:p w14:paraId="109C447E">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本方法学指采用公共汽车、城市轨道交通、步行、骑行等出行方式从出发地向目的地移动的交通行为。</w:t>
      </w:r>
    </w:p>
    <w:p w14:paraId="55FC42BB">
      <w:pPr>
        <w:adjustRightInd w:val="0"/>
        <w:snapToGrid w:val="0"/>
        <w:spacing w:line="360" w:lineRule="auto"/>
        <w:ind w:firstLine="560" w:firstLineChars="200"/>
        <w:rPr>
          <w:rFonts w:ascii="Times New Roman" w:hAnsi="Times New Roman" w:cs="Times New Roman"/>
          <w:sz w:val="28"/>
          <w:szCs w:val="28"/>
        </w:rPr>
      </w:pPr>
      <w:bookmarkStart w:id="45" w:name="OLE_LINK12"/>
      <w:r>
        <w:rPr>
          <w:rFonts w:hint="eastAsia" w:ascii="Times New Roman" w:hAnsi="Times New Roman" w:cs="Times New Roman"/>
          <w:sz w:val="28"/>
          <w:szCs w:val="28"/>
        </w:rPr>
        <w:t>4</w:t>
      </w:r>
      <w:r>
        <w:rPr>
          <w:rFonts w:ascii="Times New Roman" w:hAnsi="Times New Roman" w:cs="Times New Roman"/>
          <w:sz w:val="28"/>
          <w:szCs w:val="28"/>
        </w:rPr>
        <w:t xml:space="preserve">.2 </w:t>
      </w:r>
      <w:r>
        <w:rPr>
          <w:rFonts w:hint="eastAsia" w:ascii="Times New Roman" w:hAnsi="Times New Roman" w:cs="Times New Roman"/>
          <w:sz w:val="28"/>
          <w:szCs w:val="28"/>
        </w:rPr>
        <w:t xml:space="preserve">城市轨道交通 </w:t>
      </w:r>
      <w:r>
        <w:rPr>
          <w:rFonts w:ascii="Times New Roman" w:hAnsi="Times New Roman" w:cs="Times New Roman"/>
          <w:sz w:val="28"/>
          <w:szCs w:val="28"/>
        </w:rPr>
        <w:t>urban rail transit</w:t>
      </w:r>
    </w:p>
    <w:bookmarkEnd w:id="45"/>
    <w:p w14:paraId="4998D92C">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采用专用轨道导向运行的城市客运交通系统，包括地铁、有轨电车、市域快速轨道等。</w:t>
      </w:r>
      <w:bookmarkStart w:id="46" w:name="OLE_LINK39"/>
      <w:r>
        <w:rPr>
          <w:rFonts w:hint="eastAsia" w:ascii="Times New Roman" w:hAnsi="Times New Roman" w:cs="Times New Roman"/>
          <w:sz w:val="28"/>
          <w:szCs w:val="28"/>
        </w:rPr>
        <w:t>其中，结合南京市城市轨道交通特点，市域快速轨道出行范围也包括跨市和跨省的</w:t>
      </w:r>
      <w:bookmarkEnd w:id="46"/>
      <w:r>
        <w:rPr>
          <w:rFonts w:hint="eastAsia" w:ascii="Times New Roman" w:hAnsi="Times New Roman" w:cs="Times New Roman"/>
          <w:sz w:val="28"/>
          <w:szCs w:val="28"/>
        </w:rPr>
        <w:t>线路。</w:t>
      </w:r>
    </w:p>
    <w:p w14:paraId="07D053A4">
      <w:pPr>
        <w:adjustRightInd w:val="0"/>
        <w:snapToGrid w:val="0"/>
        <w:spacing w:line="360" w:lineRule="auto"/>
        <w:ind w:firstLine="560" w:firstLineChars="200"/>
        <w:rPr>
          <w:rFonts w:ascii="Times New Roman" w:hAnsi="Times New Roman" w:cs="Times New Roman"/>
          <w:sz w:val="28"/>
          <w:szCs w:val="28"/>
        </w:rPr>
      </w:pPr>
      <w:bookmarkStart w:id="47" w:name="OLE_LINK15"/>
      <w:r>
        <w:rPr>
          <w:rFonts w:hint="eastAsia" w:ascii="Times New Roman" w:hAnsi="Times New Roman" w:cs="Times New Roman"/>
          <w:sz w:val="28"/>
          <w:szCs w:val="28"/>
        </w:rPr>
        <w:t>[来源：G</w:t>
      </w:r>
      <w:r>
        <w:rPr>
          <w:rFonts w:ascii="Times New Roman" w:hAnsi="Times New Roman" w:cs="Times New Roman"/>
          <w:sz w:val="28"/>
          <w:szCs w:val="28"/>
        </w:rPr>
        <w:t>B/T 32852.3-2024</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rPr>
        <w:t>，有修改]</w:t>
      </w:r>
    </w:p>
    <w:bookmarkEnd w:id="47"/>
    <w:p w14:paraId="5E256835">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4</w:t>
      </w:r>
      <w:r>
        <w:rPr>
          <w:rFonts w:ascii="Times New Roman" w:hAnsi="Times New Roman" w:cs="Times New Roman"/>
          <w:sz w:val="28"/>
          <w:szCs w:val="28"/>
        </w:rPr>
        <w:t xml:space="preserve">.3 </w:t>
      </w:r>
      <w:r>
        <w:rPr>
          <w:rFonts w:hint="eastAsia" w:ascii="Times New Roman" w:hAnsi="Times New Roman" w:cs="Times New Roman"/>
          <w:sz w:val="28"/>
          <w:szCs w:val="28"/>
        </w:rPr>
        <w:t xml:space="preserve">出租汽车 </w:t>
      </w:r>
      <w:r>
        <w:rPr>
          <w:rFonts w:ascii="Times New Roman" w:hAnsi="Times New Roman" w:cs="Times New Roman"/>
          <w:sz w:val="28"/>
          <w:szCs w:val="28"/>
        </w:rPr>
        <w:t>taxi</w:t>
      </w:r>
    </w:p>
    <w:p w14:paraId="5C1BAAD8">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以七座及以下乘用车和驾驶劳务，按乘客意愿行驶，根据行驶里程、行驶时间或约定计费的经营服务活动，依法取得车辆运营资格，提供出租汽车服务的运输车辆，包括巡游出租汽车及网络预约出租汽车。</w:t>
      </w:r>
    </w:p>
    <w:p w14:paraId="2C760865">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[来源：</w:t>
      </w:r>
      <w:bookmarkStart w:id="48" w:name="OLE_LINK29"/>
      <w:r>
        <w:rPr>
          <w:rFonts w:hint="eastAsia" w:ascii="Times New Roman" w:hAnsi="Times New Roman" w:cs="Times New Roman"/>
          <w:sz w:val="28"/>
          <w:szCs w:val="28"/>
        </w:rPr>
        <w:t>G</w:t>
      </w:r>
      <w:r>
        <w:rPr>
          <w:rFonts w:ascii="Times New Roman" w:hAnsi="Times New Roman" w:cs="Times New Roman"/>
          <w:sz w:val="28"/>
          <w:szCs w:val="28"/>
        </w:rPr>
        <w:t>B/T 32852.4-2019</w:t>
      </w:r>
      <w:bookmarkEnd w:id="48"/>
      <w:r>
        <w:rPr>
          <w:rFonts w:hint="eastAsia" w:ascii="Times New Roman" w:hAnsi="Times New Roman" w:cs="Times New Roman"/>
          <w:sz w:val="28"/>
          <w:szCs w:val="28"/>
        </w:rPr>
        <w:t>，</w:t>
      </w:r>
      <w:r>
        <w:rPr>
          <w:rFonts w:ascii="Times New Roman" w:hAnsi="Times New Roman" w:cs="Times New Roman"/>
          <w:sz w:val="28"/>
          <w:szCs w:val="28"/>
        </w:rPr>
        <w:t>2.2</w:t>
      </w:r>
      <w:r>
        <w:rPr>
          <w:rFonts w:hint="eastAsia" w:ascii="Times New Roman" w:hAnsi="Times New Roman" w:cs="Times New Roman"/>
          <w:sz w:val="28"/>
          <w:szCs w:val="28"/>
        </w:rPr>
        <w:t>，有修改]</w:t>
      </w:r>
    </w:p>
    <w:p w14:paraId="472CE20F">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4.</w:t>
      </w:r>
      <w:r>
        <w:rPr>
          <w:rFonts w:ascii="Times New Roman" w:hAnsi="Times New Roman" w:cs="Times New Roman"/>
          <w:sz w:val="28"/>
          <w:szCs w:val="28"/>
        </w:rPr>
        <w:t>4</w:t>
      </w:r>
      <w:r>
        <w:rPr>
          <w:rFonts w:hint="eastAsia" w:ascii="Times New Roman" w:hAnsi="Times New Roman" w:cs="Times New Roman"/>
          <w:sz w:val="28"/>
          <w:szCs w:val="28"/>
        </w:rPr>
        <w:t xml:space="preserve"> 基准线情景 baseline scenario</w:t>
      </w:r>
    </w:p>
    <w:p w14:paraId="1FE92B59">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用来提供参照的，在不进行碳普惠行为或活动的情景下可能发生的假定情况，本方法学指个人采用公共汽车、城市轨道交通、出租汽车、私人小汽车等多种方式的综合出行情景。</w:t>
      </w:r>
    </w:p>
    <w:p w14:paraId="4F30BD43">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[来源：GB/T 33760-2017，3.4，有修改]</w:t>
      </w:r>
    </w:p>
    <w:p w14:paraId="1BD99B91">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4.</w:t>
      </w:r>
      <w:r>
        <w:rPr>
          <w:rFonts w:ascii="Times New Roman" w:hAnsi="Times New Roman" w:cs="Times New Roman"/>
          <w:sz w:val="28"/>
          <w:szCs w:val="28"/>
        </w:rPr>
        <w:t>5</w:t>
      </w:r>
      <w:r>
        <w:rPr>
          <w:rFonts w:hint="eastAsia" w:ascii="Times New Roman" w:hAnsi="Times New Roman" w:cs="Times New Roman"/>
          <w:sz w:val="28"/>
          <w:szCs w:val="28"/>
        </w:rPr>
        <w:t xml:space="preserve"> 碳普惠情景 </w:t>
      </w:r>
      <w:r>
        <w:rPr>
          <w:rFonts w:ascii="Times New Roman" w:hAnsi="Times New Roman" w:cs="Times New Roman"/>
          <w:sz w:val="28"/>
          <w:szCs w:val="28"/>
        </w:rPr>
        <w:t>carbon inclusive scenario</w:t>
      </w:r>
    </w:p>
    <w:p w14:paraId="0631D68E">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实施场景的情景下，实际发生的情况，本方法学指个人出行采用绿色出行的方式。</w:t>
      </w:r>
    </w:p>
    <w:p w14:paraId="4100C700">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4.6 </w:t>
      </w:r>
      <w:r>
        <w:rPr>
          <w:rFonts w:hint="eastAsia" w:ascii="Times New Roman" w:hAnsi="Times New Roman" w:cs="Times New Roman"/>
          <w:sz w:val="28"/>
          <w:szCs w:val="28"/>
        </w:rPr>
        <w:t xml:space="preserve">客运周转量 </w:t>
      </w:r>
      <w:r>
        <w:rPr>
          <w:rFonts w:ascii="Times New Roman" w:hAnsi="Times New Roman" w:cs="Times New Roman"/>
          <w:sz w:val="28"/>
          <w:szCs w:val="28"/>
        </w:rPr>
        <w:t>passenger turnover</w:t>
      </w:r>
    </w:p>
    <w:p w14:paraId="55DF146E">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所有乘客乘行距离之和。即客运量与平均乘距的乘积。计量单位：人公里（PKM）。</w:t>
      </w:r>
    </w:p>
    <w:p w14:paraId="6A1F9A19">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[来源：CJJ/T 119—2008，6.0.3，有修改]</w:t>
      </w:r>
    </w:p>
    <w:p w14:paraId="59679EA0">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49" w:name="_Toc232172240"/>
      <w:bookmarkStart w:id="50" w:name="_Toc225155015"/>
      <w:bookmarkStart w:id="51" w:name="_Toc225155155"/>
      <w:bookmarkStart w:id="52" w:name="_Toc225154732"/>
      <w:bookmarkStart w:id="53" w:name="_Toc225155031"/>
      <w:bookmarkStart w:id="54" w:name="_Toc154504465"/>
      <w:r>
        <w:rPr>
          <w:rFonts w:hint="eastAsia" w:ascii="黑体" w:hAnsi="黑体" w:eastAsia="黑体" w:cs="Times New Roman"/>
          <w:bCs/>
          <w:sz w:val="28"/>
          <w:szCs w:val="28"/>
        </w:rPr>
        <w:t>5</w:t>
      </w:r>
      <w:r>
        <w:rPr>
          <w:rFonts w:ascii="黑体" w:hAnsi="黑体" w:eastAsia="黑体" w:cs="Times New Roman"/>
          <w:bCs/>
          <w:sz w:val="28"/>
          <w:szCs w:val="28"/>
        </w:rPr>
        <w:t xml:space="preserve"> </w:t>
      </w:r>
      <w:r>
        <w:rPr>
          <w:rFonts w:hint="eastAsia" w:ascii="黑体" w:hAnsi="黑体" w:eastAsia="黑体" w:cs="Times New Roman"/>
          <w:bCs/>
          <w:sz w:val="28"/>
          <w:szCs w:val="28"/>
        </w:rPr>
        <w:t>基本要求</w:t>
      </w:r>
      <w:bookmarkEnd w:id="49"/>
      <w:bookmarkEnd w:id="50"/>
      <w:bookmarkEnd w:id="51"/>
      <w:bookmarkEnd w:id="52"/>
      <w:bookmarkEnd w:id="53"/>
      <w:bookmarkEnd w:id="54"/>
    </w:p>
    <w:p w14:paraId="773D4F64">
      <w:pPr>
        <w:adjustRightInd w:val="0"/>
        <w:snapToGrid w:val="0"/>
        <w:spacing w:line="360" w:lineRule="auto"/>
        <w:ind w:firstLine="560"/>
        <w:rPr>
          <w:rFonts w:ascii="Times New Roman" w:hAnsi="Times New Roman" w:cs="Times New Roman"/>
          <w:sz w:val="28"/>
          <w:szCs w:val="28"/>
        </w:rPr>
      </w:pPr>
      <w:r>
        <w:rPr>
          <w:rFonts w:ascii="Times New Roman" w:hAnsi="Times New Roman" w:cs="Times New Roman"/>
          <w:sz w:val="28"/>
          <w:szCs w:val="28"/>
        </w:rPr>
        <w:t xml:space="preserve">5.1 </w:t>
      </w:r>
      <w:r>
        <w:rPr>
          <w:rFonts w:hint="eastAsia" w:ascii="Times New Roman" w:hAnsi="Times New Roman" w:cs="Times New Roman"/>
          <w:sz w:val="28"/>
          <w:szCs w:val="28"/>
        </w:rPr>
        <w:t>合规性要求</w:t>
      </w:r>
    </w:p>
    <w:p w14:paraId="061BA56B">
      <w:pPr>
        <w:adjustRightInd w:val="0"/>
        <w:snapToGrid w:val="0"/>
        <w:spacing w:line="360" w:lineRule="auto"/>
        <w:ind w:firstLine="560"/>
        <w:rPr>
          <w:rFonts w:ascii="Times New Roman" w:hAnsi="Times New Roman" w:cs="Times New Roman"/>
          <w:sz w:val="28"/>
          <w:szCs w:val="28"/>
        </w:rPr>
      </w:pPr>
      <w:r>
        <w:rPr>
          <w:rFonts w:hint="eastAsia" w:ascii="Times New Roman" w:hAnsi="Times New Roman" w:cs="Times New Roman"/>
          <w:sz w:val="28"/>
          <w:szCs w:val="28"/>
        </w:rPr>
        <w:t>绿色出行碳普惠行为或活动的开发、运营、维护等全过程须符合国家、江苏省及南京市相关法律法规、政策要求及技术标准，包括但不限于《南京市碳普惠管理实施方案》《南京市碳普惠方法学开发与申报指南》等。线上平台的运营、数据采集应符合《中华人民共和国数据安全法》《中华人民共和国个人信息保护法》，保障用户信息和核算数据安全。</w:t>
      </w:r>
    </w:p>
    <w:p w14:paraId="6DA5B789">
      <w:pPr>
        <w:adjustRightInd w:val="0"/>
        <w:snapToGrid w:val="0"/>
        <w:spacing w:line="360" w:lineRule="auto"/>
        <w:ind w:firstLine="560"/>
        <w:rPr>
          <w:rFonts w:ascii="Times New Roman" w:hAnsi="Times New Roman" w:cs="Times New Roman"/>
          <w:sz w:val="28"/>
          <w:szCs w:val="28"/>
        </w:rPr>
      </w:pPr>
      <w:r>
        <w:rPr>
          <w:rFonts w:ascii="Times New Roman" w:hAnsi="Times New Roman" w:cs="Times New Roman"/>
          <w:sz w:val="28"/>
          <w:szCs w:val="28"/>
        </w:rPr>
        <w:t xml:space="preserve">5.2 </w:t>
      </w:r>
      <w:r>
        <w:rPr>
          <w:rFonts w:hint="eastAsia" w:ascii="Times New Roman" w:hAnsi="Times New Roman" w:cs="Times New Roman"/>
          <w:sz w:val="28"/>
          <w:szCs w:val="28"/>
        </w:rPr>
        <w:t>普惠性要求</w:t>
      </w:r>
    </w:p>
    <w:p w14:paraId="097EEF6B">
      <w:pPr>
        <w:adjustRightInd w:val="0"/>
        <w:snapToGrid w:val="0"/>
        <w:spacing w:line="360" w:lineRule="auto"/>
        <w:ind w:firstLine="560"/>
        <w:rPr>
          <w:rFonts w:ascii="Times New Roman" w:hAnsi="Times New Roman" w:cs="Times New Roman"/>
          <w:sz w:val="28"/>
          <w:szCs w:val="28"/>
        </w:rPr>
      </w:pPr>
      <w:r>
        <w:rPr>
          <w:rFonts w:hint="eastAsia" w:ascii="Times New Roman" w:hAnsi="Times New Roman" w:cs="Times New Roman"/>
          <w:sz w:val="28"/>
          <w:szCs w:val="28"/>
        </w:rPr>
        <w:t>绿色出行碳普惠行为具有广泛的公众基础，通过碳普惠机制将减排收益反馈给公众，有助于激励社会公众践行绿色出行的低碳生活方式，增强社会公众的绿色低碳意识。</w:t>
      </w:r>
    </w:p>
    <w:p w14:paraId="65B39E08">
      <w:pPr>
        <w:adjustRightInd w:val="0"/>
        <w:snapToGrid w:val="0"/>
        <w:spacing w:line="360" w:lineRule="auto"/>
        <w:ind w:firstLine="560"/>
        <w:rPr>
          <w:rFonts w:ascii="Times New Roman" w:hAnsi="Times New Roman" w:cs="Times New Roman"/>
          <w:sz w:val="28"/>
          <w:szCs w:val="28"/>
        </w:rPr>
      </w:pPr>
      <w:r>
        <w:rPr>
          <w:rFonts w:ascii="Times New Roman" w:hAnsi="Times New Roman" w:cs="Times New Roman"/>
          <w:sz w:val="28"/>
          <w:szCs w:val="28"/>
        </w:rPr>
        <w:t>5.</w:t>
      </w:r>
      <w:r>
        <w:rPr>
          <w:rFonts w:hint="eastAsia" w:ascii="Times New Roman" w:hAnsi="Times New Roman" w:cs="Times New Roman"/>
          <w:sz w:val="28"/>
          <w:szCs w:val="28"/>
        </w:rPr>
        <w:t>3</w:t>
      </w:r>
      <w:r>
        <w:rPr>
          <w:rFonts w:ascii="Times New Roman" w:hAnsi="Times New Roman" w:cs="Times New Roman"/>
          <w:sz w:val="28"/>
          <w:szCs w:val="28"/>
        </w:rPr>
        <w:t xml:space="preserve"> </w:t>
      </w:r>
      <w:r>
        <w:rPr>
          <w:rFonts w:hint="eastAsia" w:ascii="Times New Roman" w:hAnsi="Times New Roman" w:cs="Times New Roman"/>
          <w:sz w:val="28"/>
          <w:szCs w:val="28"/>
        </w:rPr>
        <w:t>申请主体要求</w:t>
      </w:r>
    </w:p>
    <w:p w14:paraId="36C281A8">
      <w:pPr>
        <w:adjustRightInd w:val="0"/>
        <w:snapToGrid w:val="0"/>
        <w:spacing w:line="360" w:lineRule="auto"/>
        <w:ind w:firstLine="560"/>
        <w:rPr>
          <w:rFonts w:ascii="Times New Roman" w:hAnsi="Times New Roman" w:cs="Times New Roman"/>
          <w:sz w:val="28"/>
          <w:szCs w:val="28"/>
        </w:rPr>
      </w:pPr>
      <w:r>
        <w:rPr>
          <w:rFonts w:hint="eastAsia" w:ascii="Times New Roman" w:hAnsi="Times New Roman" w:cs="Times New Roman"/>
          <w:sz w:val="28"/>
          <w:szCs w:val="28"/>
        </w:rPr>
        <w:t>申请绿色出行减排量认定的个人须完成南京市碳普惠平台实名注册，账户实行一人一号管理，不得虚假注册、冒用他人账户等。</w:t>
      </w:r>
    </w:p>
    <w:p w14:paraId="5EF4E152">
      <w:pPr>
        <w:adjustRightInd w:val="0"/>
        <w:snapToGrid w:val="0"/>
        <w:spacing w:line="360" w:lineRule="auto"/>
        <w:ind w:firstLine="560"/>
        <w:rPr>
          <w:rFonts w:ascii="Times New Roman" w:hAnsi="Times New Roman" w:cs="Times New Roman"/>
          <w:sz w:val="28"/>
          <w:szCs w:val="28"/>
        </w:rPr>
      </w:pPr>
      <w:r>
        <w:rPr>
          <w:rFonts w:ascii="Times New Roman" w:hAnsi="Times New Roman" w:cs="Times New Roman"/>
          <w:sz w:val="28"/>
          <w:szCs w:val="28"/>
        </w:rPr>
        <w:t>5.</w:t>
      </w:r>
      <w:r>
        <w:rPr>
          <w:rFonts w:hint="eastAsia" w:ascii="Times New Roman" w:hAnsi="Times New Roman" w:cs="Times New Roman"/>
          <w:sz w:val="28"/>
          <w:szCs w:val="28"/>
          <w:lang w:val="en-US" w:eastAsia="zh-CN"/>
        </w:rPr>
        <w:t>4</w:t>
      </w:r>
      <w:r>
        <w:rPr>
          <w:rFonts w:ascii="Times New Roman" w:hAnsi="Times New Roman" w:cs="Times New Roman"/>
          <w:sz w:val="28"/>
          <w:szCs w:val="28"/>
        </w:rPr>
        <w:t xml:space="preserve"> </w:t>
      </w:r>
      <w:r>
        <w:rPr>
          <w:rFonts w:hint="eastAsia" w:ascii="Times New Roman" w:hAnsi="Times New Roman" w:cs="Times New Roman"/>
          <w:sz w:val="28"/>
          <w:szCs w:val="28"/>
        </w:rPr>
        <w:t>碳普惠</w:t>
      </w:r>
      <w:r>
        <w:rPr>
          <w:rFonts w:hint="eastAsia" w:ascii="Times New Roman" w:hAnsi="Times New Roman" w:cs="Times New Roman"/>
          <w:sz w:val="28"/>
          <w:szCs w:val="28"/>
          <w:lang w:val="en-US" w:eastAsia="zh-CN"/>
        </w:rPr>
        <w:t>管理</w:t>
      </w:r>
      <w:r>
        <w:rPr>
          <w:rFonts w:hint="eastAsia" w:ascii="Times New Roman" w:hAnsi="Times New Roman" w:cs="Times New Roman"/>
          <w:sz w:val="28"/>
          <w:szCs w:val="28"/>
        </w:rPr>
        <w:t>单位要求</w:t>
      </w:r>
    </w:p>
    <w:p w14:paraId="7374F814">
      <w:pPr>
        <w:adjustRightInd w:val="0"/>
        <w:snapToGrid w:val="0"/>
        <w:spacing w:line="360" w:lineRule="auto"/>
        <w:ind w:firstLine="560"/>
        <w:rPr>
          <w:rFonts w:ascii="Times New Roman" w:hAnsi="Times New Roman" w:cs="Times New Roman"/>
          <w:sz w:val="28"/>
          <w:szCs w:val="28"/>
        </w:rPr>
      </w:pPr>
      <w:r>
        <w:rPr>
          <w:rFonts w:hint="eastAsia" w:ascii="Times New Roman" w:hAnsi="Times New Roman" w:cs="Times New Roman"/>
          <w:sz w:val="28"/>
          <w:szCs w:val="28"/>
        </w:rPr>
        <w:t>碳普惠</w:t>
      </w:r>
      <w:r>
        <w:rPr>
          <w:rFonts w:hint="eastAsia" w:ascii="Times New Roman" w:hAnsi="Times New Roman" w:cs="Times New Roman"/>
          <w:sz w:val="28"/>
          <w:szCs w:val="28"/>
          <w:lang w:val="en-US" w:eastAsia="zh-CN"/>
        </w:rPr>
        <w:t>管理</w:t>
      </w:r>
      <w:r>
        <w:rPr>
          <w:rFonts w:hint="eastAsia" w:ascii="Times New Roman" w:hAnsi="Times New Roman" w:cs="Times New Roman"/>
          <w:sz w:val="28"/>
          <w:szCs w:val="28"/>
        </w:rPr>
        <w:t>单位应保障平台数据采集、统计的连续性和准确性，定期对平台数据进行维护，确保减排量核算的基础数据真实有效。</w:t>
      </w:r>
    </w:p>
    <w:p w14:paraId="2C4843FA">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55" w:name="_Toc225155016"/>
      <w:bookmarkStart w:id="56" w:name="_Toc225155032"/>
      <w:bookmarkStart w:id="57" w:name="_Toc225154733"/>
      <w:bookmarkStart w:id="58" w:name="_Toc225155156"/>
      <w:bookmarkStart w:id="59" w:name="_Toc232172241"/>
      <w:bookmarkStart w:id="60" w:name="OLE_LINK6"/>
      <w:r>
        <w:rPr>
          <w:rFonts w:ascii="黑体" w:hAnsi="黑体" w:eastAsia="黑体" w:cs="Times New Roman"/>
          <w:bCs/>
          <w:sz w:val="28"/>
          <w:szCs w:val="28"/>
        </w:rPr>
        <w:t xml:space="preserve">6 </w:t>
      </w:r>
      <w:r>
        <w:rPr>
          <w:rFonts w:hint="eastAsia" w:ascii="黑体" w:hAnsi="黑体" w:eastAsia="黑体" w:cs="Times New Roman"/>
          <w:bCs/>
          <w:sz w:val="28"/>
          <w:szCs w:val="28"/>
        </w:rPr>
        <w:t>核算边界及排放源</w:t>
      </w:r>
      <w:bookmarkEnd w:id="55"/>
      <w:bookmarkEnd w:id="56"/>
      <w:bookmarkEnd w:id="57"/>
      <w:bookmarkEnd w:id="58"/>
      <w:r>
        <w:rPr>
          <w:rFonts w:hint="eastAsia" w:ascii="黑体" w:hAnsi="黑体" w:eastAsia="黑体" w:cs="Times New Roman"/>
          <w:bCs/>
          <w:sz w:val="28"/>
          <w:szCs w:val="28"/>
        </w:rPr>
        <w:t>（汇或库）</w:t>
      </w:r>
      <w:bookmarkEnd w:id="59"/>
    </w:p>
    <w:bookmarkEnd w:id="60"/>
    <w:p w14:paraId="6B648FAE">
      <w:pPr>
        <w:adjustRightInd w:val="0"/>
        <w:snapToGrid w:val="0"/>
        <w:spacing w:line="360" w:lineRule="auto"/>
        <w:ind w:firstLine="560" w:firstLineChars="200"/>
        <w:rPr>
          <w:rFonts w:ascii="Times New Roman" w:hAnsi="Times New Roman" w:cs="Times New Roman"/>
          <w:sz w:val="28"/>
          <w:szCs w:val="28"/>
        </w:rPr>
      </w:pPr>
      <w:bookmarkStart w:id="61" w:name="_Hlk224221869"/>
      <w:r>
        <w:rPr>
          <w:rFonts w:ascii="Times New Roman" w:hAnsi="Times New Roman" w:cs="Times New Roman"/>
          <w:sz w:val="28"/>
          <w:szCs w:val="28"/>
        </w:rPr>
        <w:t>6.1 核算边界</w:t>
      </w:r>
    </w:p>
    <w:p w14:paraId="0BE8F974">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碳普惠平台记录的所有注册参与用户的绿色出行行为，其核算地理边界为南京市行政区域内。</w:t>
      </w:r>
    </w:p>
    <w:p w14:paraId="03B698B5">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6.2 </w:t>
      </w:r>
      <w:r>
        <w:rPr>
          <w:rFonts w:hint="eastAsia" w:ascii="Times New Roman" w:hAnsi="Times New Roman" w:cs="Times New Roman"/>
          <w:sz w:val="28"/>
          <w:szCs w:val="28"/>
        </w:rPr>
        <w:t>计入期</w:t>
      </w:r>
    </w:p>
    <w:p w14:paraId="0F0D08C3">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本方法学的计入期按自然年核算，即每年1月1日至12月31日，计入期内的减排量按年度统计、认定。</w:t>
      </w:r>
    </w:p>
    <w:p w14:paraId="0215CC61">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6.3 </w:t>
      </w:r>
      <w:r>
        <w:rPr>
          <w:rFonts w:hint="eastAsia" w:ascii="Times New Roman" w:hAnsi="Times New Roman" w:cs="Times New Roman"/>
          <w:sz w:val="28"/>
          <w:szCs w:val="28"/>
        </w:rPr>
        <w:t>温室气体排放源</w:t>
      </w:r>
    </w:p>
    <w:p w14:paraId="194E46CF">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本方法学核算的温室气体种类只考虑二氧化碳，其他温室气体暂不计入。</w:t>
      </w:r>
    </w:p>
    <w:bookmarkEnd w:id="61"/>
    <w:p w14:paraId="6AFF3510">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62" w:name="_Toc225155033"/>
      <w:bookmarkStart w:id="63" w:name="_Toc225155157"/>
      <w:bookmarkStart w:id="64" w:name="_Toc225155017"/>
      <w:bookmarkStart w:id="65" w:name="_Toc232172242"/>
      <w:bookmarkStart w:id="66" w:name="_Toc225154734"/>
      <w:bookmarkStart w:id="67" w:name="_Hlk224309930"/>
      <w:r>
        <w:rPr>
          <w:rFonts w:ascii="黑体" w:hAnsi="黑体" w:eastAsia="黑体" w:cs="Times New Roman"/>
          <w:bCs/>
          <w:sz w:val="28"/>
          <w:szCs w:val="28"/>
        </w:rPr>
        <w:t xml:space="preserve">7 </w:t>
      </w:r>
      <w:r>
        <w:rPr>
          <w:rFonts w:hint="eastAsia" w:ascii="黑体" w:hAnsi="黑体" w:eastAsia="黑体" w:cs="Times New Roman"/>
          <w:bCs/>
          <w:sz w:val="28"/>
          <w:szCs w:val="28"/>
        </w:rPr>
        <w:t>减排量核算</w:t>
      </w:r>
      <w:bookmarkEnd w:id="62"/>
      <w:bookmarkEnd w:id="63"/>
      <w:bookmarkEnd w:id="64"/>
      <w:bookmarkEnd w:id="65"/>
      <w:bookmarkEnd w:id="66"/>
    </w:p>
    <w:p w14:paraId="5BA38AB1">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7.1 </w:t>
      </w:r>
      <w:bookmarkStart w:id="68" w:name="_Toc154504468"/>
      <w:r>
        <w:rPr>
          <w:rFonts w:hint="eastAsia" w:ascii="Times New Roman" w:hAnsi="Times New Roman" w:cs="Times New Roman"/>
          <w:sz w:val="28"/>
          <w:szCs w:val="28"/>
        </w:rPr>
        <w:t>基准线情景</w:t>
      </w:r>
      <w:bookmarkEnd w:id="68"/>
      <w:r>
        <w:rPr>
          <w:rFonts w:hint="eastAsia" w:ascii="Times New Roman" w:hAnsi="Times New Roman" w:cs="Times New Roman"/>
          <w:sz w:val="28"/>
          <w:szCs w:val="28"/>
        </w:rPr>
        <w:t>识别</w:t>
      </w:r>
    </w:p>
    <w:p w14:paraId="2C0C8716">
      <w:pPr>
        <w:adjustRightInd w:val="0"/>
        <w:snapToGrid w:val="0"/>
        <w:spacing w:line="360" w:lineRule="auto"/>
        <w:ind w:firstLine="420"/>
        <w:rPr>
          <w:rFonts w:ascii="Times New Roman" w:hAnsi="Times New Roman" w:cs="Times New Roman"/>
          <w:sz w:val="28"/>
          <w:szCs w:val="28"/>
        </w:rPr>
      </w:pPr>
      <w:bookmarkStart w:id="69" w:name="OLE_LINK27"/>
      <w:r>
        <w:rPr>
          <w:rFonts w:hint="eastAsia" w:ascii="Times New Roman" w:hAnsi="Times New Roman" w:cs="Times New Roman"/>
          <w:sz w:val="28"/>
          <w:szCs w:val="28"/>
        </w:rPr>
        <w:t>本方法学的基准线情景为</w:t>
      </w:r>
      <w:bookmarkStart w:id="70" w:name="_Hlk229750368"/>
      <w:r>
        <w:rPr>
          <w:rFonts w:hint="eastAsia" w:ascii="Times New Roman" w:hAnsi="Times New Roman" w:cs="Times New Roman"/>
          <w:sz w:val="28"/>
          <w:szCs w:val="28"/>
        </w:rPr>
        <w:t>个人采用机动化出行方式（</w:t>
      </w:r>
      <w:bookmarkStart w:id="71" w:name="OLE_LINK40"/>
      <w:r>
        <w:rPr>
          <w:rFonts w:hint="eastAsia" w:ascii="Times New Roman" w:hAnsi="Times New Roman" w:cs="Times New Roman"/>
          <w:sz w:val="28"/>
          <w:szCs w:val="28"/>
        </w:rPr>
        <w:t>公共汽车</w:t>
      </w:r>
      <w:bookmarkEnd w:id="71"/>
      <w:bookmarkStart w:id="72" w:name="OLE_LINK24"/>
      <w:r>
        <w:rPr>
          <w:rFonts w:hint="eastAsia" w:ascii="Times New Roman" w:hAnsi="Times New Roman" w:cs="Times New Roman"/>
          <w:sz w:val="28"/>
          <w:szCs w:val="28"/>
        </w:rPr>
        <w:t>、城市轨道交通</w:t>
      </w:r>
      <w:bookmarkEnd w:id="72"/>
      <w:r>
        <w:rPr>
          <w:rFonts w:hint="eastAsia" w:ascii="Times New Roman" w:hAnsi="Times New Roman" w:cs="Times New Roman"/>
          <w:sz w:val="28"/>
          <w:szCs w:val="28"/>
        </w:rPr>
        <w:t>、出租汽车、私人小汽车）</w:t>
      </w:r>
      <w:bookmarkEnd w:id="70"/>
      <w:r>
        <w:rPr>
          <w:rFonts w:hint="eastAsia" w:ascii="Times New Roman" w:hAnsi="Times New Roman" w:cs="Times New Roman"/>
          <w:sz w:val="28"/>
          <w:szCs w:val="28"/>
        </w:rPr>
        <w:t>出行的平均碳排放水平。</w:t>
      </w:r>
    </w:p>
    <w:bookmarkEnd w:id="69"/>
    <w:p w14:paraId="77A72836">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7.2 </w:t>
      </w:r>
      <w:r>
        <w:rPr>
          <w:rFonts w:hint="eastAsia" w:ascii="Times New Roman" w:hAnsi="Times New Roman" w:cs="Times New Roman"/>
          <w:sz w:val="28"/>
          <w:szCs w:val="28"/>
        </w:rPr>
        <w:t>额外性论证</w:t>
      </w:r>
    </w:p>
    <w:p w14:paraId="62BE9BEC">
      <w:pPr>
        <w:adjustRightInd w:val="0"/>
        <w:snapToGrid w:val="0"/>
        <w:spacing w:line="360" w:lineRule="auto"/>
        <w:ind w:firstLine="420"/>
        <w:rPr>
          <w:rFonts w:ascii="Times New Roman" w:hAnsi="Times New Roman" w:cs="Times New Roman"/>
          <w:sz w:val="28"/>
          <w:szCs w:val="28"/>
        </w:rPr>
      </w:pPr>
      <w:bookmarkStart w:id="73" w:name="_Hlk224223575"/>
      <w:r>
        <w:rPr>
          <w:rFonts w:hint="eastAsia" w:ascii="Times New Roman" w:hAnsi="Times New Roman" w:cs="Times New Roman"/>
          <w:sz w:val="28"/>
          <w:szCs w:val="28"/>
        </w:rPr>
        <w:t>本方法学属于南京市碳普惠场景方法学（Ⅱ类），不涉及额外性论证。</w:t>
      </w:r>
    </w:p>
    <w:bookmarkEnd w:id="73"/>
    <w:p w14:paraId="457093C3">
      <w:pPr>
        <w:adjustRightInd w:val="0"/>
        <w:snapToGrid w:val="0"/>
        <w:spacing w:line="360" w:lineRule="auto"/>
        <w:ind w:firstLine="560" w:firstLineChars="200"/>
        <w:rPr>
          <w:rFonts w:ascii="Times New Roman" w:hAnsi="Times New Roman" w:cs="Times New Roman"/>
          <w:sz w:val="28"/>
          <w:szCs w:val="28"/>
        </w:rPr>
      </w:pPr>
      <w:bookmarkStart w:id="74" w:name="OLE_LINK36"/>
      <w:r>
        <w:rPr>
          <w:rFonts w:ascii="Times New Roman" w:hAnsi="Times New Roman" w:cs="Times New Roman"/>
          <w:sz w:val="28"/>
          <w:szCs w:val="28"/>
        </w:rPr>
        <w:t xml:space="preserve">7.3 </w:t>
      </w:r>
      <w:r>
        <w:rPr>
          <w:rFonts w:hint="eastAsia" w:ascii="Times New Roman" w:hAnsi="Times New Roman" w:cs="Times New Roman"/>
          <w:sz w:val="28"/>
          <w:szCs w:val="28"/>
        </w:rPr>
        <w:t>基准线排放量计算</w:t>
      </w:r>
    </w:p>
    <w:p w14:paraId="0AE17051">
      <w:pPr>
        <w:adjustRightInd w:val="0"/>
        <w:snapToGrid w:val="0"/>
        <w:spacing w:line="360" w:lineRule="auto"/>
        <w:ind w:firstLine="560" w:firstLineChars="200"/>
        <w:rPr>
          <w:rFonts w:ascii="Times New Roman" w:hAnsi="Times New Roman" w:cs="Times New Roman"/>
          <w:sz w:val="28"/>
          <w:szCs w:val="28"/>
        </w:rPr>
      </w:pPr>
      <w:bookmarkStart w:id="75" w:name="OLE_LINK18"/>
      <w:bookmarkStart w:id="76" w:name="_Hlk224223628"/>
      <w:r>
        <w:rPr>
          <w:rFonts w:hint="eastAsia" w:ascii="Times New Roman" w:hAnsi="Times New Roman" w:cs="Times New Roman"/>
          <w:sz w:val="28"/>
          <w:szCs w:val="28"/>
        </w:rPr>
        <w:t>基准线排放量</w:t>
      </w:r>
      <m:oMath>
        <m:sSub>
          <m:sSubPr>
            <m:ctrlPr>
              <w:rPr>
                <w:rFonts w:ascii="Cambria Math" w:hAnsi="Cambria Math" w:cs="Times New Roman"/>
                <w:i/>
                <w:sz w:val="28"/>
                <w:szCs w:val="28"/>
              </w:rPr>
            </m:ctrlPr>
          </m:sSubPr>
          <m:e>
            <m:r>
              <m:rPr/>
              <w:rPr>
                <w:rFonts w:ascii="Cambria Math" w:hAnsi="Cambria Math" w:cs="Times New Roman"/>
                <w:sz w:val="28"/>
                <w:szCs w:val="28"/>
              </w:rPr>
              <m:t>BE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ascii="Times New Roman" w:hAnsi="Times New Roman" w:cs="Times New Roman"/>
          <w:sz w:val="28"/>
          <w:szCs w:val="28"/>
        </w:rPr>
        <w:t xml:space="preserve"> </w:t>
      </w:r>
      <w:r>
        <w:rPr>
          <w:rFonts w:hint="eastAsia" w:ascii="Times New Roman" w:hAnsi="Times New Roman" w:cs="Times New Roman"/>
          <w:sz w:val="28"/>
          <w:szCs w:val="28"/>
        </w:rPr>
        <w:t>按公式（</w:t>
      </w:r>
      <w:r>
        <w:rPr>
          <w:rFonts w:ascii="Times New Roman" w:hAnsi="Times New Roman" w:cs="Times New Roman"/>
          <w:sz w:val="28"/>
          <w:szCs w:val="28"/>
        </w:rPr>
        <w:t>1</w:t>
      </w:r>
      <w:r>
        <w:rPr>
          <w:rFonts w:hint="eastAsia" w:ascii="Times New Roman" w:hAnsi="Times New Roman" w:cs="Times New Roman"/>
          <w:sz w:val="28"/>
          <w:szCs w:val="28"/>
        </w:rPr>
        <w:t>）计算：</w:t>
      </w:r>
      <w:bookmarkEnd w:id="75"/>
    </w:p>
    <w:bookmarkEnd w:id="76"/>
    <w:p w14:paraId="059E8A0D">
      <w:pPr>
        <w:adjustRightInd w:val="0"/>
        <w:snapToGrid w:val="0"/>
        <w:spacing w:line="360" w:lineRule="auto"/>
        <w:ind w:left="425"/>
        <w:jc w:val="center"/>
        <w:rPr>
          <w:rFonts w:ascii="Times New Roman" w:hAnsi="Times New Roman" w:cs="Times New Roman"/>
          <w:sz w:val="28"/>
          <w:szCs w:val="28"/>
        </w:rPr>
      </w:pPr>
      <m:oMath>
        <m:sSub>
          <w:bookmarkStart w:id="77" w:name="OLE_LINK19"/>
          <w:bookmarkStart w:id="78" w:name="_Hlk224223899"/>
          <w:bookmarkStart w:id="79" w:name="OLE_LINK2"/>
          <m:sSubPr>
            <m:ctrlPr>
              <w:rPr>
                <w:rFonts w:ascii="Cambria Math" w:hAnsi="Cambria Math" w:cs="Times New Roman"/>
                <w:sz w:val="28"/>
                <w:szCs w:val="28"/>
              </w:rPr>
            </m:ctrlPr>
          </m:sSubPr>
          <m:e>
            <m:r>
              <m:rPr/>
              <w:rPr>
                <w:rFonts w:ascii="Cambria Math" w:hAnsi="Cambria Math" w:cs="Times New Roman"/>
                <w:sz w:val="28"/>
                <w:szCs w:val="28"/>
              </w:rPr>
              <m:t>BE</m:t>
            </m:r>
            <m:ctrlPr>
              <w:rPr>
                <w:rFonts w:ascii="Cambria Math" w:hAnsi="Cambria Math" w:cs="Times New Roman"/>
                <w:sz w:val="28"/>
                <w:szCs w:val="28"/>
              </w:rPr>
            </m:ctrlPr>
          </m:e>
          <m:sub>
            <m:r>
              <m:rPr/>
              <w:rPr>
                <w:rFonts w:ascii="Cambria Math" w:hAnsi="Cambria Math" w:cs="Times New Roman"/>
                <w:sz w:val="28"/>
                <w:szCs w:val="28"/>
              </w:rPr>
              <m:t>y</m:t>
            </m:r>
            <m:ctrlPr>
              <w:rPr>
                <w:rFonts w:ascii="Cambria Math" w:hAnsi="Cambria Math" w:cs="Times New Roman"/>
                <w:sz w:val="28"/>
                <w:szCs w:val="28"/>
              </w:rPr>
            </m:ctrlPr>
          </m:sub>
        </m:sSub>
        <m:r>
          <m:rPr/>
          <w:rPr>
            <w:rFonts w:ascii="Cambria Math" w:hAnsi="Cambria Math" w:cs="Times New Roman"/>
            <w:sz w:val="28"/>
            <w:szCs w:val="28"/>
          </w:rPr>
          <m:t>=</m:t>
        </m:r>
        <m:nary>
          <m:naryPr>
            <m:chr m:val="∑"/>
            <m:limLoc m:val="subSup"/>
            <m:supHide m:val="1"/>
            <m:ctrlPr>
              <w:rPr>
                <w:rFonts w:ascii="Cambria Math" w:hAnsi="Cambria Math" w:cs="Times New Roman"/>
                <w:i/>
                <w:sz w:val="28"/>
                <w:szCs w:val="28"/>
              </w:rPr>
            </m:ctrlPr>
          </m:naryPr>
          <m:sub>
            <m:r>
              <m:rPr/>
              <w:rPr>
                <w:rFonts w:ascii="Cambria Math" w:hAnsi="Cambria Math" w:cs="Times New Roman"/>
                <w:sz w:val="28"/>
                <w:szCs w:val="28"/>
              </w:rPr>
              <m:t>i</m:t>
            </m:r>
            <m:ctrlPr>
              <w:rPr>
                <w:rFonts w:ascii="Cambria Math" w:hAnsi="Cambria Math" w:cs="Times New Roman"/>
                <w:i/>
                <w:sz w:val="28"/>
                <w:szCs w:val="28"/>
              </w:rPr>
            </m:ctrlPr>
          </m:sub>
          <m:sup>
            <m:ctrlPr>
              <w:rPr>
                <w:rFonts w:ascii="Cambria Math" w:hAnsi="Cambria Math" w:cs="Times New Roman"/>
                <w:i/>
                <w:sz w:val="28"/>
                <w:szCs w:val="28"/>
              </w:rPr>
            </m:ctrlPr>
          </m:sup>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BD</m:t>
                    </m:r>
                    <m:ctrlPr>
                      <w:rPr>
                        <w:rFonts w:ascii="Cambria Math" w:hAnsi="Cambria Math" w:cs="Times New Roman"/>
                        <w:i/>
                        <w:sz w:val="28"/>
                        <w:szCs w:val="28"/>
                      </w:rPr>
                    </m:ctrlPr>
                  </m:e>
                  <m:sub>
                    <m:r>
                      <m:rPr/>
                      <w:rPr>
                        <w:rFonts w:ascii="Cambria Math" w:hAnsi="Cambria Math" w:cs="Times New Roman"/>
                        <w:sz w:val="28"/>
                        <w:szCs w:val="28"/>
                      </w:rPr>
                      <m:t>i,y</m:t>
                    </m:r>
                    <m:ctrlPr>
                      <w:rPr>
                        <w:rFonts w:ascii="Cambria Math" w:hAnsi="Cambria Math" w:cs="Times New Roman"/>
                        <w:i/>
                        <w:sz w:val="28"/>
                        <w:szCs w:val="28"/>
                      </w:rPr>
                    </m:ctrlPr>
                  </m:sub>
                </m:sSub>
                <m:ctrlPr>
                  <w:rPr>
                    <w:rFonts w:ascii="Cambria Math" w:hAnsi="Cambria Math" w:cs="Times New Roman"/>
                    <w:i/>
                    <w:sz w:val="28"/>
                    <w:szCs w:val="28"/>
                  </w:rPr>
                </m:ctrlPr>
              </m:e>
            </m:d>
            <m:ctrlPr>
              <w:rPr>
                <w:rFonts w:ascii="Cambria Math" w:hAnsi="Cambria Math" w:cs="Times New Roman"/>
                <w:i/>
                <w:sz w:val="28"/>
                <w:szCs w:val="28"/>
              </w:rPr>
            </m:ctrlPr>
          </m:e>
        </m:nary>
        <m:r>
          <m:rPr/>
          <w:rPr>
            <w:rFonts w:ascii="Cambria Math" w:hAnsi="Cambria Math" w:cs="Times New Roman"/>
            <w:sz w:val="28"/>
            <w:szCs w:val="28"/>
          </w:rPr>
          <m:t>×</m:t>
        </m:r>
        <m:sSup>
          <m:sSupPr>
            <m:ctrlPr>
              <w:rPr>
                <w:rFonts w:ascii="Cambria Math" w:hAnsi="Cambria Math" w:cs="Times New Roman"/>
                <w:i/>
                <w:sz w:val="28"/>
                <w:szCs w:val="28"/>
              </w:rPr>
            </m:ctrlPr>
          </m:sSupPr>
          <m:e>
            <m:r>
              <m:rPr/>
              <w:rPr>
                <w:rFonts w:ascii="Cambria Math" w:hAnsi="Cambria Math" w:cs="Times New Roman"/>
                <w:sz w:val="28"/>
                <w:szCs w:val="28"/>
              </w:rPr>
              <m:t>10</m:t>
            </m:r>
            <m:ctrlPr>
              <w:rPr>
                <w:rFonts w:ascii="Cambria Math" w:hAnsi="Cambria Math" w:cs="Times New Roman"/>
                <w:i/>
                <w:sz w:val="28"/>
                <w:szCs w:val="28"/>
              </w:rPr>
            </m:ctrlPr>
          </m:e>
          <m:sup>
            <m:r>
              <m:rPr/>
              <w:rPr>
                <w:rFonts w:ascii="Cambria Math" w:hAnsi="Cambria Math" w:cs="Times New Roman"/>
                <w:sz w:val="28"/>
                <w:szCs w:val="28"/>
              </w:rPr>
              <m:t>−3</m:t>
            </m:r>
            <m:ctrlPr>
              <w:rPr>
                <w:rFonts w:ascii="Cambria Math" w:hAnsi="Cambria Math" w:cs="Times New Roman"/>
                <w:i/>
                <w:sz w:val="28"/>
                <w:szCs w:val="28"/>
              </w:rPr>
            </m:ctrlPr>
          </m:sup>
        </m:sSup>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1</w:t>
      </w:r>
      <w:r>
        <w:rPr>
          <w:rFonts w:hint="eastAsia" w:ascii="Times New Roman" w:hAnsi="Times New Roman" w:cs="Times New Roman"/>
          <w:sz w:val="28"/>
          <w:szCs w:val="28"/>
        </w:rPr>
        <w:t>）</w:t>
      </w:r>
    </w:p>
    <w:bookmarkEnd w:id="77"/>
    <w:p w14:paraId="2E22D829">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3"/>
        <w:tblW w:w="8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1"/>
        <w:gridCol w:w="572"/>
        <w:gridCol w:w="6521"/>
      </w:tblGrid>
      <w:tr w14:paraId="34F97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09CB62A8">
            <w:pPr>
              <w:adjustRightInd w:val="0"/>
              <w:snapToGrid w:val="0"/>
              <w:spacing w:line="360" w:lineRule="auto"/>
              <w:rPr>
                <w:rFonts w:ascii="Times New Roman" w:hAnsi="Times New Roman" w:eastAsia="宋体" w:cs="Times New Roman"/>
                <w:kern w:val="0"/>
                <w:sz w:val="28"/>
                <w:szCs w:val="28"/>
              </w:rPr>
            </w:pPr>
            <m:oMathPara>
              <m:oMath>
                <m:sSub>
                  <w:bookmarkStart w:id="80" w:name="OLE_LINK20"/>
                  <m:sSubPr>
                    <m:ctrlPr>
                      <w:rPr>
                        <w:rFonts w:ascii="Cambria Math" w:hAnsi="Cambria Math" w:eastAsia="宋体" w:cs="Times New Roman"/>
                        <w:kern w:val="0"/>
                        <w:sz w:val="28"/>
                        <w:szCs w:val="28"/>
                      </w:rPr>
                    </m:ctrlPr>
                  </m:sSubPr>
                  <m:e>
                    <m:r>
                      <m:rPr/>
                      <w:rPr>
                        <w:rFonts w:ascii="Cambria Math" w:hAnsi="Cambria Math" w:eastAsia="宋体" w:cs="Times New Roman"/>
                        <w:kern w:val="0"/>
                        <w:sz w:val="28"/>
                        <w:szCs w:val="28"/>
                      </w:rPr>
                      <m:t>BE</m:t>
                    </m:r>
                    <m:ctrlPr>
                      <w:rPr>
                        <w:rFonts w:ascii="Cambria Math" w:hAnsi="Cambria Math" w:eastAsia="宋体" w:cs="Times New Roman"/>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kern w:val="0"/>
                        <w:sz w:val="28"/>
                        <w:szCs w:val="28"/>
                      </w:rPr>
                    </m:ctrlPr>
                  </m:sub>
                </m:sSub>
              </m:oMath>
            </m:oMathPara>
          </w:p>
        </w:tc>
        <w:tc>
          <w:tcPr>
            <w:tcW w:w="572" w:type="dxa"/>
            <w:vAlign w:val="center"/>
          </w:tcPr>
          <w:p w14:paraId="5A947EA0">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0DCAB7CA">
            <w:pPr>
              <w:adjustRightInd w:val="0"/>
              <w:snapToGrid w:val="0"/>
              <w:spacing w:line="360" w:lineRule="auto"/>
              <w:rPr>
                <w:rFonts w:ascii="Times New Roman" w:hAnsi="Times New Roman" w:eastAsia="宋体" w:cs="Times New Roman"/>
                <w:kern w:val="0"/>
                <w:sz w:val="28"/>
                <w:szCs w:val="28"/>
              </w:rPr>
            </w:pPr>
            <w:bookmarkStart w:id="81" w:name="OLE_LINK10"/>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年基准线情景排放量，</w:t>
            </w:r>
            <w:bookmarkStart w:id="82" w:name="OLE_LINK26"/>
            <w:r>
              <w:rPr>
                <w:rFonts w:hint="eastAsia" w:ascii="Times New Roman" w:hAnsi="Times New Roman" w:eastAsia="宋体" w:cs="Times New Roman"/>
                <w:kern w:val="0"/>
                <w:sz w:val="28"/>
                <w:szCs w:val="28"/>
              </w:rPr>
              <w:t>单位为吨二氧化碳（</w:t>
            </w:r>
            <w:r>
              <w:rPr>
                <w:rFonts w:ascii="Times New Roman" w:hAnsi="Times New Roman" w:eastAsia="宋体" w:cs="Times New Roman"/>
                <w:kern w:val="0"/>
                <w:sz w:val="28"/>
                <w:szCs w:val="28"/>
              </w:rPr>
              <w:t>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bookmarkEnd w:id="82"/>
            <w:r>
              <w:rPr>
                <w:rFonts w:hint="eastAsia" w:ascii="Times New Roman" w:hAnsi="Times New Roman" w:eastAsia="宋体" w:cs="Times New Roman"/>
                <w:kern w:val="0"/>
                <w:sz w:val="28"/>
                <w:szCs w:val="28"/>
              </w:rPr>
              <w:t>；</w:t>
            </w:r>
            <w:bookmarkEnd w:id="81"/>
          </w:p>
        </w:tc>
      </w:tr>
      <w:tr w14:paraId="56DBE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61546B4A">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i/>
                        <w:kern w:val="0"/>
                        <w:sz w:val="28"/>
                        <w:szCs w:val="28"/>
                      </w:rPr>
                    </m:ctrlPr>
                  </m:sub>
                </m:sSub>
              </m:oMath>
            </m:oMathPara>
          </w:p>
        </w:tc>
        <w:tc>
          <w:tcPr>
            <w:tcW w:w="572" w:type="dxa"/>
            <w:vAlign w:val="center"/>
          </w:tcPr>
          <w:p w14:paraId="7EA4E61F">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171D3737">
            <w:pPr>
              <w:adjustRightInd w:val="0"/>
              <w:snapToGrid w:val="0"/>
              <w:spacing w:line="360" w:lineRule="auto"/>
              <w:rPr>
                <w:rFonts w:ascii="Times New Roman" w:hAnsi="Times New Roman" w:eastAsia="宋体" w:cs="Times New Roman"/>
                <w:kern w:val="0"/>
                <w:sz w:val="28"/>
                <w:szCs w:val="28"/>
              </w:rPr>
            </w:pPr>
            <w:bookmarkStart w:id="83" w:name="OLE_LINK11"/>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年基准线碳排放因子，单位为千克二氧化碳每人公里（k</w:t>
            </w:r>
            <w:r>
              <w:rPr>
                <w:rFonts w:ascii="Times New Roman" w:hAnsi="Times New Roman" w:eastAsia="宋体" w:cs="Times New Roman"/>
                <w:kern w:val="0"/>
                <w:sz w:val="28"/>
                <w:szCs w:val="28"/>
              </w:rPr>
              <w:t>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bookmarkEnd w:id="83"/>
            <w:r>
              <w:rPr>
                <w:rFonts w:hint="eastAsia" w:ascii="Times New Roman" w:hAnsi="Times New Roman" w:eastAsia="宋体" w:cs="Times New Roman"/>
                <w:kern w:val="0"/>
                <w:sz w:val="28"/>
                <w:szCs w:val="28"/>
              </w:rPr>
              <w:t>；</w:t>
            </w:r>
          </w:p>
        </w:tc>
      </w:tr>
      <w:tr w14:paraId="11ABE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4D4D5EB6">
            <w:pPr>
              <w:adjustRightInd w:val="0"/>
              <w:snapToGrid w:val="0"/>
              <w:spacing w:line="360" w:lineRule="auto"/>
              <w:rPr>
                <w:rFonts w:ascii="Times New Roman" w:hAnsi="Times New Roman" w:eastAsia="宋体" w:cs="Times New Roman"/>
                <w:kern w:val="0"/>
                <w:sz w:val="28"/>
                <w:szCs w:val="28"/>
              </w:rPr>
            </w:pPr>
            <m:oMathPara>
              <m:oMath>
                <m:sSub>
                  <w:bookmarkStart w:id="84" w:name="_Hlk224311194"/>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BD</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i,y</m:t>
                    </m:r>
                    <m:ctrlPr>
                      <w:rPr>
                        <w:rFonts w:ascii="Cambria Math" w:hAnsi="Cambria Math" w:eastAsia="宋体" w:cs="Times New Roman"/>
                        <w:i/>
                        <w:kern w:val="0"/>
                        <w:sz w:val="28"/>
                        <w:szCs w:val="28"/>
                      </w:rPr>
                    </m:ctrlPr>
                  </m:sub>
                </m:sSub>
              </m:oMath>
            </m:oMathPara>
          </w:p>
        </w:tc>
        <w:tc>
          <w:tcPr>
            <w:tcW w:w="572" w:type="dxa"/>
            <w:vAlign w:val="center"/>
          </w:tcPr>
          <w:p w14:paraId="2C3748F4">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5FF69480">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年第</w:t>
            </w:r>
            <w:r>
              <w:rPr>
                <w:rFonts w:ascii="Times New Roman" w:hAnsi="Times New Roman" w:eastAsia="宋体" w:cs="Times New Roman"/>
                <w:i/>
                <w:iCs/>
                <w:kern w:val="0"/>
                <w:sz w:val="28"/>
                <w:szCs w:val="28"/>
              </w:rPr>
              <w:t>i</w:t>
            </w:r>
            <w:r>
              <w:rPr>
                <w:rFonts w:hint="eastAsia" w:ascii="Times New Roman" w:hAnsi="Times New Roman" w:eastAsia="宋体" w:cs="Times New Roman"/>
                <w:kern w:val="0"/>
                <w:sz w:val="28"/>
                <w:szCs w:val="28"/>
              </w:rPr>
              <w:t>次出行基准线对应的活动水平，单位为人公里（</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bookmarkEnd w:id="78"/>
      <w:bookmarkEnd w:id="80"/>
      <w:bookmarkEnd w:id="84"/>
    </w:tbl>
    <w:p w14:paraId="0AC48980">
      <w:pPr>
        <w:adjustRightInd w:val="0"/>
        <w:snapToGrid w:val="0"/>
        <w:spacing w:line="360" w:lineRule="auto"/>
        <w:ind w:left="425"/>
        <w:rPr>
          <w:rFonts w:ascii="Times New Roman" w:hAnsi="Times New Roman" w:cs="Times New Roman"/>
          <w:sz w:val="28"/>
          <w:szCs w:val="28"/>
        </w:rPr>
      </w:pPr>
      <m:oMath>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hint="eastAsia" w:ascii="Cambria Math" w:hAnsi="Cambria Math" w:cs="Times New Roman"/>
                <w:sz w:val="28"/>
                <w:szCs w:val="28"/>
              </w:rPr>
              <m:t>∑</m:t>
            </m:r>
            <m:ctrlPr>
              <w:rPr>
                <w:rFonts w:ascii="Cambria Math" w:hAnsi="Cambria Math" w:cs="Times New Roman"/>
                <w:i/>
                <w:sz w:val="28"/>
                <w:szCs w:val="28"/>
              </w:rPr>
            </m:ctrlPr>
          </m:e>
          <m:sub>
            <m:r>
              <m:rPr/>
              <w:rPr>
                <w:rFonts w:ascii="Cambria Math" w:hAnsi="Cambria Math" w:cs="Times New Roman"/>
                <w:sz w:val="28"/>
                <w:szCs w:val="28"/>
              </w:rPr>
              <m:t>k</m:t>
            </m:r>
            <m:ctrlPr>
              <w:rPr>
                <w:rFonts w:ascii="Cambria Math" w:hAnsi="Cambria Math" w:cs="Times New Roman"/>
                <w:i/>
                <w:sz w:val="28"/>
                <w:szCs w:val="28"/>
              </w:rPr>
            </m:ctrlPr>
          </m:sub>
        </m:sSub>
        <m:sSub>
          <m:sSubPr>
            <m:ctrlPr>
              <w:rPr>
                <w:rFonts w:ascii="Cambria Math" w:hAnsi="Cambria Math" w:cs="Times New Roman"/>
                <w:i/>
                <w:sz w:val="28"/>
                <w:szCs w:val="28"/>
              </w:rPr>
            </m:ctrlPr>
          </m:sSubPr>
          <m:e>
            <m:r>
              <m:rPr/>
              <w:rPr>
                <w:rFonts w:hint="eastAsia" w:ascii="Cambria Math" w:hAnsi="Cambria Math" w:cs="Times New Roman"/>
                <w:sz w:val="28"/>
                <w:szCs w:val="28"/>
              </w:rPr>
              <m:t>∑</m:t>
            </m:r>
            <m:ctrlPr>
              <w:rPr>
                <w:rFonts w:ascii="Cambria Math" w:hAnsi="Cambria Math" w:cs="Times New Roman"/>
                <w:i/>
                <w:sz w:val="28"/>
                <w:szCs w:val="28"/>
              </w:rPr>
            </m:ctrlPr>
          </m:e>
          <m:sub>
            <m:r>
              <m:rPr/>
              <w:rPr>
                <w:rFonts w:ascii="Cambria Math" w:hAnsi="Cambria Math" w:cs="Times New Roman"/>
                <w:sz w:val="28"/>
                <w:szCs w:val="28"/>
              </w:rPr>
              <m:t>n</m:t>
            </m:r>
            <m:ctrlPr>
              <w:rPr>
                <w:rFonts w:ascii="Cambria Math" w:hAnsi="Cambria Math" w:cs="Times New Roman"/>
                <w:i/>
                <w:sz w:val="28"/>
                <w:szCs w:val="28"/>
              </w:rPr>
            </m:ctrlP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m:rPr/>
                  <w:rPr>
                    <w:rFonts w:ascii="Cambria Math" w:hAnsi="Cambria Math" w:cs="Times New Roman"/>
                    <w:sz w:val="28"/>
                    <w:szCs w:val="28"/>
                  </w:rPr>
                  <m:t>FC</m:t>
                </m:r>
                <m:ctrlPr>
                  <w:rPr>
                    <w:rFonts w:ascii="Cambria Math" w:hAnsi="Cambria Math" w:cs="Times New Roman"/>
                    <w:i/>
                    <w:sz w:val="28"/>
                    <w:szCs w:val="28"/>
                  </w:rPr>
                </m:ctrlPr>
              </m:e>
              <m:sub>
                <m:r>
                  <m:rPr/>
                  <w:rPr>
                    <w:rFonts w:ascii="Cambria Math" w:hAnsi="Cambria Math" w:cs="Times New Roman"/>
                    <w:sz w:val="28"/>
                    <w:szCs w:val="28"/>
                  </w:rPr>
                  <m:t>k,n,y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NCV</m:t>
                </m:r>
                <m:ctrlPr>
                  <w:rPr>
                    <w:rFonts w:ascii="Cambria Math" w:hAnsi="Cambria Math" w:cs="Times New Roman"/>
                    <w:i/>
                    <w:sz w:val="28"/>
                    <w:szCs w:val="28"/>
                  </w:rPr>
                </m:ctrlPr>
              </m:e>
              <m:sub>
                <m:r>
                  <m:rPr/>
                  <w:rPr>
                    <w:rFonts w:ascii="Cambria Math" w:hAnsi="Cambria Math" w:cs="Times New Roman"/>
                    <w:sz w:val="28"/>
                    <w:szCs w:val="28"/>
                  </w:rPr>
                  <m:t>k,n</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k,n</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EC</m:t>
                </m:r>
                <m:ctrlPr>
                  <w:rPr>
                    <w:rFonts w:ascii="Cambria Math" w:hAnsi="Cambria Math" w:cs="Times New Roman"/>
                    <w:i/>
                    <w:sz w:val="28"/>
                    <w:szCs w:val="28"/>
                  </w:rPr>
                </m:ctrlPr>
              </m:e>
              <m:sub>
                <m:r>
                  <m:rPr/>
                  <w:rPr>
                    <w:rFonts w:ascii="Cambria Math" w:hAnsi="Cambria Math" w:cs="Times New Roman"/>
                    <w:sz w:val="28"/>
                    <w:szCs w:val="28"/>
                  </w:rPr>
                  <m:t>k,y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sSub>
                  <m:sSubPr>
                    <m:ctrlPr>
                      <w:rPr>
                        <w:rFonts w:ascii="Cambria Math" w:hAnsi="Cambria Math" w:cs="Times New Roman"/>
                        <w:i/>
                        <w:sz w:val="28"/>
                        <w:szCs w:val="28"/>
                      </w:rPr>
                    </m:ctrlPr>
                  </m:sSubPr>
                  <m:e>
                    <m:r>
                      <m:rPr/>
                      <w:rPr>
                        <w:rFonts w:ascii="Cambria Math" w:hAnsi="Cambria Math" w:cs="Times New Roman"/>
                        <w:sz w:val="28"/>
                        <w:szCs w:val="28"/>
                      </w:rPr>
                      <m:t>CO</m:t>
                    </m:r>
                    <m:ctrlPr>
                      <w:rPr>
                        <w:rFonts w:ascii="Cambria Math" w:hAnsi="Cambria Math" w:cs="Times New Roman"/>
                        <w:i/>
                        <w:sz w:val="28"/>
                        <w:szCs w:val="28"/>
                      </w:rPr>
                    </m:ctrlPr>
                  </m:e>
                  <m:sub>
                    <m:r>
                      <m:rPr/>
                      <w:rPr>
                        <w:rFonts w:ascii="Cambria Math" w:hAnsi="Cambria Math" w:cs="Times New Roman"/>
                        <w:sz w:val="28"/>
                        <w:szCs w:val="28"/>
                      </w:rPr>
                      <m:t>2</m:t>
                    </m:r>
                    <m:ctrlPr>
                      <w:rPr>
                        <w:rFonts w:ascii="Cambria Math" w:hAnsi="Cambria Math" w:cs="Times New Roman"/>
                        <w:i/>
                        <w:sz w:val="28"/>
                        <w:szCs w:val="28"/>
                      </w:rPr>
                    </m:ctrlPr>
                  </m:sub>
                </m:sSub>
                <m:ctrlPr>
                  <w:rPr>
                    <w:rFonts w:ascii="Cambria Math" w:hAnsi="Cambria Math" w:cs="Times New Roman"/>
                    <w:i/>
                    <w:sz w:val="28"/>
                    <w:szCs w:val="28"/>
                  </w:rPr>
                </m:ctrlPr>
              </m:sub>
            </m:sSub>
            <m:ctrlPr>
              <w:rPr>
                <w:rFonts w:ascii="Cambria Math" w:hAnsi="Cambria Math" w:cs="Times New Roman"/>
                <w:i/>
                <w:sz w:val="28"/>
                <w:szCs w:val="28"/>
              </w:rPr>
            </m:ctrlPr>
          </m:e>
        </m:d>
        <m:r>
          <m:rPr/>
          <w:rPr>
            <w:rFonts w:ascii="Cambria Math" w:hAnsi="Cambria Math" w:cs="Times New Roman"/>
            <w:sz w:val="28"/>
            <w:szCs w:val="28"/>
          </w:rPr>
          <m:t>∕</m:t>
        </m:r>
        <m:nary>
          <m:naryPr>
            <m:chr m:val="∑"/>
            <m:limLoc m:val="subSup"/>
            <m:supHide m:val="1"/>
            <m:ctrlPr>
              <w:rPr>
                <w:rFonts w:ascii="Cambria Math" w:hAnsi="Cambria Math" w:cs="Times New Roman"/>
                <w:i/>
                <w:sz w:val="28"/>
                <w:szCs w:val="28"/>
              </w:rPr>
            </m:ctrlPr>
          </m:naryPr>
          <m:sub>
            <m:r>
              <m:rPr/>
              <w:rPr>
                <w:rFonts w:ascii="Cambria Math" w:hAnsi="Cambria Math" w:cs="Times New Roman"/>
                <w:sz w:val="28"/>
                <w:szCs w:val="28"/>
              </w:rPr>
              <m:t>k</m:t>
            </m:r>
            <m:ctrlPr>
              <w:rPr>
                <w:rFonts w:ascii="Cambria Math" w:hAnsi="Cambria Math" w:cs="Times New Roman"/>
                <w:i/>
                <w:sz w:val="28"/>
                <w:szCs w:val="28"/>
              </w:rPr>
            </m:ctrlPr>
          </m:sub>
          <m:sup>
            <m:ctrlPr>
              <w:rPr>
                <w:rFonts w:ascii="Cambria Math" w:hAnsi="Cambria Math" w:cs="Times New Roman"/>
                <w:i/>
                <w:sz w:val="28"/>
                <w:szCs w:val="28"/>
              </w:rPr>
            </m:ctrlPr>
          </m:sup>
          <m:e>
            <m:sSub>
              <m:sSubPr>
                <m:ctrlPr>
                  <w:rPr>
                    <w:rFonts w:ascii="Cambria Math" w:hAnsi="Cambria Math" w:cs="Times New Roman"/>
                    <w:i/>
                    <w:sz w:val="28"/>
                    <w:szCs w:val="28"/>
                  </w:rPr>
                </m:ctrlPr>
              </m:sSubPr>
              <m:e>
                <m:r>
                  <m:rPr/>
                  <w:rPr>
                    <w:rFonts w:ascii="Cambria Math" w:hAnsi="Cambria Math" w:cs="Times New Roman"/>
                    <w:sz w:val="28"/>
                    <w:szCs w:val="28"/>
                  </w:rPr>
                  <m:t>Q</m:t>
                </m:r>
                <m:ctrlPr>
                  <w:rPr>
                    <w:rFonts w:ascii="Cambria Math" w:hAnsi="Cambria Math" w:cs="Times New Roman"/>
                    <w:i/>
                    <w:sz w:val="28"/>
                    <w:szCs w:val="28"/>
                  </w:rPr>
                </m:ctrlPr>
              </m:e>
              <m:sub>
                <m:r>
                  <m:rPr/>
                  <w:rPr>
                    <w:rFonts w:ascii="Cambria Math" w:hAnsi="Cambria Math" w:cs="Times New Roman"/>
                    <w:sz w:val="28"/>
                    <w:szCs w:val="28"/>
                  </w:rPr>
                  <m:t>k,y</m:t>
                </m:r>
                <m:ctrlPr>
                  <w:rPr>
                    <w:rFonts w:ascii="Cambria Math" w:hAnsi="Cambria Math" w:cs="Times New Roman"/>
                    <w:i/>
                    <w:sz w:val="28"/>
                    <w:szCs w:val="28"/>
                  </w:rPr>
                </m:ctrlPr>
              </m:sub>
            </m:sSub>
            <m:ctrlPr>
              <w:rPr>
                <w:rFonts w:ascii="Cambria Math" w:hAnsi="Cambria Math" w:cs="Times New Roman"/>
                <w:i/>
                <w:sz w:val="28"/>
                <w:szCs w:val="28"/>
              </w:rPr>
            </m:ctrlPr>
          </m:e>
        </m:nary>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2</w:t>
      </w:r>
      <w:r>
        <w:rPr>
          <w:rFonts w:hint="eastAsia" w:ascii="Times New Roman" w:hAnsi="Times New Roman" w:cs="Times New Roman"/>
          <w:sz w:val="28"/>
          <w:szCs w:val="28"/>
        </w:rPr>
        <w:t>）</w:t>
      </w:r>
    </w:p>
    <w:p w14:paraId="30DBA57A">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72"/>
        <w:gridCol w:w="566"/>
        <w:gridCol w:w="6258"/>
      </w:tblGrid>
      <w:tr w14:paraId="2B884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75681913">
            <w:pPr>
              <w:adjustRightInd w:val="0"/>
              <w:snapToGrid w:val="0"/>
              <w:spacing w:line="360" w:lineRule="auto"/>
              <w:rPr>
                <w:rFonts w:ascii="Times New Roman" w:hAnsi="Times New Roman" w:eastAsia="宋体" w:cs="Times New Roman"/>
                <w:kern w:val="0"/>
                <w:sz w:val="28"/>
                <w:szCs w:val="28"/>
              </w:rPr>
            </w:pPr>
            <m:oMathPara>
              <m:oMath>
                <m:sSub>
                  <w:bookmarkStart w:id="85" w:name="OLE_LINK16"/>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y</m:t>
                    </m:r>
                    <w:bookmarkEnd w:id="85"/>
                    <m:ctrlPr>
                      <w:rPr>
                        <w:rFonts w:ascii="Cambria Math" w:hAnsi="Cambria Math" w:eastAsia="宋体" w:cs="Times New Roman"/>
                        <w:i/>
                        <w:kern w:val="0"/>
                        <w:sz w:val="28"/>
                        <w:szCs w:val="28"/>
                      </w:rPr>
                    </m:ctrlPr>
                  </m:sub>
                </m:sSub>
              </m:oMath>
            </m:oMathPara>
          </w:p>
        </w:tc>
        <w:tc>
          <w:tcPr>
            <w:tcW w:w="566" w:type="dxa"/>
            <w:vAlign w:val="center"/>
          </w:tcPr>
          <w:p w14:paraId="3596F35A">
            <w:pPr>
              <w:adjustRightInd w:val="0"/>
              <w:snapToGrid w:val="0"/>
              <w:spacing w:line="360" w:lineRule="auto"/>
              <w:rPr>
                <w:rFonts w:ascii="Times New Roman" w:hAnsi="Times New Roman" w:eastAsia="宋体" w:cs="Times New Roman"/>
                <w:kern w:val="0"/>
                <w:sz w:val="28"/>
                <w:szCs w:val="28"/>
              </w:rPr>
            </w:pPr>
            <w:bookmarkStart w:id="86" w:name="OLE_LINK17"/>
            <w:r>
              <w:rPr>
                <w:rFonts w:ascii="Times New Roman" w:hAnsi="Times New Roman" w:eastAsia="宋体" w:cs="Times New Roman"/>
                <w:kern w:val="0"/>
                <w:sz w:val="28"/>
                <w:szCs w:val="28"/>
              </w:rPr>
              <w:t>=</w:t>
            </w:r>
            <w:bookmarkEnd w:id="86"/>
          </w:p>
        </w:tc>
        <w:tc>
          <w:tcPr>
            <w:tcW w:w="6258" w:type="dxa"/>
            <w:vAlign w:val="center"/>
          </w:tcPr>
          <w:p w14:paraId="7B028A80">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年出行基准线碳排放因子，单位为千克二氧化碳每人公里（k</w:t>
            </w:r>
            <w:r>
              <w:rPr>
                <w:rFonts w:ascii="Times New Roman" w:hAnsi="Times New Roman" w:eastAsia="宋体" w:cs="Times New Roman"/>
                <w:kern w:val="0"/>
                <w:sz w:val="28"/>
                <w:szCs w:val="28"/>
              </w:rPr>
              <w:t>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tr w14:paraId="31200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258A5237">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FC</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k,n,y</m:t>
                    </m:r>
                    <m:ctrlPr>
                      <w:rPr>
                        <w:rFonts w:ascii="Cambria Math" w:hAnsi="Cambria Math" w:eastAsia="宋体" w:cs="Times New Roman"/>
                        <w:i/>
                        <w:kern w:val="0"/>
                        <w:sz w:val="28"/>
                        <w:szCs w:val="28"/>
                      </w:rPr>
                    </m:ctrlPr>
                  </m:sub>
                </m:sSub>
              </m:oMath>
            </m:oMathPara>
          </w:p>
        </w:tc>
        <w:tc>
          <w:tcPr>
            <w:tcW w:w="566" w:type="dxa"/>
            <w:vAlign w:val="center"/>
          </w:tcPr>
          <w:p w14:paraId="4680C3C6">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54E35AD2">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使用燃料</w:t>
            </w:r>
            <w:r>
              <w:rPr>
                <w:rFonts w:ascii="Times New Roman" w:hAnsi="Times New Roman" w:eastAsia="宋体" w:cs="Times New Roman"/>
                <w:i/>
                <w:iCs/>
                <w:kern w:val="0"/>
                <w:sz w:val="28"/>
                <w:szCs w:val="28"/>
              </w:rPr>
              <w:t>n</w:t>
            </w:r>
            <w:r>
              <w:rPr>
                <w:rFonts w:hint="eastAsia" w:ascii="Times New Roman" w:hAnsi="Times New Roman" w:eastAsia="宋体" w:cs="Times New Roman"/>
                <w:kern w:val="0"/>
                <w:sz w:val="28"/>
                <w:szCs w:val="28"/>
              </w:rPr>
              <w:t>的总消耗量，单位为千克（</w:t>
            </w:r>
            <w:r>
              <w:rPr>
                <w:rFonts w:ascii="Times New Roman" w:hAnsi="Times New Roman" w:eastAsia="宋体" w:cs="Times New Roman"/>
                <w:kern w:val="0"/>
                <w:sz w:val="28"/>
                <w:szCs w:val="28"/>
              </w:rPr>
              <w:t>kg</w:t>
            </w:r>
            <w:r>
              <w:rPr>
                <w:rFonts w:hint="eastAsia" w:ascii="Times New Roman" w:hAnsi="Times New Roman" w:eastAsia="宋体" w:cs="Times New Roman"/>
                <w:kern w:val="0"/>
                <w:sz w:val="28"/>
                <w:szCs w:val="28"/>
              </w:rPr>
              <w:t>）；</w:t>
            </w:r>
          </w:p>
        </w:tc>
      </w:tr>
      <w:tr w14:paraId="247C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34AA1365">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NCV</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m:t>
                    </m:r>
                    <m:ctrlPr>
                      <w:rPr>
                        <w:rFonts w:ascii="Cambria Math" w:hAnsi="Cambria Math" w:eastAsia="宋体" w:cs="Times New Roman"/>
                        <w:i/>
                        <w:kern w:val="0"/>
                        <w:sz w:val="28"/>
                        <w:szCs w:val="28"/>
                      </w:rPr>
                    </m:ctrlPr>
                  </m:sub>
                </m:sSub>
              </m:oMath>
            </m:oMathPara>
          </w:p>
        </w:tc>
        <w:tc>
          <w:tcPr>
            <w:tcW w:w="566" w:type="dxa"/>
            <w:vAlign w:val="center"/>
          </w:tcPr>
          <w:p w14:paraId="7BB6CE2C">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2F106EF0">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使用燃料</w:t>
            </w:r>
            <w:r>
              <w:rPr>
                <w:rFonts w:ascii="Times New Roman" w:hAnsi="Times New Roman" w:eastAsia="宋体" w:cs="Times New Roman"/>
                <w:i/>
                <w:iCs/>
                <w:kern w:val="0"/>
                <w:sz w:val="28"/>
                <w:szCs w:val="28"/>
              </w:rPr>
              <w:t>n</w:t>
            </w:r>
            <w:r>
              <w:rPr>
                <w:rFonts w:hint="eastAsia" w:ascii="Times New Roman" w:hAnsi="Times New Roman" w:eastAsia="宋体" w:cs="Times New Roman"/>
                <w:kern w:val="0"/>
                <w:sz w:val="28"/>
                <w:szCs w:val="28"/>
              </w:rPr>
              <w:t>的净热值，单位为兆焦每千克（</w:t>
            </w:r>
            <w:bookmarkStart w:id="87" w:name="OLE_LINK33"/>
            <w:r>
              <w:rPr>
                <w:rFonts w:ascii="Times New Roman" w:hAnsi="Times New Roman" w:eastAsia="宋体" w:cs="Times New Roman"/>
                <w:kern w:val="0"/>
                <w:sz w:val="28"/>
                <w:szCs w:val="28"/>
              </w:rPr>
              <w:t>MJ/kg</w:t>
            </w:r>
            <w:bookmarkEnd w:id="87"/>
            <w:r>
              <w:rPr>
                <w:rFonts w:hint="eastAsia" w:ascii="Times New Roman" w:hAnsi="Times New Roman" w:eastAsia="宋体" w:cs="Times New Roman"/>
                <w:kern w:val="0"/>
                <w:sz w:val="28"/>
                <w:szCs w:val="28"/>
              </w:rPr>
              <w:t>）；</w:t>
            </w:r>
          </w:p>
        </w:tc>
      </w:tr>
      <w:tr w14:paraId="6FBCA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5FA78356">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m:t>
                    </m:r>
                    <m:ctrlPr>
                      <w:rPr>
                        <w:rFonts w:ascii="Cambria Math" w:hAnsi="Cambria Math" w:eastAsia="宋体" w:cs="Times New Roman"/>
                        <w:i/>
                        <w:kern w:val="0"/>
                        <w:sz w:val="28"/>
                        <w:szCs w:val="28"/>
                      </w:rPr>
                    </m:ctrlPr>
                  </m:sub>
                </m:sSub>
              </m:oMath>
            </m:oMathPara>
          </w:p>
        </w:tc>
        <w:tc>
          <w:tcPr>
            <w:tcW w:w="566" w:type="dxa"/>
            <w:vAlign w:val="center"/>
          </w:tcPr>
          <w:p w14:paraId="38666E75">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4CA84DC7">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使用燃料</w:t>
            </w:r>
            <w:r>
              <w:rPr>
                <w:rFonts w:ascii="Times New Roman" w:hAnsi="Times New Roman" w:eastAsia="宋体" w:cs="Times New Roman"/>
                <w:i/>
                <w:iCs/>
                <w:kern w:val="0"/>
                <w:sz w:val="28"/>
                <w:szCs w:val="28"/>
              </w:rPr>
              <w:t>n</w:t>
            </w:r>
            <w:r>
              <w:rPr>
                <w:rFonts w:hint="eastAsia" w:ascii="Times New Roman" w:hAnsi="Times New Roman" w:eastAsia="宋体" w:cs="Times New Roman"/>
                <w:kern w:val="0"/>
                <w:sz w:val="28"/>
                <w:szCs w:val="28"/>
              </w:rPr>
              <w:t>的</w:t>
            </w:r>
            <w:r>
              <w:rPr>
                <w:rFonts w:ascii="Times New Roman" w:hAnsi="Times New Roman" w:eastAsia="宋体" w:cs="Times New Roman"/>
                <w:kern w:val="0"/>
                <w:sz w:val="28"/>
                <w:szCs w:val="28"/>
              </w:rPr>
              <w: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排放因子，单位为千克二氧化碳每兆焦（</w:t>
            </w:r>
            <w:r>
              <w:rPr>
                <w:rFonts w:ascii="Times New Roman" w:hAnsi="Times New Roman" w:eastAsia="宋体" w:cs="Times New Roman"/>
                <w:kern w:val="0"/>
                <w:sz w:val="28"/>
                <w:szCs w:val="28"/>
              </w:rPr>
              <w:t>kgCO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/MJ</w:t>
            </w:r>
            <w:r>
              <w:rPr>
                <w:rFonts w:hint="eastAsia" w:ascii="Times New Roman" w:hAnsi="Times New Roman" w:eastAsia="宋体" w:cs="Times New Roman"/>
                <w:kern w:val="0"/>
                <w:sz w:val="28"/>
                <w:szCs w:val="28"/>
              </w:rPr>
              <w:t>）；</w:t>
            </w:r>
          </w:p>
        </w:tc>
      </w:tr>
      <w:tr w14:paraId="79938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341A8F63">
            <w:pPr>
              <w:adjustRightInd w:val="0"/>
              <w:snapToGrid w:val="0"/>
              <w:spacing w:line="360" w:lineRule="auto"/>
              <w:rPr>
                <w:rFonts w:ascii="Times New Roman" w:hAnsi="Times New Roman" w:eastAsia="宋体" w:cs="Times New Roman"/>
                <w:kern w:val="0"/>
                <w:sz w:val="28"/>
                <w:szCs w:val="28"/>
              </w:rPr>
            </w:pPr>
            <m:oMathPara>
              <m:oMath>
                <m:sSub>
                  <w:bookmarkStart w:id="88" w:name="OLE_LINK13"/>
                  <w:bookmarkStart w:id="89" w:name="_Hlk223963656"/>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EC</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w:bookmarkEnd w:id="88"/>
                    <m:ctrlPr>
                      <w:rPr>
                        <w:rFonts w:ascii="Cambria Math" w:hAnsi="Cambria Math" w:eastAsia="宋体" w:cs="Times New Roman"/>
                        <w:i/>
                        <w:kern w:val="0"/>
                        <w:sz w:val="28"/>
                        <w:szCs w:val="28"/>
                      </w:rPr>
                    </m:ctrlPr>
                  </m:sub>
                </m:sSub>
              </m:oMath>
            </m:oMathPara>
          </w:p>
        </w:tc>
        <w:tc>
          <w:tcPr>
            <w:tcW w:w="566" w:type="dxa"/>
            <w:vAlign w:val="center"/>
          </w:tcPr>
          <w:p w14:paraId="79FB88BA">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41B93783">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总耗电量，单位为千瓦时（</w:t>
            </w:r>
            <w:r>
              <w:rPr>
                <w:rFonts w:ascii="Times New Roman" w:hAnsi="Times New Roman" w:eastAsia="宋体" w:cs="Times New Roman"/>
                <w:kern w:val="0"/>
                <w:sz w:val="28"/>
                <w:szCs w:val="28"/>
              </w:rPr>
              <w:t>kWh</w:t>
            </w:r>
            <w:r>
              <w:rPr>
                <w:rFonts w:hint="eastAsia" w:ascii="Times New Roman" w:hAnsi="Times New Roman" w:eastAsia="宋体" w:cs="Times New Roman"/>
                <w:kern w:val="0"/>
                <w:sz w:val="28"/>
                <w:szCs w:val="28"/>
              </w:rPr>
              <w:t>）；</w:t>
            </w:r>
          </w:p>
        </w:tc>
      </w:tr>
      <w:bookmarkEnd w:id="89"/>
      <w:tr w14:paraId="604C9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2B5B12CE">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co</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2</m:t>
                        </m:r>
                        <m:ctrlPr>
                          <w:rPr>
                            <w:rFonts w:ascii="Cambria Math" w:hAnsi="Cambria Math" w:eastAsia="宋体" w:cs="Times New Roman"/>
                            <w:i/>
                            <w:kern w:val="0"/>
                            <w:sz w:val="28"/>
                            <w:szCs w:val="28"/>
                          </w:rPr>
                        </m:ctrlPr>
                      </m:sub>
                    </m:sSub>
                    <m:ctrlPr>
                      <w:rPr>
                        <w:rFonts w:ascii="Cambria Math" w:hAnsi="Cambria Math" w:eastAsia="宋体" w:cs="Times New Roman"/>
                        <w:i/>
                        <w:kern w:val="0"/>
                        <w:sz w:val="28"/>
                        <w:szCs w:val="28"/>
                      </w:rPr>
                    </m:ctrlPr>
                  </m:sub>
                </m:sSub>
              </m:oMath>
            </m:oMathPara>
          </w:p>
        </w:tc>
        <w:tc>
          <w:tcPr>
            <w:tcW w:w="566" w:type="dxa"/>
            <w:vAlign w:val="center"/>
          </w:tcPr>
          <w:p w14:paraId="5FED2A66">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2880626C">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电力的</w:t>
            </w:r>
            <w:r>
              <w:rPr>
                <w:rFonts w:ascii="Times New Roman" w:hAnsi="Times New Roman" w:eastAsia="宋体" w:cs="Times New Roman"/>
                <w:kern w:val="0"/>
                <w:sz w:val="28"/>
                <w:szCs w:val="28"/>
              </w:rPr>
              <w: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排放因子，单位为千克二氧化碳每千瓦时（</w:t>
            </w:r>
            <w:bookmarkStart w:id="90" w:name="OLE_LINK32"/>
            <w:r>
              <w:rPr>
                <w:rFonts w:ascii="Times New Roman" w:hAnsi="Times New Roman" w:eastAsia="宋体" w:cs="Times New Roman"/>
                <w:kern w:val="0"/>
                <w:sz w:val="28"/>
                <w:szCs w:val="28"/>
              </w:rPr>
              <w:t>kgCO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/kWh</w:t>
            </w:r>
            <w:bookmarkEnd w:id="90"/>
            <w:r>
              <w:rPr>
                <w:rFonts w:hint="eastAsia" w:ascii="Times New Roman" w:hAnsi="Times New Roman" w:eastAsia="宋体" w:cs="Times New Roman"/>
                <w:kern w:val="0"/>
                <w:sz w:val="28"/>
                <w:szCs w:val="28"/>
              </w:rPr>
              <w:t>）；</w:t>
            </w:r>
          </w:p>
        </w:tc>
      </w:tr>
      <w:tr w14:paraId="09CBC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75E82F48">
            <w:pPr>
              <w:adjustRightInd w:val="0"/>
              <w:snapToGrid w:val="0"/>
              <w:spacing w:line="360" w:lineRule="auto"/>
              <w:rPr>
                <w:rFonts w:ascii="Times New Roman" w:hAnsi="Times New Roman" w:eastAsia="宋体" w:cs="Times New Roman"/>
                <w:kern w:val="0"/>
                <w:sz w:val="28"/>
                <w:szCs w:val="28"/>
              </w:rPr>
            </w:pPr>
            <m:oMathPara>
              <m:oMath>
                <m:sSub>
                  <w:bookmarkStart w:id="91" w:name="OLE_LINK35"/>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Q</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w:bookmarkEnd w:id="91"/>
                    <m:ctrlPr>
                      <w:rPr>
                        <w:rFonts w:ascii="Cambria Math" w:hAnsi="Cambria Math" w:eastAsia="宋体" w:cs="Times New Roman"/>
                        <w:i/>
                        <w:kern w:val="0"/>
                        <w:sz w:val="28"/>
                        <w:szCs w:val="28"/>
                      </w:rPr>
                    </m:ctrlPr>
                  </m:sub>
                </m:sSub>
              </m:oMath>
            </m:oMathPara>
          </w:p>
        </w:tc>
        <w:tc>
          <w:tcPr>
            <w:tcW w:w="566" w:type="dxa"/>
            <w:vAlign w:val="center"/>
          </w:tcPr>
          <w:p w14:paraId="676AC561">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06230D8F">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的客运周转量，单位为人公里（</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tr w14:paraId="585F7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69E99766">
            <w:pPr>
              <w:adjustRightInd w:val="0"/>
              <w:snapToGrid w:val="0"/>
              <w:spacing w:line="360" w:lineRule="auto"/>
              <w:rPr>
                <w:rFonts w:ascii="Times New Roman" w:hAnsi="Times New Roman" w:eastAsia="宋体" w:cs="Times New Roman"/>
                <w:kern w:val="0"/>
                <w:sz w:val="28"/>
                <w:szCs w:val="28"/>
              </w:rPr>
            </w:pPr>
            <m:oMathPara>
              <m:oMath>
                <m:r>
                  <m:rPr/>
                  <w:rPr>
                    <w:rFonts w:ascii="Cambria Math" w:hAnsi="Cambria Math" w:eastAsia="宋体" w:cs="Times New Roman"/>
                    <w:kern w:val="0"/>
                    <w:sz w:val="28"/>
                    <w:szCs w:val="28"/>
                  </w:rPr>
                  <m:t>n</m:t>
                </m:r>
              </m:oMath>
            </m:oMathPara>
          </w:p>
        </w:tc>
        <w:tc>
          <w:tcPr>
            <w:tcW w:w="566" w:type="dxa"/>
            <w:vAlign w:val="center"/>
          </w:tcPr>
          <w:p w14:paraId="416224EE">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6D2FA87B">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使用的燃料种类，包括汽油、柴油、天然气，不含电力；</w:t>
            </w:r>
          </w:p>
        </w:tc>
      </w:tr>
      <w:tr w14:paraId="147B9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618052DD">
            <w:pPr>
              <w:adjustRightInd w:val="0"/>
              <w:snapToGrid w:val="0"/>
              <w:spacing w:line="360" w:lineRule="auto"/>
              <w:rPr>
                <w:rFonts w:ascii="Times New Roman" w:hAnsi="Times New Roman" w:eastAsia="宋体" w:cs="Times New Roman"/>
                <w:kern w:val="0"/>
                <w:sz w:val="28"/>
                <w:szCs w:val="28"/>
              </w:rPr>
            </w:pPr>
            <m:oMathPara>
              <m:oMath>
                <m:r>
                  <m:rPr/>
                  <w:rPr>
                    <w:rFonts w:ascii="Cambria Math" w:hAnsi="Cambria Math" w:eastAsia="宋体" w:cs="Times New Roman"/>
                    <w:kern w:val="0"/>
                    <w:sz w:val="28"/>
                    <w:szCs w:val="28"/>
                  </w:rPr>
                  <m:t>k</m:t>
                </m:r>
              </m:oMath>
            </m:oMathPara>
          </w:p>
        </w:tc>
        <w:tc>
          <w:tcPr>
            <w:tcW w:w="566" w:type="dxa"/>
            <w:vAlign w:val="center"/>
          </w:tcPr>
          <w:p w14:paraId="12F7C8A5">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46D92C0C">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（公共汽车、城市轨道交通、出租汽车、私人小汽车）；</w:t>
            </w:r>
          </w:p>
        </w:tc>
      </w:tr>
      <w:tr w14:paraId="026C4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63FC47DD">
            <w:pPr>
              <w:adjustRightInd w:val="0"/>
              <w:snapToGrid w:val="0"/>
              <w:spacing w:line="360" w:lineRule="auto"/>
              <w:rPr>
                <w:rFonts w:ascii="Times New Roman" w:hAnsi="Times New Roman" w:eastAsia="宋体" w:cs="Times New Roman"/>
                <w:kern w:val="0"/>
                <w:sz w:val="28"/>
                <w:szCs w:val="28"/>
              </w:rPr>
            </w:pPr>
            <m:oMathPara>
              <m:oMath>
                <m:r>
                  <m:rPr/>
                  <w:rPr>
                    <w:rFonts w:ascii="Cambria Math" w:hAnsi="Cambria Math" w:eastAsia="宋体" w:cs="Times New Roman"/>
                    <w:kern w:val="0"/>
                    <w:sz w:val="28"/>
                    <w:szCs w:val="28"/>
                  </w:rPr>
                  <m:t>y</m:t>
                </m:r>
              </m:oMath>
            </m:oMathPara>
          </w:p>
        </w:tc>
        <w:tc>
          <w:tcPr>
            <w:tcW w:w="566" w:type="dxa"/>
            <w:vAlign w:val="center"/>
          </w:tcPr>
          <w:p w14:paraId="605DDBEC">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0BCAE97E">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基准年。</w:t>
            </w:r>
          </w:p>
        </w:tc>
      </w:tr>
      <w:bookmarkEnd w:id="79"/>
    </w:tbl>
    <w:p w14:paraId="0F7EBE58">
      <w:pPr>
        <w:adjustRightInd w:val="0"/>
        <w:snapToGrid w:val="0"/>
        <w:spacing w:line="360" w:lineRule="auto"/>
        <w:ind w:firstLine="560" w:firstLineChars="200"/>
        <w:rPr>
          <w:rFonts w:ascii="Times New Roman" w:hAnsi="Times New Roman" w:cs="Times New Roman"/>
          <w:sz w:val="28"/>
          <w:szCs w:val="28"/>
        </w:rPr>
      </w:pPr>
      <w:bookmarkStart w:id="92" w:name="_Toc154504472"/>
      <w:r>
        <w:rPr>
          <w:rFonts w:ascii="Times New Roman" w:hAnsi="Times New Roman" w:cs="Times New Roman"/>
          <w:sz w:val="28"/>
          <w:szCs w:val="28"/>
        </w:rPr>
        <w:t xml:space="preserve">7.4 </w:t>
      </w:r>
      <w:r>
        <w:rPr>
          <w:rFonts w:hint="eastAsia" w:ascii="Times New Roman" w:hAnsi="Times New Roman" w:cs="Times New Roman"/>
          <w:sz w:val="28"/>
          <w:szCs w:val="28"/>
        </w:rPr>
        <w:t>碳普惠情景排放量计算</w:t>
      </w:r>
    </w:p>
    <w:bookmarkEnd w:id="92"/>
    <w:p w14:paraId="0C58F2F7">
      <w:pPr>
        <w:adjustRightInd w:val="0"/>
        <w:snapToGrid w:val="0"/>
        <w:spacing w:line="360" w:lineRule="auto"/>
        <w:ind w:firstLine="560" w:firstLineChars="200"/>
        <w:rPr>
          <w:rFonts w:ascii="Times New Roman" w:hAnsi="Times New Roman" w:cs="Times New Roman"/>
          <w:sz w:val="28"/>
          <w:szCs w:val="28"/>
        </w:rPr>
      </w:pPr>
      <w:bookmarkStart w:id="93" w:name="OLE_LINK22"/>
      <w:r>
        <w:rPr>
          <w:rFonts w:hint="eastAsia" w:ascii="Times New Roman" w:hAnsi="Times New Roman" w:cs="Times New Roman"/>
          <w:sz w:val="28"/>
          <w:szCs w:val="28"/>
        </w:rPr>
        <w:t>碳普惠情景为采用</w:t>
      </w:r>
      <w:bookmarkStart w:id="94" w:name="OLE_LINK38"/>
      <w:r>
        <w:rPr>
          <w:rFonts w:hint="eastAsia" w:ascii="Times New Roman" w:hAnsi="Times New Roman" w:cs="Times New Roman"/>
          <w:sz w:val="28"/>
          <w:szCs w:val="28"/>
        </w:rPr>
        <w:t>公共汽车、城市轨道交通等绿色出行方式</w:t>
      </w:r>
      <w:bookmarkEnd w:id="94"/>
      <w:r>
        <w:rPr>
          <w:rFonts w:hint="eastAsia" w:ascii="Times New Roman" w:hAnsi="Times New Roman" w:cs="Times New Roman"/>
          <w:sz w:val="28"/>
          <w:szCs w:val="28"/>
        </w:rPr>
        <w:t>，排放量</w:t>
      </w:r>
      <m:oMath>
        <m:sSub>
          <m:sSubPr>
            <m:ctrlPr>
              <w:rPr>
                <w:rFonts w:ascii="Cambria Math" w:hAnsi="Cambria Math" w:cs="Times New Roman"/>
                <w:i/>
                <w:sz w:val="28"/>
                <w:szCs w:val="28"/>
              </w:rPr>
            </m:ctrlPr>
          </m:sSubPr>
          <m:e>
            <m:r>
              <m:rPr/>
              <w:rPr>
                <w:rFonts w:ascii="Cambria Math" w:hAnsi="Cambria Math" w:cs="Times New Roman"/>
                <w:sz w:val="28"/>
                <w:szCs w:val="28"/>
              </w:rPr>
              <m:t>PE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ascii="Times New Roman" w:hAnsi="Times New Roman" w:cs="Times New Roman"/>
          <w:sz w:val="28"/>
          <w:szCs w:val="28"/>
        </w:rPr>
        <w:t>按公式（3）计算</w:t>
      </w:r>
      <w:r>
        <w:rPr>
          <w:rFonts w:hint="eastAsia" w:ascii="Times New Roman" w:hAnsi="Times New Roman" w:cs="Times New Roman"/>
          <w:sz w:val="28"/>
          <w:szCs w:val="28"/>
        </w:rPr>
        <w:t>：</w:t>
      </w:r>
    </w:p>
    <w:p w14:paraId="4B6DB2AA">
      <w:pPr>
        <w:adjustRightInd w:val="0"/>
        <w:snapToGrid w:val="0"/>
        <w:spacing w:line="360" w:lineRule="auto"/>
        <w:ind w:left="425"/>
        <w:jc w:val="center"/>
        <w:rPr>
          <w:rFonts w:ascii="Times New Roman" w:hAnsi="Times New Roman" w:cs="Times New Roman"/>
          <w:sz w:val="28"/>
          <w:szCs w:val="28"/>
        </w:rPr>
      </w:pPr>
      <w:bookmarkStart w:id="95" w:name="OLE_LINK3"/>
      <m:oMath>
        <m:sSub>
          <m:sSubPr>
            <m:ctrlPr>
              <w:rPr>
                <w:rFonts w:ascii="Cambria Math" w:hAnsi="Cambria Math" w:cs="Times New Roman"/>
                <w:sz w:val="28"/>
                <w:szCs w:val="28"/>
              </w:rPr>
            </m:ctrlPr>
          </m:sSubPr>
          <m:e>
            <m:r>
              <m:rPr/>
              <w:rPr>
                <w:rFonts w:ascii="Cambria Math" w:hAnsi="Cambria Math" w:cs="Times New Roman"/>
                <w:sz w:val="28"/>
                <w:szCs w:val="28"/>
              </w:rPr>
              <m:t>PE</m:t>
            </m:r>
            <m:ctrlPr>
              <w:rPr>
                <w:rFonts w:ascii="Cambria Math" w:hAnsi="Cambria Math" w:cs="Times New Roman"/>
                <w:sz w:val="28"/>
                <w:szCs w:val="28"/>
              </w:rPr>
            </m:ctrlPr>
          </m:e>
          <m:sub>
            <m:r>
              <m:rPr/>
              <w:rPr>
                <w:rFonts w:ascii="Cambria Math" w:hAnsi="Cambria Math" w:cs="Times New Roman"/>
                <w:sz w:val="28"/>
                <w:szCs w:val="28"/>
              </w:rPr>
              <m:t>y</m:t>
            </m:r>
            <m:ctrlPr>
              <w:rPr>
                <w:rFonts w:ascii="Cambria Math" w:hAnsi="Cambria Math" w:cs="Times New Roman"/>
                <w:sz w:val="28"/>
                <w:szCs w:val="28"/>
              </w:rPr>
            </m:ctrlPr>
          </m:sub>
        </m:sSub>
        <m:r>
          <m:rPr/>
          <w:rPr>
            <w:rFonts w:ascii="Cambria Math" w:hAnsi="Cambria Math" w:cs="Times New Roman"/>
            <w:sz w:val="28"/>
            <w:szCs w:val="28"/>
          </w:rPr>
          <m:t>=</m:t>
        </m:r>
        <m:nary>
          <m:naryPr>
            <m:chr m:val="∑"/>
            <m:limLoc m:val="subSup"/>
            <m:supHide m:val="1"/>
            <m:ctrlPr>
              <w:rPr>
                <w:rFonts w:ascii="Cambria Math" w:hAnsi="Cambria Math" w:cs="Times New Roman"/>
                <w:i/>
                <w:sz w:val="28"/>
                <w:szCs w:val="28"/>
              </w:rPr>
            </m:ctrlPr>
          </m:naryPr>
          <m:sub>
            <m:r>
              <m:rPr/>
              <w:rPr>
                <w:rFonts w:ascii="Cambria Math" w:hAnsi="Cambria Math" w:cs="Times New Roman"/>
                <w:sz w:val="28"/>
                <w:szCs w:val="28"/>
              </w:rPr>
              <m:t>i</m:t>
            </m:r>
            <m:ctrlPr>
              <w:rPr>
                <w:rFonts w:ascii="Cambria Math" w:hAnsi="Cambria Math" w:cs="Times New Roman"/>
                <w:i/>
                <w:sz w:val="28"/>
                <w:szCs w:val="28"/>
              </w:rPr>
            </m:ctrlPr>
          </m:sub>
          <m:sup>
            <m:ctrlPr>
              <w:rPr>
                <w:rFonts w:ascii="Cambria Math" w:hAnsi="Cambria Math" w:cs="Times New Roman"/>
                <w:i/>
                <w:sz w:val="28"/>
                <w:szCs w:val="28"/>
              </w:rPr>
            </m:ctrlPr>
          </m:sup>
          <m:e>
            <m:nary>
              <m:naryPr>
                <m:chr m:val="∑"/>
                <m:limLoc m:val="subSup"/>
                <m:supHide m:val="1"/>
                <m:ctrlPr>
                  <w:rPr>
                    <w:rFonts w:ascii="Cambria Math" w:hAnsi="Cambria Math" w:cs="Times New Roman"/>
                    <w:i/>
                    <w:sz w:val="28"/>
                    <w:szCs w:val="28"/>
                  </w:rPr>
                </m:ctrlPr>
              </m:naryPr>
              <m:sub>
                <m:r>
                  <m:rPr/>
                  <w:rPr>
                    <w:rFonts w:ascii="Cambria Math" w:hAnsi="Cambria Math" w:cs="Times New Roman"/>
                    <w:sz w:val="28"/>
                    <w:szCs w:val="28"/>
                  </w:rPr>
                  <m:t>k</m:t>
                </m:r>
                <m:ctrlPr>
                  <w:rPr>
                    <w:rFonts w:ascii="Cambria Math" w:hAnsi="Cambria Math" w:cs="Times New Roman"/>
                    <w:i/>
                    <w:sz w:val="28"/>
                    <w:szCs w:val="28"/>
                  </w:rPr>
                </m:ctrlPr>
              </m:sub>
              <m:sup>
                <m:ctrlPr>
                  <w:rPr>
                    <w:rFonts w:ascii="Cambria Math" w:hAnsi="Cambria Math" w:cs="Times New Roman"/>
                    <w:i/>
                    <w:sz w:val="28"/>
                    <w:szCs w:val="28"/>
                  </w:rPr>
                </m:ctrlPr>
              </m:sup>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k,y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PD</m:t>
                        </m:r>
                        <m:ctrlPr>
                          <w:rPr>
                            <w:rFonts w:ascii="Cambria Math" w:hAnsi="Cambria Math" w:cs="Times New Roman"/>
                            <w:i/>
                            <w:sz w:val="28"/>
                            <w:szCs w:val="28"/>
                          </w:rPr>
                        </m:ctrlPr>
                      </m:e>
                      <m:sub>
                        <m:r>
                          <m:rPr/>
                          <w:rPr>
                            <w:rFonts w:ascii="Cambria Math" w:hAnsi="Cambria Math" w:cs="Times New Roman"/>
                            <w:sz w:val="28"/>
                            <w:szCs w:val="28"/>
                          </w:rPr>
                          <m:t>i,k,y</m:t>
                        </m:r>
                        <m:ctrlPr>
                          <w:rPr>
                            <w:rFonts w:ascii="Cambria Math" w:hAnsi="Cambria Math" w:cs="Times New Roman"/>
                            <w:i/>
                            <w:sz w:val="28"/>
                            <w:szCs w:val="28"/>
                          </w:rPr>
                        </m:ctrlPr>
                      </m:sub>
                    </m:sSub>
                    <m:ctrlPr>
                      <w:rPr>
                        <w:rFonts w:ascii="Cambria Math" w:hAnsi="Cambria Math" w:cs="Times New Roman"/>
                        <w:i/>
                        <w:sz w:val="28"/>
                        <w:szCs w:val="28"/>
                      </w:rPr>
                    </m:ctrlPr>
                  </m:e>
                </m:d>
                <m:ctrlPr>
                  <w:rPr>
                    <w:rFonts w:ascii="Cambria Math" w:hAnsi="Cambria Math" w:cs="Times New Roman"/>
                    <w:i/>
                    <w:sz w:val="28"/>
                    <w:szCs w:val="28"/>
                  </w:rPr>
                </m:ctrlPr>
              </m:e>
            </m:nary>
            <m:ctrlPr>
              <w:rPr>
                <w:rFonts w:ascii="Cambria Math" w:hAnsi="Cambria Math" w:cs="Times New Roman"/>
                <w:i/>
                <w:sz w:val="28"/>
                <w:szCs w:val="28"/>
              </w:rPr>
            </m:ctrlPr>
          </m:e>
        </m:nary>
        <m:r>
          <m:rPr/>
          <w:rPr>
            <w:rFonts w:ascii="Cambria Math" w:hAnsi="Cambria Math" w:cs="Times New Roman"/>
            <w:sz w:val="28"/>
            <w:szCs w:val="28"/>
          </w:rPr>
          <m:t>×</m:t>
        </m:r>
        <m:sSup>
          <m:sSupPr>
            <m:ctrlPr>
              <w:rPr>
                <w:rFonts w:ascii="Cambria Math" w:hAnsi="Cambria Math" w:cs="Times New Roman"/>
                <w:i/>
                <w:sz w:val="28"/>
                <w:szCs w:val="28"/>
              </w:rPr>
            </m:ctrlPr>
          </m:sSupPr>
          <m:e>
            <m:r>
              <m:rPr/>
              <w:rPr>
                <w:rFonts w:ascii="Cambria Math" w:hAnsi="Cambria Math" w:cs="Times New Roman"/>
                <w:sz w:val="28"/>
                <w:szCs w:val="28"/>
              </w:rPr>
              <m:t>10</m:t>
            </m:r>
            <m:ctrlPr>
              <w:rPr>
                <w:rFonts w:ascii="Cambria Math" w:hAnsi="Cambria Math" w:cs="Times New Roman"/>
                <w:i/>
                <w:sz w:val="28"/>
                <w:szCs w:val="28"/>
              </w:rPr>
            </m:ctrlPr>
          </m:e>
          <m:sup>
            <m:r>
              <m:rPr/>
              <w:rPr>
                <w:rFonts w:ascii="Cambria Math" w:hAnsi="Cambria Math" w:cs="Times New Roman"/>
                <w:sz w:val="28"/>
                <w:szCs w:val="28"/>
              </w:rPr>
              <m:t>−3</m:t>
            </m:r>
            <m:ctrlPr>
              <w:rPr>
                <w:rFonts w:ascii="Cambria Math" w:hAnsi="Cambria Math" w:cs="Times New Roman"/>
                <w:i/>
                <w:sz w:val="28"/>
                <w:szCs w:val="28"/>
              </w:rPr>
            </m:ctrlPr>
          </m:sup>
        </m:sSup>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3</w:t>
      </w:r>
      <w:r>
        <w:rPr>
          <w:rFonts w:hint="eastAsia" w:ascii="Times New Roman" w:hAnsi="Times New Roman" w:cs="Times New Roman"/>
          <w:sz w:val="28"/>
          <w:szCs w:val="28"/>
        </w:rPr>
        <w:t>）</w:t>
      </w:r>
    </w:p>
    <w:p w14:paraId="4A6C01CB">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3"/>
        <w:tblW w:w="8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1"/>
        <w:gridCol w:w="572"/>
        <w:gridCol w:w="6521"/>
      </w:tblGrid>
      <w:tr w14:paraId="20560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2C8DA103">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kern w:val="0"/>
                        <w:sz w:val="28"/>
                        <w:szCs w:val="28"/>
                      </w:rPr>
                    </m:ctrlPr>
                  </m:sSubPr>
                  <m:e>
                    <m:r>
                      <m:rPr/>
                      <w:rPr>
                        <w:rFonts w:ascii="Cambria Math" w:hAnsi="Cambria Math" w:eastAsia="宋体" w:cs="Times New Roman"/>
                        <w:kern w:val="0"/>
                        <w:sz w:val="28"/>
                        <w:szCs w:val="28"/>
                      </w:rPr>
                      <m:t>PE</m:t>
                    </m:r>
                    <m:ctrlPr>
                      <w:rPr>
                        <w:rFonts w:ascii="Cambria Math" w:hAnsi="Cambria Math" w:eastAsia="宋体" w:cs="Times New Roman"/>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kern w:val="0"/>
                        <w:sz w:val="28"/>
                        <w:szCs w:val="28"/>
                      </w:rPr>
                    </m:ctrlPr>
                  </m:sub>
                </m:sSub>
              </m:oMath>
            </m:oMathPara>
          </w:p>
        </w:tc>
        <w:tc>
          <w:tcPr>
            <w:tcW w:w="572" w:type="dxa"/>
            <w:vAlign w:val="center"/>
          </w:tcPr>
          <w:p w14:paraId="5066C8E1">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123542F2">
            <w:pPr>
              <w:adjustRightInd w:val="0"/>
              <w:snapToGrid w:val="0"/>
              <w:spacing w:line="360" w:lineRule="auto"/>
              <w:rPr>
                <w:rFonts w:ascii="Times New Roman" w:hAnsi="Times New Roman" w:eastAsia="宋体" w:cs="Times New Roman"/>
                <w:kern w:val="0"/>
                <w:sz w:val="28"/>
                <w:szCs w:val="28"/>
              </w:rPr>
            </w:pPr>
            <w:bookmarkStart w:id="96" w:name="OLE_LINK4"/>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年采用绿色出行方式碳排放量</w:t>
            </w:r>
            <w:bookmarkEnd w:id="96"/>
            <w:r>
              <w:rPr>
                <w:rFonts w:hint="eastAsia" w:ascii="Times New Roman" w:hAnsi="Times New Roman" w:eastAsia="宋体" w:cs="Times New Roman"/>
                <w:kern w:val="0"/>
                <w:sz w:val="28"/>
                <w:szCs w:val="28"/>
              </w:rPr>
              <w:t>，单位为吨二氧化碳（</w:t>
            </w:r>
            <w:r>
              <w:rPr>
                <w:rFonts w:ascii="Times New Roman" w:hAnsi="Times New Roman" w:eastAsia="宋体" w:cs="Times New Roman"/>
                <w:kern w:val="0"/>
                <w:sz w:val="28"/>
                <w:szCs w:val="28"/>
              </w:rPr>
              <w:t>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tr w14:paraId="5F719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1EEEBA6A">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m:ctrlPr>
                      <w:rPr>
                        <w:rFonts w:ascii="Cambria Math" w:hAnsi="Cambria Math" w:eastAsia="宋体" w:cs="Times New Roman"/>
                        <w:i/>
                        <w:kern w:val="0"/>
                        <w:sz w:val="28"/>
                        <w:szCs w:val="28"/>
                      </w:rPr>
                    </m:ctrlPr>
                  </m:sub>
                </m:sSub>
              </m:oMath>
            </m:oMathPara>
          </w:p>
        </w:tc>
        <w:tc>
          <w:tcPr>
            <w:tcW w:w="572" w:type="dxa"/>
            <w:vAlign w:val="center"/>
          </w:tcPr>
          <w:p w14:paraId="477224D6">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00FC05A8">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第y年采用</w:t>
            </w:r>
            <w:r>
              <w:rPr>
                <w:rFonts w:hint="eastAsia"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方式绿色出行碳排放因子，单位为千克二氧化碳每人公里（k</w:t>
            </w:r>
            <w:r>
              <w:rPr>
                <w:rFonts w:ascii="Times New Roman" w:hAnsi="Times New Roman" w:eastAsia="宋体" w:cs="Times New Roman"/>
                <w:kern w:val="0"/>
                <w:sz w:val="28"/>
                <w:szCs w:val="28"/>
              </w:rPr>
              <w:t>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tr w14:paraId="330F7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24D3BB02">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PD</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i,k,y</m:t>
                    </m:r>
                    <m:ctrlPr>
                      <w:rPr>
                        <w:rFonts w:ascii="Cambria Math" w:hAnsi="Cambria Math" w:eastAsia="宋体" w:cs="Times New Roman"/>
                        <w:i/>
                        <w:kern w:val="0"/>
                        <w:sz w:val="28"/>
                        <w:szCs w:val="28"/>
                      </w:rPr>
                    </m:ctrlPr>
                  </m:sub>
                </m:sSub>
              </m:oMath>
            </m:oMathPara>
          </w:p>
        </w:tc>
        <w:tc>
          <w:tcPr>
            <w:tcW w:w="572" w:type="dxa"/>
            <w:vAlign w:val="center"/>
          </w:tcPr>
          <w:p w14:paraId="69BA0D65">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21A0DB72">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年第</w:t>
            </w:r>
            <w:r>
              <w:rPr>
                <w:rFonts w:ascii="Times New Roman" w:hAnsi="Times New Roman" w:eastAsia="宋体" w:cs="Times New Roman"/>
                <w:i/>
                <w:iCs/>
                <w:kern w:val="0"/>
                <w:sz w:val="28"/>
                <w:szCs w:val="28"/>
              </w:rPr>
              <w:t>i</w:t>
            </w:r>
            <w:r>
              <w:rPr>
                <w:rFonts w:hint="eastAsia" w:ascii="Times New Roman" w:hAnsi="Times New Roman" w:eastAsia="宋体" w:cs="Times New Roman"/>
                <w:kern w:val="0"/>
                <w:sz w:val="28"/>
                <w:szCs w:val="28"/>
              </w:rPr>
              <w:t>次采用</w:t>
            </w:r>
            <w:r>
              <w:rPr>
                <w:rFonts w:hint="eastAsia"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方式绿色出行活动水平，单位为人公里（</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bookmarkEnd w:id="93"/>
      <w:bookmarkEnd w:id="95"/>
    </w:tbl>
    <w:p w14:paraId="72ADC954">
      <w:pPr>
        <w:adjustRightInd w:val="0"/>
        <w:snapToGrid w:val="0"/>
        <w:spacing w:line="360" w:lineRule="auto"/>
        <w:ind w:left="425"/>
        <w:rPr>
          <w:rFonts w:ascii="Times New Roman" w:hAnsi="Times New Roman" w:cs="Times New Roman"/>
          <w:sz w:val="28"/>
          <w:szCs w:val="28"/>
        </w:rPr>
      </w:pPr>
      <m:oMath>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k,y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hint="eastAsia" w:ascii="Cambria Math" w:hAnsi="Cambria Math" w:cs="Times New Roman"/>
                <w:sz w:val="28"/>
                <w:szCs w:val="28"/>
              </w:rPr>
              <m:t>∑</m:t>
            </m:r>
            <m:ctrlPr>
              <w:rPr>
                <w:rFonts w:ascii="Cambria Math" w:hAnsi="Cambria Math" w:cs="Times New Roman"/>
                <w:i/>
                <w:sz w:val="28"/>
                <w:szCs w:val="28"/>
              </w:rPr>
            </m:ctrlPr>
          </m:e>
          <m:sub>
            <m:r>
              <m:rPr/>
              <w:rPr>
                <w:rFonts w:ascii="Cambria Math" w:hAnsi="Cambria Math" w:cs="Times New Roman"/>
                <w:sz w:val="28"/>
                <w:szCs w:val="28"/>
              </w:rPr>
              <m:t>k</m:t>
            </m:r>
            <m:ctrlPr>
              <w:rPr>
                <w:rFonts w:ascii="Cambria Math" w:hAnsi="Cambria Math" w:cs="Times New Roman"/>
                <w:i/>
                <w:sz w:val="28"/>
                <w:szCs w:val="28"/>
              </w:rPr>
            </m:ctrlPr>
          </m:sub>
        </m:sSub>
        <m:sSub>
          <m:sSubPr>
            <m:ctrlPr>
              <w:rPr>
                <w:rFonts w:ascii="Cambria Math" w:hAnsi="Cambria Math" w:cs="Times New Roman"/>
                <w:i/>
                <w:sz w:val="28"/>
                <w:szCs w:val="28"/>
              </w:rPr>
            </m:ctrlPr>
          </m:sSubPr>
          <m:e>
            <m:r>
              <m:rPr/>
              <w:rPr>
                <w:rFonts w:hint="eastAsia" w:ascii="Cambria Math" w:hAnsi="Cambria Math" w:cs="Times New Roman"/>
                <w:sz w:val="28"/>
                <w:szCs w:val="28"/>
              </w:rPr>
              <m:t>∑</m:t>
            </m:r>
            <m:ctrlPr>
              <w:rPr>
                <w:rFonts w:ascii="Cambria Math" w:hAnsi="Cambria Math" w:cs="Times New Roman"/>
                <w:i/>
                <w:sz w:val="28"/>
                <w:szCs w:val="28"/>
              </w:rPr>
            </m:ctrlPr>
          </m:e>
          <m:sub>
            <m:r>
              <m:rPr/>
              <w:rPr>
                <w:rFonts w:ascii="Cambria Math" w:hAnsi="Cambria Math" w:cs="Times New Roman"/>
                <w:sz w:val="28"/>
                <w:szCs w:val="28"/>
              </w:rPr>
              <m:t>n</m:t>
            </m:r>
            <m:ctrlPr>
              <w:rPr>
                <w:rFonts w:ascii="Cambria Math" w:hAnsi="Cambria Math" w:cs="Times New Roman"/>
                <w:i/>
                <w:sz w:val="28"/>
                <w:szCs w:val="28"/>
              </w:rPr>
            </m:ctrlP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m:rPr/>
                  <w:rPr>
                    <w:rFonts w:ascii="Cambria Math" w:hAnsi="Cambria Math" w:cs="Times New Roman"/>
                    <w:sz w:val="28"/>
                    <w:szCs w:val="28"/>
                  </w:rPr>
                  <m:t>FC</m:t>
                </m:r>
                <m:ctrlPr>
                  <w:rPr>
                    <w:rFonts w:ascii="Cambria Math" w:hAnsi="Cambria Math" w:cs="Times New Roman"/>
                    <w:i/>
                    <w:sz w:val="28"/>
                    <w:szCs w:val="28"/>
                  </w:rPr>
                </m:ctrlPr>
              </m:e>
              <m:sub>
                <m:r>
                  <m:rPr/>
                  <w:rPr>
                    <w:rFonts w:ascii="Cambria Math" w:hAnsi="Cambria Math" w:cs="Times New Roman"/>
                    <w:sz w:val="28"/>
                    <w:szCs w:val="28"/>
                  </w:rPr>
                  <m:t>k,n,y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NCV</m:t>
                </m:r>
                <m:ctrlPr>
                  <w:rPr>
                    <w:rFonts w:ascii="Cambria Math" w:hAnsi="Cambria Math" w:cs="Times New Roman"/>
                    <w:i/>
                    <w:sz w:val="28"/>
                    <w:szCs w:val="28"/>
                  </w:rPr>
                </m:ctrlPr>
              </m:e>
              <m:sub>
                <m:r>
                  <m:rPr/>
                  <w:rPr>
                    <w:rFonts w:ascii="Cambria Math" w:hAnsi="Cambria Math" w:cs="Times New Roman"/>
                    <w:sz w:val="28"/>
                    <w:szCs w:val="28"/>
                  </w:rPr>
                  <m:t>k,n</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k,n</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EC</m:t>
                </m:r>
                <m:ctrlPr>
                  <w:rPr>
                    <w:rFonts w:ascii="Cambria Math" w:hAnsi="Cambria Math" w:cs="Times New Roman"/>
                    <w:i/>
                    <w:sz w:val="28"/>
                    <w:szCs w:val="28"/>
                  </w:rPr>
                </m:ctrlPr>
              </m:e>
              <m:sub>
                <m:r>
                  <m:rPr/>
                  <w:rPr>
                    <w:rFonts w:ascii="Cambria Math" w:hAnsi="Cambria Math" w:cs="Times New Roman"/>
                    <w:sz w:val="28"/>
                    <w:szCs w:val="28"/>
                  </w:rPr>
                  <m:t>k,y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sSub>
                  <m:sSubPr>
                    <m:ctrlPr>
                      <w:rPr>
                        <w:rFonts w:ascii="Cambria Math" w:hAnsi="Cambria Math" w:cs="Times New Roman"/>
                        <w:i/>
                        <w:sz w:val="28"/>
                        <w:szCs w:val="28"/>
                      </w:rPr>
                    </m:ctrlPr>
                  </m:sSubPr>
                  <m:e>
                    <m:r>
                      <m:rPr/>
                      <w:rPr>
                        <w:rFonts w:ascii="Cambria Math" w:hAnsi="Cambria Math" w:cs="Times New Roman"/>
                        <w:sz w:val="28"/>
                        <w:szCs w:val="28"/>
                      </w:rPr>
                      <m:t>CO</m:t>
                    </m:r>
                    <m:ctrlPr>
                      <w:rPr>
                        <w:rFonts w:ascii="Cambria Math" w:hAnsi="Cambria Math" w:cs="Times New Roman"/>
                        <w:i/>
                        <w:sz w:val="28"/>
                        <w:szCs w:val="28"/>
                      </w:rPr>
                    </m:ctrlPr>
                  </m:e>
                  <m:sub>
                    <m:r>
                      <m:rPr/>
                      <w:rPr>
                        <w:rFonts w:ascii="Cambria Math" w:hAnsi="Cambria Math" w:cs="Times New Roman"/>
                        <w:sz w:val="28"/>
                        <w:szCs w:val="28"/>
                      </w:rPr>
                      <m:t>2</m:t>
                    </m:r>
                    <m:ctrlPr>
                      <w:rPr>
                        <w:rFonts w:ascii="Cambria Math" w:hAnsi="Cambria Math" w:cs="Times New Roman"/>
                        <w:i/>
                        <w:sz w:val="28"/>
                        <w:szCs w:val="28"/>
                      </w:rPr>
                    </m:ctrlPr>
                  </m:sub>
                </m:sSub>
                <m:ctrlPr>
                  <w:rPr>
                    <w:rFonts w:ascii="Cambria Math" w:hAnsi="Cambria Math" w:cs="Times New Roman"/>
                    <w:i/>
                    <w:sz w:val="28"/>
                    <w:szCs w:val="28"/>
                  </w:rPr>
                </m:ctrlPr>
              </m:sub>
            </m:sSub>
            <m:ctrlPr>
              <w:rPr>
                <w:rFonts w:ascii="Cambria Math" w:hAnsi="Cambria Math" w:cs="Times New Roman"/>
                <w:i/>
                <w:sz w:val="28"/>
                <w:szCs w:val="28"/>
              </w:rPr>
            </m:ctrlPr>
          </m:e>
        </m:d>
        <m:r>
          <m:rPr/>
          <w:rPr>
            <w:rFonts w:ascii="Cambria Math" w:hAnsi="Cambria Math" w:cs="Times New Roman"/>
            <w:sz w:val="28"/>
            <w:szCs w:val="28"/>
          </w:rPr>
          <m:t>∕</m:t>
        </m:r>
        <m:nary>
          <m:naryPr>
            <m:chr m:val="∑"/>
            <m:limLoc m:val="subSup"/>
            <m:supHide m:val="1"/>
            <m:ctrlPr>
              <w:rPr>
                <w:rFonts w:ascii="Cambria Math" w:hAnsi="Cambria Math" w:cs="Times New Roman"/>
                <w:i/>
                <w:sz w:val="28"/>
                <w:szCs w:val="28"/>
              </w:rPr>
            </m:ctrlPr>
          </m:naryPr>
          <m:sub>
            <m:r>
              <m:rPr/>
              <w:rPr>
                <w:rFonts w:ascii="Cambria Math" w:hAnsi="Cambria Math" w:cs="Times New Roman"/>
                <w:sz w:val="28"/>
                <w:szCs w:val="28"/>
              </w:rPr>
              <m:t>k</m:t>
            </m:r>
            <m:ctrlPr>
              <w:rPr>
                <w:rFonts w:ascii="Cambria Math" w:hAnsi="Cambria Math" w:cs="Times New Roman"/>
                <w:i/>
                <w:sz w:val="28"/>
                <w:szCs w:val="28"/>
              </w:rPr>
            </m:ctrlPr>
          </m:sub>
          <m:sup>
            <m:ctrlPr>
              <w:rPr>
                <w:rFonts w:ascii="Cambria Math" w:hAnsi="Cambria Math" w:cs="Times New Roman"/>
                <w:i/>
                <w:sz w:val="28"/>
                <w:szCs w:val="28"/>
              </w:rPr>
            </m:ctrlPr>
          </m:sup>
          <m:e>
            <m:sSub>
              <m:sSubPr>
                <m:ctrlPr>
                  <w:rPr>
                    <w:rFonts w:ascii="Cambria Math" w:hAnsi="Cambria Math" w:cs="Times New Roman"/>
                    <w:i/>
                    <w:sz w:val="28"/>
                    <w:szCs w:val="28"/>
                  </w:rPr>
                </m:ctrlPr>
              </m:sSubPr>
              <m:e>
                <m:r>
                  <m:rPr/>
                  <w:rPr>
                    <w:rFonts w:ascii="Cambria Math" w:hAnsi="Cambria Math" w:cs="Times New Roman"/>
                    <w:sz w:val="28"/>
                    <w:szCs w:val="28"/>
                  </w:rPr>
                  <m:t>Q</m:t>
                </m:r>
                <m:ctrlPr>
                  <w:rPr>
                    <w:rFonts w:ascii="Cambria Math" w:hAnsi="Cambria Math" w:cs="Times New Roman"/>
                    <w:i/>
                    <w:sz w:val="28"/>
                    <w:szCs w:val="28"/>
                  </w:rPr>
                </m:ctrlPr>
              </m:e>
              <m:sub>
                <m:r>
                  <m:rPr/>
                  <w:rPr>
                    <w:rFonts w:ascii="Cambria Math" w:hAnsi="Cambria Math" w:cs="Times New Roman"/>
                    <w:sz w:val="28"/>
                    <w:szCs w:val="28"/>
                  </w:rPr>
                  <m:t>k,y</m:t>
                </m:r>
                <m:ctrlPr>
                  <w:rPr>
                    <w:rFonts w:ascii="Cambria Math" w:hAnsi="Cambria Math" w:cs="Times New Roman"/>
                    <w:i/>
                    <w:sz w:val="28"/>
                    <w:szCs w:val="28"/>
                  </w:rPr>
                </m:ctrlPr>
              </m:sub>
            </m:sSub>
            <m:ctrlPr>
              <w:rPr>
                <w:rFonts w:ascii="Cambria Math" w:hAnsi="Cambria Math" w:cs="Times New Roman"/>
                <w:i/>
                <w:sz w:val="28"/>
                <w:szCs w:val="28"/>
              </w:rPr>
            </m:ctrlPr>
          </m:e>
        </m:nary>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4</w:t>
      </w:r>
      <w:r>
        <w:rPr>
          <w:rFonts w:hint="eastAsia" w:ascii="Times New Roman" w:hAnsi="Times New Roman" w:cs="Times New Roman"/>
          <w:sz w:val="28"/>
          <w:szCs w:val="28"/>
        </w:rPr>
        <w:t>）</w:t>
      </w:r>
    </w:p>
    <w:p w14:paraId="10118DDC">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72"/>
        <w:gridCol w:w="566"/>
        <w:gridCol w:w="6258"/>
      </w:tblGrid>
      <w:tr w14:paraId="23B87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0C7BEB98">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m:ctrlPr>
                      <w:rPr>
                        <w:rFonts w:ascii="Cambria Math" w:hAnsi="Cambria Math" w:eastAsia="宋体" w:cs="Times New Roman"/>
                        <w:i/>
                        <w:kern w:val="0"/>
                        <w:sz w:val="28"/>
                        <w:szCs w:val="28"/>
                      </w:rPr>
                    </m:ctrlPr>
                  </m:sub>
                </m:sSub>
              </m:oMath>
            </m:oMathPara>
          </w:p>
        </w:tc>
        <w:tc>
          <w:tcPr>
            <w:tcW w:w="566" w:type="dxa"/>
            <w:vAlign w:val="center"/>
          </w:tcPr>
          <w:p w14:paraId="0909E251">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5B3BE476">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年采用</w:t>
            </w:r>
            <w:r>
              <w:rPr>
                <w:rFonts w:hint="eastAsia"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方式出行基准线碳排放因子，单位为千克二氧化碳每人公里（k</w:t>
            </w:r>
            <w:r>
              <w:rPr>
                <w:rFonts w:ascii="Times New Roman" w:hAnsi="Times New Roman" w:eastAsia="宋体" w:cs="Times New Roman"/>
                <w:kern w:val="0"/>
                <w:sz w:val="28"/>
                <w:szCs w:val="28"/>
              </w:rPr>
              <w:t>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tr w14:paraId="4A7BF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766F9364">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FC</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k,n,y</m:t>
                    </m:r>
                    <m:ctrlPr>
                      <w:rPr>
                        <w:rFonts w:ascii="Cambria Math" w:hAnsi="Cambria Math" w:eastAsia="宋体" w:cs="Times New Roman"/>
                        <w:i/>
                        <w:kern w:val="0"/>
                        <w:sz w:val="28"/>
                        <w:szCs w:val="28"/>
                      </w:rPr>
                    </m:ctrlPr>
                  </m:sub>
                </m:sSub>
              </m:oMath>
            </m:oMathPara>
          </w:p>
        </w:tc>
        <w:tc>
          <w:tcPr>
            <w:tcW w:w="566" w:type="dxa"/>
            <w:vAlign w:val="center"/>
          </w:tcPr>
          <w:p w14:paraId="31766674">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26454530">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使用燃料</w:t>
            </w:r>
            <w:r>
              <w:rPr>
                <w:rFonts w:ascii="Times New Roman" w:hAnsi="Times New Roman" w:eastAsia="宋体" w:cs="Times New Roman"/>
                <w:i/>
                <w:iCs/>
                <w:kern w:val="0"/>
                <w:sz w:val="28"/>
                <w:szCs w:val="28"/>
              </w:rPr>
              <w:t>n</w:t>
            </w:r>
            <w:r>
              <w:rPr>
                <w:rFonts w:hint="eastAsia" w:ascii="Times New Roman" w:hAnsi="Times New Roman" w:eastAsia="宋体" w:cs="Times New Roman"/>
                <w:kern w:val="0"/>
                <w:sz w:val="28"/>
                <w:szCs w:val="28"/>
              </w:rPr>
              <w:t>的总消耗量，单位为千克（</w:t>
            </w:r>
            <w:r>
              <w:rPr>
                <w:rFonts w:ascii="Times New Roman" w:hAnsi="Times New Roman" w:eastAsia="宋体" w:cs="Times New Roman"/>
                <w:kern w:val="0"/>
                <w:sz w:val="28"/>
                <w:szCs w:val="28"/>
              </w:rPr>
              <w:t>kg</w:t>
            </w:r>
            <w:r>
              <w:rPr>
                <w:rFonts w:hint="eastAsia" w:ascii="Times New Roman" w:hAnsi="Times New Roman" w:eastAsia="宋体" w:cs="Times New Roman"/>
                <w:kern w:val="0"/>
                <w:sz w:val="28"/>
                <w:szCs w:val="28"/>
              </w:rPr>
              <w:t>）；</w:t>
            </w:r>
          </w:p>
        </w:tc>
      </w:tr>
      <w:tr w14:paraId="17DF0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118478F3">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NCV</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m:t>
                    </m:r>
                    <m:ctrlPr>
                      <w:rPr>
                        <w:rFonts w:ascii="Cambria Math" w:hAnsi="Cambria Math" w:eastAsia="宋体" w:cs="Times New Roman"/>
                        <w:i/>
                        <w:kern w:val="0"/>
                        <w:sz w:val="28"/>
                        <w:szCs w:val="28"/>
                      </w:rPr>
                    </m:ctrlPr>
                  </m:sub>
                </m:sSub>
              </m:oMath>
            </m:oMathPara>
          </w:p>
        </w:tc>
        <w:tc>
          <w:tcPr>
            <w:tcW w:w="566" w:type="dxa"/>
            <w:vAlign w:val="center"/>
          </w:tcPr>
          <w:p w14:paraId="2220B887">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5C53DA00">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使用燃料</w:t>
            </w:r>
            <w:r>
              <w:rPr>
                <w:rFonts w:ascii="Times New Roman" w:hAnsi="Times New Roman" w:eastAsia="宋体" w:cs="Times New Roman"/>
                <w:i/>
                <w:iCs/>
                <w:kern w:val="0"/>
                <w:sz w:val="28"/>
                <w:szCs w:val="28"/>
              </w:rPr>
              <w:t>n</w:t>
            </w:r>
            <w:r>
              <w:rPr>
                <w:rFonts w:hint="eastAsia" w:ascii="Times New Roman" w:hAnsi="Times New Roman" w:eastAsia="宋体" w:cs="Times New Roman"/>
                <w:kern w:val="0"/>
                <w:sz w:val="28"/>
                <w:szCs w:val="28"/>
              </w:rPr>
              <w:t>的净热值，单位为兆焦每千克（</w:t>
            </w:r>
            <w:r>
              <w:rPr>
                <w:rFonts w:ascii="Times New Roman" w:hAnsi="Times New Roman" w:eastAsia="宋体" w:cs="Times New Roman"/>
                <w:kern w:val="0"/>
                <w:sz w:val="28"/>
                <w:szCs w:val="28"/>
              </w:rPr>
              <w:t>MJ/kg</w:t>
            </w:r>
            <w:r>
              <w:rPr>
                <w:rFonts w:hint="eastAsia" w:ascii="Times New Roman" w:hAnsi="Times New Roman" w:eastAsia="宋体" w:cs="Times New Roman"/>
                <w:kern w:val="0"/>
                <w:sz w:val="28"/>
                <w:szCs w:val="28"/>
              </w:rPr>
              <w:t>）；</w:t>
            </w:r>
          </w:p>
        </w:tc>
      </w:tr>
      <w:tr w14:paraId="17F65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62EA27DF">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m:t>
                    </m:r>
                    <m:ctrlPr>
                      <w:rPr>
                        <w:rFonts w:ascii="Cambria Math" w:hAnsi="Cambria Math" w:eastAsia="宋体" w:cs="Times New Roman"/>
                        <w:i/>
                        <w:kern w:val="0"/>
                        <w:sz w:val="28"/>
                        <w:szCs w:val="28"/>
                      </w:rPr>
                    </m:ctrlPr>
                  </m:sub>
                </m:sSub>
              </m:oMath>
            </m:oMathPara>
          </w:p>
        </w:tc>
        <w:tc>
          <w:tcPr>
            <w:tcW w:w="566" w:type="dxa"/>
            <w:vAlign w:val="center"/>
          </w:tcPr>
          <w:p w14:paraId="4C0878EB">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7C13A037">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使用燃料</w:t>
            </w:r>
            <w:r>
              <w:rPr>
                <w:rFonts w:ascii="Times New Roman" w:hAnsi="Times New Roman" w:eastAsia="宋体" w:cs="Times New Roman"/>
                <w:i/>
                <w:iCs/>
                <w:kern w:val="0"/>
                <w:sz w:val="28"/>
                <w:szCs w:val="28"/>
              </w:rPr>
              <w:t>n</w:t>
            </w:r>
            <w:r>
              <w:rPr>
                <w:rFonts w:hint="eastAsia" w:ascii="Times New Roman" w:hAnsi="Times New Roman" w:eastAsia="宋体" w:cs="Times New Roman"/>
                <w:kern w:val="0"/>
                <w:sz w:val="28"/>
                <w:szCs w:val="28"/>
              </w:rPr>
              <w:t>的</w:t>
            </w:r>
            <w:r>
              <w:rPr>
                <w:rFonts w:ascii="Times New Roman" w:hAnsi="Times New Roman" w:eastAsia="宋体" w:cs="Times New Roman"/>
                <w:kern w:val="0"/>
                <w:sz w:val="28"/>
                <w:szCs w:val="28"/>
              </w:rPr>
              <w: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排放因子，单位为千克二氧化碳每兆焦（</w:t>
            </w:r>
            <w:r>
              <w:rPr>
                <w:rFonts w:ascii="Times New Roman" w:hAnsi="Times New Roman" w:eastAsia="宋体" w:cs="Times New Roman"/>
                <w:kern w:val="0"/>
                <w:sz w:val="28"/>
                <w:szCs w:val="28"/>
              </w:rPr>
              <w:t>kgCO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/MJ</w:t>
            </w:r>
            <w:r>
              <w:rPr>
                <w:rFonts w:hint="eastAsia" w:ascii="Times New Roman" w:hAnsi="Times New Roman" w:eastAsia="宋体" w:cs="Times New Roman"/>
                <w:kern w:val="0"/>
                <w:sz w:val="28"/>
                <w:szCs w:val="28"/>
              </w:rPr>
              <w:t>）；</w:t>
            </w:r>
          </w:p>
        </w:tc>
      </w:tr>
      <w:tr w14:paraId="7B308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6179A38A">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EC</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m:ctrlPr>
                      <w:rPr>
                        <w:rFonts w:ascii="Cambria Math" w:hAnsi="Cambria Math" w:eastAsia="宋体" w:cs="Times New Roman"/>
                        <w:i/>
                        <w:kern w:val="0"/>
                        <w:sz w:val="28"/>
                        <w:szCs w:val="28"/>
                      </w:rPr>
                    </m:ctrlPr>
                  </m:sub>
                </m:sSub>
              </m:oMath>
            </m:oMathPara>
          </w:p>
        </w:tc>
        <w:tc>
          <w:tcPr>
            <w:tcW w:w="566" w:type="dxa"/>
            <w:vAlign w:val="center"/>
          </w:tcPr>
          <w:p w14:paraId="1283E111">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685E0D49">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总耗电量，单位为千瓦时（</w:t>
            </w:r>
            <w:r>
              <w:rPr>
                <w:rFonts w:ascii="Times New Roman" w:hAnsi="Times New Roman" w:eastAsia="宋体" w:cs="Times New Roman"/>
                <w:kern w:val="0"/>
                <w:sz w:val="28"/>
                <w:szCs w:val="28"/>
              </w:rPr>
              <w:t>kWh</w:t>
            </w:r>
            <w:r>
              <w:rPr>
                <w:rFonts w:hint="eastAsia" w:ascii="Times New Roman" w:hAnsi="Times New Roman" w:eastAsia="宋体" w:cs="Times New Roman"/>
                <w:kern w:val="0"/>
                <w:sz w:val="28"/>
                <w:szCs w:val="28"/>
              </w:rPr>
              <w:t>）；</w:t>
            </w:r>
          </w:p>
        </w:tc>
      </w:tr>
      <w:tr w14:paraId="595FE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0FD00ABA">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co</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2</m:t>
                        </m:r>
                        <m:ctrlPr>
                          <w:rPr>
                            <w:rFonts w:ascii="Cambria Math" w:hAnsi="Cambria Math" w:eastAsia="宋体" w:cs="Times New Roman"/>
                            <w:i/>
                            <w:kern w:val="0"/>
                            <w:sz w:val="28"/>
                            <w:szCs w:val="28"/>
                          </w:rPr>
                        </m:ctrlPr>
                      </m:sub>
                    </m:sSub>
                    <m:ctrlPr>
                      <w:rPr>
                        <w:rFonts w:ascii="Cambria Math" w:hAnsi="Cambria Math" w:eastAsia="宋体" w:cs="Times New Roman"/>
                        <w:i/>
                        <w:kern w:val="0"/>
                        <w:sz w:val="28"/>
                        <w:szCs w:val="28"/>
                      </w:rPr>
                    </m:ctrlPr>
                  </m:sub>
                </m:sSub>
              </m:oMath>
            </m:oMathPara>
          </w:p>
        </w:tc>
        <w:tc>
          <w:tcPr>
            <w:tcW w:w="566" w:type="dxa"/>
            <w:vAlign w:val="center"/>
          </w:tcPr>
          <w:p w14:paraId="3B382FF4">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759467D3">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电力的</w:t>
            </w:r>
            <w:r>
              <w:rPr>
                <w:rFonts w:ascii="Times New Roman" w:hAnsi="Times New Roman" w:eastAsia="宋体" w:cs="Times New Roman"/>
                <w:kern w:val="0"/>
                <w:sz w:val="28"/>
                <w:szCs w:val="28"/>
              </w:rPr>
              <w: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排放因子，单位为千克二氧化碳每千瓦时（</w:t>
            </w:r>
            <w:r>
              <w:rPr>
                <w:rFonts w:ascii="Times New Roman" w:hAnsi="Times New Roman" w:eastAsia="宋体" w:cs="Times New Roman"/>
                <w:kern w:val="0"/>
                <w:sz w:val="28"/>
                <w:szCs w:val="28"/>
              </w:rPr>
              <w:t>kgCO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 kWh</w:t>
            </w:r>
            <w:r>
              <w:rPr>
                <w:rFonts w:hint="eastAsia" w:ascii="Times New Roman" w:hAnsi="Times New Roman" w:eastAsia="宋体" w:cs="Times New Roman"/>
                <w:kern w:val="0"/>
                <w:sz w:val="28"/>
                <w:szCs w:val="28"/>
              </w:rPr>
              <w:t>）；</w:t>
            </w:r>
          </w:p>
        </w:tc>
      </w:tr>
      <w:tr w14:paraId="106F3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5056571F">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Q</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m:ctrlPr>
                      <w:rPr>
                        <w:rFonts w:ascii="Cambria Math" w:hAnsi="Cambria Math" w:eastAsia="宋体" w:cs="Times New Roman"/>
                        <w:i/>
                        <w:kern w:val="0"/>
                        <w:sz w:val="28"/>
                        <w:szCs w:val="28"/>
                      </w:rPr>
                    </m:ctrlPr>
                  </m:sub>
                </m:sSub>
              </m:oMath>
            </m:oMathPara>
          </w:p>
        </w:tc>
        <w:tc>
          <w:tcPr>
            <w:tcW w:w="566" w:type="dxa"/>
            <w:vAlign w:val="center"/>
          </w:tcPr>
          <w:p w14:paraId="1B591C47">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449E855E">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的客运周转量，单位为人公里（</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tr w14:paraId="75977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166223FE">
            <w:pPr>
              <w:adjustRightInd w:val="0"/>
              <w:snapToGrid w:val="0"/>
              <w:spacing w:line="360" w:lineRule="auto"/>
              <w:rPr>
                <w:rFonts w:ascii="Times New Roman" w:hAnsi="Times New Roman" w:eastAsia="宋体" w:cs="Times New Roman"/>
                <w:kern w:val="0"/>
                <w:sz w:val="28"/>
                <w:szCs w:val="28"/>
              </w:rPr>
            </w:pPr>
            <m:oMathPara>
              <m:oMath>
                <m:r>
                  <m:rPr/>
                  <w:rPr>
                    <w:rFonts w:ascii="Cambria Math" w:hAnsi="Cambria Math" w:eastAsia="宋体" w:cs="Times New Roman"/>
                    <w:kern w:val="0"/>
                    <w:sz w:val="28"/>
                    <w:szCs w:val="28"/>
                  </w:rPr>
                  <m:t>n</m:t>
                </m:r>
              </m:oMath>
            </m:oMathPara>
          </w:p>
        </w:tc>
        <w:tc>
          <w:tcPr>
            <w:tcW w:w="566" w:type="dxa"/>
            <w:vAlign w:val="center"/>
          </w:tcPr>
          <w:p w14:paraId="4E0B79A0">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2945CB5D">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使用的燃料种类，包括汽油、柴油、天然气，不含电力；</w:t>
            </w:r>
          </w:p>
        </w:tc>
      </w:tr>
      <w:tr w14:paraId="1C7D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4F13EE4F">
            <w:pPr>
              <w:adjustRightInd w:val="0"/>
              <w:snapToGrid w:val="0"/>
              <w:spacing w:line="360" w:lineRule="auto"/>
              <w:rPr>
                <w:rFonts w:ascii="Times New Roman" w:hAnsi="Times New Roman" w:eastAsia="宋体" w:cs="Times New Roman"/>
                <w:kern w:val="0"/>
                <w:sz w:val="28"/>
                <w:szCs w:val="28"/>
              </w:rPr>
            </w:pPr>
            <m:oMathPara>
              <m:oMath>
                <m:r>
                  <m:rPr/>
                  <w:rPr>
                    <w:rFonts w:ascii="Cambria Math" w:hAnsi="Cambria Math" w:eastAsia="宋体" w:cs="Times New Roman"/>
                    <w:kern w:val="0"/>
                    <w:sz w:val="28"/>
                    <w:szCs w:val="28"/>
                  </w:rPr>
                  <m:t>k</m:t>
                </m:r>
              </m:oMath>
            </m:oMathPara>
          </w:p>
        </w:tc>
        <w:tc>
          <w:tcPr>
            <w:tcW w:w="566" w:type="dxa"/>
            <w:vAlign w:val="center"/>
          </w:tcPr>
          <w:p w14:paraId="4AAA26FD">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7CA68D06">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（公共汽车和城市轨道交通）；</w:t>
            </w:r>
          </w:p>
        </w:tc>
      </w:tr>
      <w:tr w14:paraId="193BB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0923AD97">
            <w:pPr>
              <w:adjustRightInd w:val="0"/>
              <w:snapToGrid w:val="0"/>
              <w:spacing w:line="360" w:lineRule="auto"/>
              <w:rPr>
                <w:rFonts w:ascii="Times New Roman" w:hAnsi="Times New Roman" w:eastAsia="宋体" w:cs="Times New Roman"/>
                <w:kern w:val="0"/>
                <w:sz w:val="28"/>
                <w:szCs w:val="28"/>
              </w:rPr>
            </w:pPr>
            <m:oMathPara>
              <m:oMath>
                <m:r>
                  <m:rPr/>
                  <w:rPr>
                    <w:rFonts w:ascii="Cambria Math" w:hAnsi="Cambria Math" w:eastAsia="宋体" w:cs="Times New Roman"/>
                    <w:kern w:val="0"/>
                    <w:sz w:val="28"/>
                    <w:szCs w:val="28"/>
                  </w:rPr>
                  <m:t>y</m:t>
                </m:r>
              </m:oMath>
            </m:oMathPara>
          </w:p>
        </w:tc>
        <w:tc>
          <w:tcPr>
            <w:tcW w:w="566" w:type="dxa"/>
            <w:vAlign w:val="center"/>
          </w:tcPr>
          <w:p w14:paraId="38C73773">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4DA6F617">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基准年。</w:t>
            </w:r>
          </w:p>
        </w:tc>
      </w:tr>
    </w:tbl>
    <w:p w14:paraId="23C8D1A3">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碳普惠情景为骑行、</w:t>
      </w:r>
      <w:r>
        <w:rPr>
          <w:rFonts w:ascii="Times New Roman" w:hAnsi="Times New Roman" w:cs="Times New Roman"/>
          <w:sz w:val="28"/>
          <w:szCs w:val="28"/>
        </w:rPr>
        <w:t>步行</w:t>
      </w:r>
      <w:r>
        <w:rPr>
          <w:rFonts w:hint="eastAsia" w:ascii="Times New Roman" w:hAnsi="Times New Roman" w:cs="Times New Roman"/>
          <w:sz w:val="28"/>
          <w:szCs w:val="28"/>
        </w:rPr>
        <w:t>等绿色出行方式，不产生</w:t>
      </w:r>
      <w:r>
        <w:rPr>
          <w:rFonts w:ascii="Times New Roman" w:hAnsi="Times New Roman" w:cs="Times New Roman"/>
          <w:sz w:val="28"/>
          <w:szCs w:val="28"/>
        </w:rPr>
        <w:t>燃料和电力消耗，</w:t>
      </w:r>
      <w:r>
        <w:rPr>
          <w:rFonts w:hint="eastAsia" w:ascii="Times New Roman" w:hAnsi="Times New Roman" w:cs="Times New Roman"/>
          <w:sz w:val="28"/>
          <w:szCs w:val="28"/>
        </w:rPr>
        <w:t>其碳排放量</w:t>
      </w:r>
      <m:oMath>
        <m:sSub>
          <m:sSubPr>
            <m:ctrlPr>
              <w:rPr>
                <w:rFonts w:ascii="Cambria Math" w:hAnsi="Cambria Math" w:cs="Times New Roman"/>
                <w:i/>
                <w:sz w:val="28"/>
                <w:szCs w:val="28"/>
              </w:rPr>
            </m:ctrlPr>
          </m:sSubPr>
          <m:e>
            <m:r>
              <m:rPr/>
              <w:rPr>
                <w:rFonts w:ascii="Cambria Math" w:hAnsi="Cambria Math" w:cs="Times New Roman"/>
                <w:sz w:val="28"/>
                <w:szCs w:val="28"/>
              </w:rPr>
              <m:t>PE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hint="eastAsia" w:ascii="Times New Roman" w:hAnsi="Times New Roman" w:cs="Times New Roman"/>
          <w:sz w:val="28"/>
          <w:szCs w:val="28"/>
        </w:rPr>
        <w:t>为</w:t>
      </w:r>
      <w:r>
        <w:rPr>
          <w:rFonts w:ascii="Times New Roman" w:hAnsi="Times New Roman" w:cs="Times New Roman"/>
          <w:sz w:val="28"/>
          <w:szCs w:val="28"/>
        </w:rPr>
        <w:t>0</w:t>
      </w:r>
      <w:r>
        <w:rPr>
          <w:rFonts w:hint="eastAsia" w:ascii="Times New Roman" w:hAnsi="Times New Roman" w:cs="Times New Roman"/>
          <w:sz w:val="28"/>
          <w:szCs w:val="28"/>
        </w:rPr>
        <w:t>。</w:t>
      </w:r>
    </w:p>
    <w:p w14:paraId="6A1F16E8">
      <w:pPr>
        <w:adjustRightInd w:val="0"/>
        <w:snapToGrid w:val="0"/>
        <w:spacing w:line="360" w:lineRule="auto"/>
        <w:ind w:firstLine="420"/>
        <w:rPr>
          <w:rFonts w:ascii="Times New Roman" w:hAnsi="Times New Roman" w:cs="Times New Roman"/>
          <w:sz w:val="28"/>
          <w:szCs w:val="28"/>
        </w:rPr>
      </w:pPr>
      <w:bookmarkStart w:id="97" w:name="OLE_LINK21"/>
      <w:r>
        <w:rPr>
          <w:rFonts w:ascii="Times New Roman" w:hAnsi="Times New Roman" w:cs="Times New Roman"/>
          <w:sz w:val="28"/>
          <w:szCs w:val="28"/>
        </w:rPr>
        <w:t xml:space="preserve">7.5 </w:t>
      </w:r>
      <w:r>
        <w:rPr>
          <w:rFonts w:hint="eastAsia" w:ascii="Times New Roman" w:hAnsi="Times New Roman" w:cs="Times New Roman"/>
          <w:sz w:val="28"/>
          <w:szCs w:val="28"/>
        </w:rPr>
        <w:t>泄漏计算</w:t>
      </w:r>
    </w:p>
    <w:bookmarkEnd w:id="97"/>
    <w:p w14:paraId="45BEA111">
      <w:pPr>
        <w:adjustRightInd w:val="0"/>
        <w:snapToGrid w:val="0"/>
        <w:spacing w:line="360" w:lineRule="auto"/>
        <w:ind w:firstLine="420"/>
        <w:rPr>
          <w:rFonts w:ascii="Times New Roman" w:hAnsi="Times New Roman" w:cs="Times New Roman"/>
          <w:sz w:val="28"/>
          <w:szCs w:val="28"/>
        </w:rPr>
      </w:pPr>
      <w:bookmarkStart w:id="98" w:name="_Hlk224225488"/>
      <w:r>
        <w:rPr>
          <w:rFonts w:hint="eastAsia" w:ascii="Times New Roman" w:hAnsi="Times New Roman" w:cs="Times New Roman"/>
          <w:sz w:val="28"/>
          <w:szCs w:val="28"/>
        </w:rPr>
        <w:t>本方法学暂不考虑泄漏。</w:t>
      </w:r>
    </w:p>
    <w:bookmarkEnd w:id="98"/>
    <w:p w14:paraId="3D35DA66">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 xml:space="preserve">7.6 </w:t>
      </w:r>
      <w:r>
        <w:rPr>
          <w:rFonts w:hint="eastAsia" w:ascii="Times New Roman" w:hAnsi="Times New Roman" w:cs="Times New Roman"/>
          <w:sz w:val="28"/>
          <w:szCs w:val="28"/>
        </w:rPr>
        <w:t>减排量核算</w:t>
      </w:r>
    </w:p>
    <w:p w14:paraId="560850FF">
      <w:pPr>
        <w:adjustRightInd w:val="0"/>
        <w:snapToGrid w:val="0"/>
        <w:spacing w:line="360" w:lineRule="auto"/>
        <w:ind w:firstLine="420"/>
        <w:rPr>
          <w:rFonts w:ascii="Times New Roman" w:hAnsi="Times New Roman" w:cs="Times New Roman"/>
          <w:sz w:val="28"/>
          <w:szCs w:val="28"/>
        </w:rPr>
      </w:pPr>
      <w:bookmarkStart w:id="99" w:name="_Hlk224225507"/>
      <w:r>
        <w:rPr>
          <w:rFonts w:hint="eastAsia" w:ascii="Times New Roman" w:hAnsi="Times New Roman" w:cs="Times New Roman"/>
          <w:sz w:val="28"/>
          <w:szCs w:val="28"/>
        </w:rPr>
        <w:t>绿色出行减排量</w:t>
      </w:r>
      <m:oMath>
        <m:sSub>
          <m:sSubPr>
            <m:ctrlPr>
              <w:rPr>
                <w:rFonts w:ascii="Cambria Math" w:hAnsi="Cambria Math" w:cs="Times New Roman"/>
                <w:i/>
                <w:sz w:val="28"/>
                <w:szCs w:val="28"/>
              </w:rPr>
            </m:ctrlPr>
          </m:sSubPr>
          <m:e>
            <m:r>
              <m:rPr/>
              <w:rPr>
                <w:rFonts w:ascii="Cambria Math" w:hAnsi="Cambria Math" w:cs="Times New Roman"/>
                <w:sz w:val="28"/>
                <w:szCs w:val="28"/>
              </w:rPr>
              <m:t>ER</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ascii="Times New Roman" w:hAnsi="Times New Roman" w:cs="Times New Roman"/>
          <w:sz w:val="28"/>
          <w:szCs w:val="28"/>
        </w:rPr>
        <w:t>按公式（5）计算</w:t>
      </w:r>
      <w:r>
        <w:rPr>
          <w:rFonts w:hint="eastAsia" w:ascii="Times New Roman" w:hAnsi="Times New Roman" w:cs="Times New Roman"/>
          <w:sz w:val="28"/>
          <w:szCs w:val="28"/>
        </w:rPr>
        <w:t>：</w:t>
      </w:r>
    </w:p>
    <w:p w14:paraId="18182D97">
      <w:pPr>
        <w:adjustRightInd w:val="0"/>
        <w:snapToGrid w:val="0"/>
        <w:spacing w:line="360" w:lineRule="auto"/>
        <w:ind w:left="425"/>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w:rPr>
                <w:rFonts w:ascii="Cambria Math" w:hAnsi="Cambria Math" w:cs="Times New Roman"/>
                <w:sz w:val="28"/>
                <w:szCs w:val="28"/>
              </w:rPr>
              <m:t>ER</m:t>
            </m:r>
            <m:ctrlPr>
              <w:rPr>
                <w:rFonts w:ascii="Cambria Math" w:hAnsi="Cambria Math" w:cs="Times New Roman"/>
                <w:sz w:val="28"/>
                <w:szCs w:val="28"/>
              </w:rPr>
            </m:ctrlPr>
          </m:e>
          <m:sub>
            <m:r>
              <m:rPr/>
              <w:rPr>
                <w:rFonts w:ascii="Cambria Math" w:hAnsi="Cambria Math" w:cs="Times New Roman"/>
                <w:sz w:val="28"/>
                <w:szCs w:val="28"/>
              </w:rPr>
              <m:t>y</m:t>
            </m:r>
            <m:ctrlPr>
              <w:rPr>
                <w:rFonts w:ascii="Cambria Math" w:hAnsi="Cambria Math" w:cs="Times New Roman"/>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BE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PE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5</w:t>
      </w:r>
      <w:r>
        <w:rPr>
          <w:rFonts w:hint="eastAsia" w:ascii="Times New Roman" w:hAnsi="Times New Roman" w:cs="Times New Roman"/>
          <w:sz w:val="28"/>
          <w:szCs w:val="28"/>
        </w:rPr>
        <w:t>）</w:t>
      </w:r>
    </w:p>
    <w:p w14:paraId="7299C35B">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3"/>
        <w:tblW w:w="8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1"/>
        <w:gridCol w:w="572"/>
        <w:gridCol w:w="6521"/>
      </w:tblGrid>
      <w:tr w14:paraId="6E5F5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0FE88188">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kern w:val="0"/>
                        <w:sz w:val="28"/>
                        <w:szCs w:val="28"/>
                      </w:rPr>
                    </m:ctrlPr>
                  </m:sSubPr>
                  <m:e>
                    <m:r>
                      <m:rPr/>
                      <w:rPr>
                        <w:rFonts w:ascii="Cambria Math" w:hAnsi="Cambria Math" w:eastAsia="宋体" w:cs="Times New Roman"/>
                        <w:kern w:val="0"/>
                        <w:sz w:val="28"/>
                        <w:szCs w:val="28"/>
                      </w:rPr>
                      <m:t>ER</m:t>
                    </m:r>
                    <m:ctrlPr>
                      <w:rPr>
                        <w:rFonts w:ascii="Cambria Math" w:hAnsi="Cambria Math" w:eastAsia="宋体" w:cs="Times New Roman"/>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kern w:val="0"/>
                        <w:sz w:val="28"/>
                        <w:szCs w:val="28"/>
                      </w:rPr>
                    </m:ctrlPr>
                  </m:sub>
                </m:sSub>
              </m:oMath>
            </m:oMathPara>
          </w:p>
        </w:tc>
        <w:tc>
          <w:tcPr>
            <w:tcW w:w="572" w:type="dxa"/>
            <w:vAlign w:val="center"/>
          </w:tcPr>
          <w:p w14:paraId="65BE0177">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454B21E0">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年碳减排量，单位为吨二氧化碳（</w:t>
            </w:r>
            <w:r>
              <w:rPr>
                <w:rFonts w:ascii="Times New Roman" w:hAnsi="Times New Roman" w:eastAsia="宋体" w:cs="Times New Roman"/>
                <w:kern w:val="0"/>
                <w:sz w:val="28"/>
                <w:szCs w:val="28"/>
              </w:rPr>
              <w:t>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tr w14:paraId="332D6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5B22AF30">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BE</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i/>
                        <w:kern w:val="0"/>
                        <w:sz w:val="28"/>
                        <w:szCs w:val="28"/>
                      </w:rPr>
                    </m:ctrlPr>
                  </m:sub>
                </m:sSub>
              </m:oMath>
            </m:oMathPara>
          </w:p>
        </w:tc>
        <w:tc>
          <w:tcPr>
            <w:tcW w:w="572" w:type="dxa"/>
            <w:vAlign w:val="center"/>
          </w:tcPr>
          <w:p w14:paraId="5CA7B2F5">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288937C6">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年基准线情景排放量，单位为吨二氧化碳（</w:t>
            </w:r>
            <w:r>
              <w:rPr>
                <w:rFonts w:ascii="Times New Roman" w:hAnsi="Times New Roman" w:eastAsia="宋体" w:cs="Times New Roman"/>
                <w:kern w:val="0"/>
                <w:sz w:val="28"/>
                <w:szCs w:val="28"/>
              </w:rPr>
              <w:t>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tr w14:paraId="6A103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6FE642F3">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PE</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i/>
                        <w:kern w:val="0"/>
                        <w:sz w:val="28"/>
                        <w:szCs w:val="28"/>
                      </w:rPr>
                    </m:ctrlPr>
                  </m:sub>
                </m:sSub>
              </m:oMath>
            </m:oMathPara>
          </w:p>
        </w:tc>
        <w:tc>
          <w:tcPr>
            <w:tcW w:w="572" w:type="dxa"/>
            <w:vAlign w:val="center"/>
          </w:tcPr>
          <w:p w14:paraId="6FA34981">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6647C2FC">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年采用绿色出行方式碳排放量，单位为吨二氧化碳（</w:t>
            </w:r>
            <w:r>
              <w:rPr>
                <w:rFonts w:ascii="Times New Roman" w:hAnsi="Times New Roman" w:eastAsia="宋体" w:cs="Times New Roman"/>
                <w:kern w:val="0"/>
                <w:sz w:val="28"/>
                <w:szCs w:val="28"/>
              </w:rPr>
              <w:t>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bookmarkEnd w:id="67"/>
      <w:bookmarkEnd w:id="74"/>
      <w:bookmarkEnd w:id="99"/>
    </w:tbl>
    <w:p w14:paraId="0B37CAC5">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100" w:name="_Toc225154735"/>
      <w:bookmarkStart w:id="101" w:name="_Toc225155158"/>
      <w:bookmarkStart w:id="102" w:name="_Toc232172243"/>
      <w:bookmarkStart w:id="103" w:name="_Toc225155018"/>
      <w:bookmarkStart w:id="104" w:name="_Toc225155034"/>
      <w:bookmarkStart w:id="105" w:name="_Hlk224130217"/>
      <w:bookmarkStart w:id="106" w:name="OLE_LINK8"/>
      <w:r>
        <w:rPr>
          <w:rFonts w:ascii="黑体" w:hAnsi="黑体" w:eastAsia="黑体" w:cs="Times New Roman"/>
          <w:bCs/>
          <w:sz w:val="28"/>
          <w:szCs w:val="28"/>
        </w:rPr>
        <w:t xml:space="preserve">8 </w:t>
      </w:r>
      <w:r>
        <w:rPr>
          <w:rFonts w:hint="eastAsia" w:ascii="黑体" w:hAnsi="黑体" w:eastAsia="黑体" w:cs="Times New Roman"/>
          <w:bCs/>
          <w:sz w:val="28"/>
          <w:szCs w:val="28"/>
        </w:rPr>
        <w:t>数据来源及监测</w:t>
      </w:r>
      <w:bookmarkEnd w:id="100"/>
      <w:bookmarkEnd w:id="101"/>
      <w:bookmarkEnd w:id="102"/>
      <w:bookmarkEnd w:id="103"/>
      <w:bookmarkEnd w:id="104"/>
    </w:p>
    <w:p w14:paraId="766AB15E">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8</w:t>
      </w:r>
      <w:r>
        <w:rPr>
          <w:rFonts w:ascii="Times New Roman" w:hAnsi="Times New Roman" w:eastAsia="宋体" w:cs="Times New Roman"/>
          <w:sz w:val="28"/>
          <w:szCs w:val="28"/>
        </w:rPr>
        <w:t xml:space="preserve">.1 </w:t>
      </w:r>
      <w:r>
        <w:rPr>
          <w:rFonts w:hint="eastAsia" w:ascii="Times New Roman" w:hAnsi="Times New Roman" w:eastAsia="宋体" w:cs="Times New Roman"/>
          <w:sz w:val="28"/>
          <w:szCs w:val="28"/>
        </w:rPr>
        <w:t>减排场景设计阶段确定的参数和数据</w:t>
      </w:r>
    </w:p>
    <w:p w14:paraId="76236020">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本场景设计阶段确定的数据来源如下：</w:t>
      </w:r>
    </w:p>
    <w:p w14:paraId="462BAAEE">
      <w:pPr>
        <w:adjustRightInd w:val="0"/>
        <w:snapToGrid w:val="0"/>
        <w:spacing w:line="360" w:lineRule="auto"/>
        <w:jc w:val="center"/>
        <w:rPr>
          <w:rFonts w:ascii="Times New Roman" w:hAnsi="Times New Roman" w:eastAsia="黑体" w:cs="Times New Roman"/>
          <w:sz w:val="24"/>
          <w:szCs w:val="24"/>
        </w:rPr>
      </w:pPr>
      <w:r>
        <w:rPr>
          <w:rFonts w:ascii="Times New Roman" w:hAnsi="Times New Roman" w:eastAsia="黑体" w:cs="Times New Roman"/>
          <w:sz w:val="24"/>
          <w:szCs w:val="24"/>
        </w:rPr>
        <w:t>表1 第</w:t>
      </w:r>
      <w:r>
        <w:rPr>
          <w:rFonts w:ascii="Times New Roman" w:hAnsi="Times New Roman" w:eastAsia="黑体" w:cs="Times New Roman"/>
          <w:i/>
          <w:iCs/>
          <w:sz w:val="24"/>
          <w:szCs w:val="24"/>
        </w:rPr>
        <w:t>y</w:t>
      </w:r>
      <w:r>
        <w:rPr>
          <w:rFonts w:ascii="Times New Roman" w:hAnsi="Times New Roman" w:eastAsia="黑体" w:cs="Times New Roman"/>
          <w:sz w:val="24"/>
          <w:szCs w:val="24"/>
        </w:rPr>
        <w:t>年出行方式</w:t>
      </w:r>
      <w:r>
        <w:rPr>
          <w:rFonts w:ascii="Times New Roman" w:hAnsi="Times New Roman" w:eastAsia="黑体" w:cs="Times New Roman"/>
          <w:i/>
          <w:iCs/>
          <w:sz w:val="24"/>
          <w:szCs w:val="24"/>
        </w:rPr>
        <w:t>k</w:t>
      </w:r>
      <w:r>
        <w:rPr>
          <w:rFonts w:ascii="Times New Roman" w:hAnsi="Times New Roman" w:eastAsia="黑体" w:cs="Times New Roman"/>
          <w:sz w:val="24"/>
          <w:szCs w:val="24"/>
        </w:rPr>
        <w:t>使用燃料</w:t>
      </w:r>
      <w:r>
        <w:rPr>
          <w:rFonts w:ascii="Times New Roman" w:hAnsi="Times New Roman" w:eastAsia="黑体" w:cs="Times New Roman"/>
          <w:i/>
          <w:iCs/>
          <w:sz w:val="24"/>
          <w:szCs w:val="24"/>
        </w:rPr>
        <w:t>n</w:t>
      </w:r>
      <w:r>
        <w:rPr>
          <w:rFonts w:ascii="Times New Roman" w:hAnsi="Times New Roman" w:eastAsia="黑体" w:cs="Times New Roman"/>
          <w:sz w:val="24"/>
          <w:szCs w:val="24"/>
        </w:rPr>
        <w:t>的总消耗量</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29B3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4493751">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数据/参数名称</w:t>
            </w:r>
          </w:p>
        </w:tc>
        <w:tc>
          <w:tcPr>
            <w:tcW w:w="4148" w:type="dxa"/>
          </w:tcPr>
          <w:p w14:paraId="57DBE382">
            <w:pPr>
              <w:adjustRightInd w:val="0"/>
              <w:rPr>
                <w:rFonts w:ascii="宋体" w:hAnsi="宋体"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FC</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k,n,y</m:t>
                    </m:r>
                    <m:ctrlPr>
                      <w:rPr>
                        <w:rFonts w:ascii="Cambria Math" w:hAnsi="Cambria Math" w:eastAsia="宋体" w:cs="Times New Roman"/>
                        <w:i/>
                        <w:kern w:val="0"/>
                        <w:sz w:val="28"/>
                        <w:szCs w:val="28"/>
                      </w:rPr>
                    </m:ctrlPr>
                  </m:sub>
                </m:sSub>
              </m:oMath>
            </m:oMathPara>
          </w:p>
        </w:tc>
      </w:tr>
      <w:tr w14:paraId="3A44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74601A8C">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单位</w:t>
            </w:r>
          </w:p>
        </w:tc>
        <w:tc>
          <w:tcPr>
            <w:tcW w:w="4148" w:type="dxa"/>
          </w:tcPr>
          <w:p w14:paraId="25E76CC4">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w:t>
            </w:r>
          </w:p>
        </w:tc>
      </w:tr>
      <w:tr w14:paraId="41EE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9E736BE">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应用的公式编号</w:t>
            </w:r>
          </w:p>
        </w:tc>
        <w:tc>
          <w:tcPr>
            <w:tcW w:w="4148" w:type="dxa"/>
          </w:tcPr>
          <w:p w14:paraId="662C05FD">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2）</w:t>
            </w:r>
            <w:bookmarkStart w:id="107" w:name="OLE_LINK37"/>
            <w:r>
              <w:rPr>
                <w:rFonts w:hint="eastAsia" w:ascii="Times New Roman" w:hAnsi="Times New Roman" w:eastAsia="宋体" w:cs="Times New Roman"/>
                <w:kern w:val="0"/>
                <w:sz w:val="24"/>
                <w:szCs w:val="24"/>
              </w:rPr>
              <w:t>（4）</w:t>
            </w:r>
            <w:bookmarkEnd w:id="107"/>
          </w:p>
        </w:tc>
      </w:tr>
      <w:tr w14:paraId="476A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7E9B788F">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数据描述</w:t>
            </w:r>
          </w:p>
        </w:tc>
        <w:tc>
          <w:tcPr>
            <w:tcW w:w="4148" w:type="dxa"/>
          </w:tcPr>
          <w:p w14:paraId="2D6CF119">
            <w:pPr>
              <w:adjustRightInd w:val="0"/>
              <w:jc w:val="center"/>
              <w:rPr>
                <w:rFonts w:ascii="宋体" w:hAnsi="宋体" w:eastAsia="宋体" w:cs="Times New Roman"/>
                <w:kern w:val="0"/>
                <w:sz w:val="24"/>
                <w:szCs w:val="24"/>
              </w:rPr>
            </w:pPr>
            <w:r>
              <w:rPr>
                <w:rFonts w:hint="eastAsia" w:ascii="宋体" w:hAnsi="宋体" w:eastAsia="宋体" w:cs="Times New Roman"/>
                <w:kern w:val="0"/>
                <w:sz w:val="24"/>
                <w:szCs w:val="24"/>
              </w:rPr>
              <w:t>第</w:t>
            </w:r>
            <w:r>
              <w:rPr>
                <w:rFonts w:hint="eastAsia" w:ascii="Times New Roman" w:hAnsi="Times New Roman" w:eastAsia="宋体" w:cs="Times New Roman"/>
                <w:i/>
                <w:iCs/>
                <w:kern w:val="0"/>
                <w:sz w:val="24"/>
                <w:szCs w:val="24"/>
              </w:rPr>
              <w:t>y</w:t>
            </w:r>
            <w:r>
              <w:rPr>
                <w:rFonts w:hint="eastAsia" w:ascii="宋体" w:hAnsi="宋体" w:eastAsia="宋体" w:cs="Times New Roman"/>
                <w:kern w:val="0"/>
                <w:sz w:val="24"/>
                <w:szCs w:val="24"/>
              </w:rPr>
              <w:t>年出行方式</w:t>
            </w:r>
            <w:r>
              <w:rPr>
                <w:rFonts w:hint="eastAsia" w:ascii="Times New Roman" w:hAnsi="Times New Roman" w:eastAsia="宋体" w:cs="Times New Roman"/>
                <w:i/>
                <w:iCs/>
                <w:kern w:val="0"/>
                <w:sz w:val="24"/>
                <w:szCs w:val="24"/>
              </w:rPr>
              <w:t>k</w:t>
            </w:r>
            <w:r>
              <w:rPr>
                <w:rFonts w:hint="eastAsia" w:ascii="宋体" w:hAnsi="宋体" w:eastAsia="宋体" w:cs="Times New Roman"/>
                <w:kern w:val="0"/>
                <w:sz w:val="24"/>
                <w:szCs w:val="24"/>
              </w:rPr>
              <w:t>使用燃料</w:t>
            </w:r>
            <w:r>
              <w:rPr>
                <w:rFonts w:hint="eastAsia" w:ascii="宋体" w:hAnsi="宋体" w:eastAsia="宋体" w:cs="Times New Roman"/>
                <w:i/>
                <w:iCs/>
                <w:kern w:val="0"/>
                <w:sz w:val="24"/>
                <w:szCs w:val="24"/>
              </w:rPr>
              <w:t>n</w:t>
            </w:r>
          </w:p>
        </w:tc>
      </w:tr>
      <w:tr w14:paraId="1D3C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4CCDB0F6">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所使用的数据来源</w:t>
            </w:r>
          </w:p>
        </w:tc>
        <w:tc>
          <w:tcPr>
            <w:tcW w:w="4148" w:type="dxa"/>
          </w:tcPr>
          <w:p w14:paraId="0A0A9D2B">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按照以下优先次序选取来源：</w:t>
            </w:r>
          </w:p>
          <w:p w14:paraId="543C3F4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1.</w:t>
            </w:r>
            <w:r>
              <w:rPr>
                <w:rFonts w:ascii="Times New Roman" w:hAnsi="Times New Roman" w:eastAsia="宋体" w:cs="Times New Roman"/>
                <w:kern w:val="0"/>
                <w:sz w:val="24"/>
                <w:szCs w:val="24"/>
              </w:rPr>
              <w:t>本地主管部门与运营公司提供</w:t>
            </w:r>
          </w:p>
          <w:p w14:paraId="26538924">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权威机构发布</w:t>
            </w:r>
          </w:p>
          <w:p w14:paraId="6DC0EC76">
            <w:pPr>
              <w:adjustRightInd w:val="0"/>
              <w:rPr>
                <w:rFonts w:ascii="宋体" w:hAnsi="宋体" w:eastAsia="宋体" w:cs="Times New Roman"/>
                <w:kern w:val="0"/>
                <w:sz w:val="24"/>
                <w:szCs w:val="24"/>
              </w:rPr>
            </w:pPr>
            <w:r>
              <w:rPr>
                <w:rFonts w:hint="eastAsia" w:ascii="Times New Roman" w:hAnsi="Times New Roman" w:eastAsia="宋体" w:cs="Times New Roman"/>
                <w:kern w:val="0"/>
                <w:sz w:val="24"/>
                <w:szCs w:val="24"/>
              </w:rPr>
              <w:t>3.</w:t>
            </w:r>
            <w:r>
              <w:rPr>
                <w:rFonts w:ascii="Times New Roman" w:hAnsi="Times New Roman" w:eastAsia="宋体" w:cs="Times New Roman"/>
                <w:kern w:val="0"/>
                <w:sz w:val="24"/>
                <w:szCs w:val="24"/>
              </w:rPr>
              <w:t>根据省、部级以上单位发布的相关数据计算</w:t>
            </w:r>
          </w:p>
        </w:tc>
      </w:tr>
      <w:tr w14:paraId="31FB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182A7AF">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数值</w:t>
            </w:r>
          </w:p>
        </w:tc>
        <w:tc>
          <w:tcPr>
            <w:tcW w:w="4148" w:type="dxa"/>
          </w:tcPr>
          <w:p w14:paraId="7C67B797">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w:t>
            </w:r>
          </w:p>
        </w:tc>
      </w:tr>
      <w:tr w14:paraId="73FD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AEBAC21">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测量方法和程序</w:t>
            </w:r>
          </w:p>
        </w:tc>
        <w:tc>
          <w:tcPr>
            <w:tcW w:w="4148" w:type="dxa"/>
          </w:tcPr>
          <w:p w14:paraId="0E372118">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w:t>
            </w:r>
          </w:p>
        </w:tc>
      </w:tr>
      <w:tr w14:paraId="5B09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563B9CDA">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监测频次</w:t>
            </w:r>
          </w:p>
        </w:tc>
        <w:tc>
          <w:tcPr>
            <w:tcW w:w="4148" w:type="dxa"/>
          </w:tcPr>
          <w:p w14:paraId="47FD49E9">
            <w:pPr>
              <w:adjustRightInd w:val="0"/>
              <w:rPr>
                <w:rFonts w:ascii="宋体" w:hAnsi="宋体" w:eastAsia="宋体" w:cs="Times New Roman"/>
                <w:kern w:val="0"/>
                <w:sz w:val="24"/>
                <w:szCs w:val="24"/>
              </w:rPr>
            </w:pPr>
            <w:r>
              <w:rPr>
                <w:rFonts w:ascii="宋体" w:hAnsi="宋体" w:eastAsia="宋体" w:cs="Times New Roman"/>
                <w:kern w:val="0"/>
                <w:sz w:val="24"/>
                <w:szCs w:val="24"/>
              </w:rPr>
              <w:t>按年更新</w:t>
            </w:r>
          </w:p>
        </w:tc>
      </w:tr>
      <w:tr w14:paraId="5AFB4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EDC05A5">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其他说明</w:t>
            </w:r>
          </w:p>
        </w:tc>
        <w:tc>
          <w:tcPr>
            <w:tcW w:w="4148" w:type="dxa"/>
          </w:tcPr>
          <w:p w14:paraId="29D13C19">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w:t>
            </w:r>
          </w:p>
        </w:tc>
      </w:tr>
    </w:tbl>
    <w:p w14:paraId="7481BB46">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表2</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出行方式</w:t>
      </w:r>
      <w:r>
        <w:rPr>
          <w:rFonts w:hint="eastAsia" w:ascii="Times New Roman" w:hAnsi="Times New Roman" w:eastAsia="黑体" w:cs="Times New Roman"/>
          <w:i/>
          <w:iCs/>
          <w:sz w:val="24"/>
          <w:szCs w:val="24"/>
        </w:rPr>
        <w:t>k</w:t>
      </w:r>
      <w:r>
        <w:rPr>
          <w:rFonts w:hint="eastAsia" w:ascii="Times New Roman" w:hAnsi="Times New Roman" w:eastAsia="黑体" w:cs="Times New Roman"/>
          <w:sz w:val="24"/>
          <w:szCs w:val="24"/>
        </w:rPr>
        <w:t>使用燃料</w:t>
      </w:r>
      <w:r>
        <w:rPr>
          <w:rFonts w:hint="eastAsia" w:ascii="Times New Roman" w:hAnsi="Times New Roman" w:eastAsia="黑体" w:cs="Times New Roman"/>
          <w:i/>
          <w:iCs/>
          <w:sz w:val="24"/>
          <w:szCs w:val="24"/>
        </w:rPr>
        <w:t>n</w:t>
      </w:r>
      <w:r>
        <w:rPr>
          <w:rFonts w:hint="eastAsia" w:ascii="Times New Roman" w:hAnsi="Times New Roman" w:eastAsia="黑体" w:cs="Times New Roman"/>
          <w:sz w:val="24"/>
          <w:szCs w:val="24"/>
        </w:rPr>
        <w:t>的净热值</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1144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FFA5568">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数据/参数名称</w:t>
            </w:r>
          </w:p>
        </w:tc>
        <w:tc>
          <w:tcPr>
            <w:tcW w:w="4148" w:type="dxa"/>
          </w:tcPr>
          <w:p w14:paraId="31AB3CB1">
            <w:pPr>
              <w:adjustRightInd w:val="0"/>
              <w:rPr>
                <w:rFonts w:ascii="宋体" w:hAnsi="宋体"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NCV</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m:t>
                    </m:r>
                    <m:ctrlPr>
                      <w:rPr>
                        <w:rFonts w:ascii="Cambria Math" w:hAnsi="Cambria Math" w:eastAsia="宋体" w:cs="Times New Roman"/>
                        <w:i/>
                        <w:kern w:val="0"/>
                        <w:sz w:val="28"/>
                        <w:szCs w:val="28"/>
                      </w:rPr>
                    </m:ctrlPr>
                  </m:sub>
                </m:sSub>
              </m:oMath>
            </m:oMathPara>
          </w:p>
        </w:tc>
      </w:tr>
      <w:tr w14:paraId="02E1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7C5335CB">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单位</w:t>
            </w:r>
          </w:p>
        </w:tc>
        <w:tc>
          <w:tcPr>
            <w:tcW w:w="4148" w:type="dxa"/>
            <w:vAlign w:val="center"/>
          </w:tcPr>
          <w:p w14:paraId="1F43B0C6">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MJ/kg</w:t>
            </w:r>
          </w:p>
        </w:tc>
      </w:tr>
      <w:tr w14:paraId="19AD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90096D6">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应用的公式编号</w:t>
            </w:r>
          </w:p>
        </w:tc>
        <w:tc>
          <w:tcPr>
            <w:tcW w:w="4148" w:type="dxa"/>
            <w:vAlign w:val="center"/>
          </w:tcPr>
          <w:p w14:paraId="46A74279">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（4）</w:t>
            </w:r>
          </w:p>
        </w:tc>
      </w:tr>
      <w:tr w14:paraId="1029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F43013C">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数据描述</w:t>
            </w:r>
          </w:p>
        </w:tc>
        <w:tc>
          <w:tcPr>
            <w:tcW w:w="4148" w:type="dxa"/>
          </w:tcPr>
          <w:p w14:paraId="0893261B">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出行方式</w:t>
            </w:r>
            <w:r>
              <w:rPr>
                <w:rFonts w:hint="eastAsia" w:ascii="Times New Roman" w:hAnsi="Times New Roman" w:eastAsia="宋体" w:cs="Times New Roman"/>
                <w:i/>
                <w:iCs/>
                <w:kern w:val="0"/>
                <w:sz w:val="24"/>
                <w:szCs w:val="24"/>
              </w:rPr>
              <w:t>k</w:t>
            </w:r>
            <w:r>
              <w:rPr>
                <w:rFonts w:hint="eastAsia" w:ascii="Times New Roman" w:hAnsi="Times New Roman" w:eastAsia="宋体" w:cs="Times New Roman"/>
                <w:kern w:val="0"/>
                <w:sz w:val="24"/>
                <w:szCs w:val="24"/>
              </w:rPr>
              <w:t>使用燃料</w:t>
            </w:r>
            <w:r>
              <w:rPr>
                <w:rFonts w:hint="eastAsia" w:ascii="Times New Roman" w:hAnsi="Times New Roman" w:eastAsia="宋体" w:cs="Times New Roman"/>
                <w:i/>
                <w:iCs/>
                <w:kern w:val="0"/>
                <w:sz w:val="24"/>
                <w:szCs w:val="24"/>
              </w:rPr>
              <w:t>n</w:t>
            </w:r>
            <w:r>
              <w:rPr>
                <w:rFonts w:hint="eastAsia" w:ascii="Times New Roman" w:hAnsi="Times New Roman" w:eastAsia="宋体" w:cs="Times New Roman"/>
                <w:kern w:val="0"/>
                <w:sz w:val="24"/>
                <w:szCs w:val="24"/>
              </w:rPr>
              <w:t>的净热值</w:t>
            </w:r>
          </w:p>
        </w:tc>
      </w:tr>
      <w:tr w14:paraId="02AC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285F911">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所使用的数据来源</w:t>
            </w:r>
          </w:p>
        </w:tc>
        <w:tc>
          <w:tcPr>
            <w:tcW w:w="4148" w:type="dxa"/>
          </w:tcPr>
          <w:p w14:paraId="6BD92967">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《温室气体排放核算与报告要求 第27部分：陆上交通运输企业》（</w:t>
            </w:r>
            <w:r>
              <w:rPr>
                <w:rFonts w:ascii="Times New Roman" w:hAnsi="Times New Roman" w:eastAsia="宋体" w:cs="Times New Roman"/>
                <w:kern w:val="0"/>
                <w:sz w:val="24"/>
                <w:szCs w:val="24"/>
              </w:rPr>
              <w:t>GB/T 32151.27-2024</w:t>
            </w:r>
            <w:r>
              <w:rPr>
                <w:rFonts w:hint="eastAsia" w:ascii="Times New Roman" w:hAnsi="Times New Roman" w:eastAsia="宋体" w:cs="Times New Roman"/>
                <w:kern w:val="0"/>
                <w:sz w:val="24"/>
                <w:szCs w:val="24"/>
              </w:rPr>
              <w:t>）</w:t>
            </w:r>
          </w:p>
          <w:p w14:paraId="08B0D373">
            <w:pPr>
              <w:adjustRightInd w:val="0"/>
              <w:rPr>
                <w:rFonts w:ascii="Times New Roman" w:hAnsi="Times New Roman" w:eastAsia="宋体" w:cs="Times New Roman"/>
                <w:kern w:val="0"/>
                <w:sz w:val="24"/>
                <w:szCs w:val="24"/>
              </w:rPr>
            </w:pPr>
            <w:bookmarkStart w:id="108" w:name="OLE_LINK31"/>
            <w:r>
              <w:rPr>
                <w:rFonts w:hint="eastAsia" w:ascii="Times New Roman" w:hAnsi="Times New Roman" w:eastAsia="宋体" w:cs="Times New Roman"/>
                <w:kern w:val="0"/>
                <w:sz w:val="24"/>
                <w:szCs w:val="24"/>
              </w:rPr>
              <w:t>《IPCC</w:t>
            </w:r>
            <w:r>
              <w:rPr>
                <w:rFonts w:ascii="Times New Roman" w:hAnsi="Times New Roman" w:eastAsia="宋体" w:cs="Times New Roman"/>
                <w:kern w:val="0"/>
                <w:sz w:val="24"/>
                <w:szCs w:val="24"/>
              </w:rPr>
              <w:t xml:space="preserve"> 2006</w:t>
            </w:r>
            <w:r>
              <w:rPr>
                <w:rFonts w:hint="eastAsia" w:ascii="Times New Roman" w:hAnsi="Times New Roman" w:eastAsia="宋体" w:cs="Times New Roman"/>
                <w:kern w:val="0"/>
                <w:sz w:val="24"/>
                <w:szCs w:val="24"/>
              </w:rPr>
              <w:t>国家温室气体清单指南（2</w:t>
            </w:r>
            <w:r>
              <w:rPr>
                <w:rFonts w:ascii="Times New Roman" w:hAnsi="Times New Roman" w:eastAsia="宋体" w:cs="Times New Roman"/>
                <w:kern w:val="0"/>
                <w:sz w:val="24"/>
                <w:szCs w:val="24"/>
              </w:rPr>
              <w:t>019</w:t>
            </w:r>
            <w:r>
              <w:rPr>
                <w:rFonts w:hint="eastAsia" w:ascii="Times New Roman" w:hAnsi="Times New Roman" w:eastAsia="宋体" w:cs="Times New Roman"/>
                <w:kern w:val="0"/>
                <w:sz w:val="24"/>
                <w:szCs w:val="24"/>
              </w:rPr>
              <w:t>修订版）》</w:t>
            </w:r>
            <w:bookmarkEnd w:id="108"/>
          </w:p>
        </w:tc>
      </w:tr>
      <w:tr w14:paraId="05E0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496B00F">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数值</w:t>
            </w:r>
          </w:p>
        </w:tc>
        <w:tc>
          <w:tcPr>
            <w:tcW w:w="4148" w:type="dxa"/>
          </w:tcPr>
          <w:p w14:paraId="13ECFE34">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汽油</w:t>
            </w:r>
            <w:r>
              <w:rPr>
                <w:rFonts w:ascii="Times New Roman" w:hAnsi="Times New Roman" w:eastAsia="宋体" w:cs="Times New Roman"/>
                <w:kern w:val="0"/>
                <w:sz w:val="24"/>
                <w:szCs w:val="24"/>
              </w:rPr>
              <w:t>43.070、柴油42.652、液化天然气51.498</w:t>
            </w:r>
            <w:r>
              <w:rPr>
                <w:rFonts w:hint="eastAsia" w:ascii="Times New Roman" w:hAnsi="Times New Roman" w:eastAsia="宋体" w:cs="Times New Roman"/>
                <w:kern w:val="0"/>
                <w:sz w:val="24"/>
                <w:szCs w:val="24"/>
              </w:rPr>
              <w:t>、压缩天然气5</w:t>
            </w:r>
            <w:r>
              <w:rPr>
                <w:rFonts w:ascii="Times New Roman" w:hAnsi="Times New Roman" w:eastAsia="宋体" w:cs="Times New Roman"/>
                <w:kern w:val="0"/>
                <w:sz w:val="24"/>
                <w:szCs w:val="24"/>
              </w:rPr>
              <w:t>6.100</w:t>
            </w:r>
          </w:p>
        </w:tc>
      </w:tr>
      <w:tr w14:paraId="215D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DBFBA75">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测量方法和程序</w:t>
            </w:r>
          </w:p>
        </w:tc>
        <w:tc>
          <w:tcPr>
            <w:tcW w:w="4148" w:type="dxa"/>
          </w:tcPr>
          <w:p w14:paraId="5F60D878">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5612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4AF7EA5">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监测频次</w:t>
            </w:r>
          </w:p>
        </w:tc>
        <w:tc>
          <w:tcPr>
            <w:tcW w:w="4148" w:type="dxa"/>
          </w:tcPr>
          <w:p w14:paraId="2B9A35E4">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按公告更新</w:t>
            </w:r>
          </w:p>
        </w:tc>
      </w:tr>
      <w:tr w14:paraId="4984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4C59148">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其他说明</w:t>
            </w:r>
          </w:p>
        </w:tc>
        <w:tc>
          <w:tcPr>
            <w:tcW w:w="4148" w:type="dxa"/>
          </w:tcPr>
          <w:p w14:paraId="7A632B61">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w:t>
            </w:r>
          </w:p>
        </w:tc>
      </w:tr>
    </w:tbl>
    <w:p w14:paraId="6BC8C2F9">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表3</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出行方式</w:t>
      </w:r>
      <w:r>
        <w:rPr>
          <w:rFonts w:hint="eastAsia" w:ascii="Times New Roman" w:hAnsi="Times New Roman" w:eastAsia="黑体" w:cs="Times New Roman"/>
          <w:i/>
          <w:iCs/>
          <w:sz w:val="24"/>
          <w:szCs w:val="24"/>
        </w:rPr>
        <w:t>k</w:t>
      </w:r>
      <w:r>
        <w:rPr>
          <w:rFonts w:hint="eastAsia" w:ascii="Times New Roman" w:hAnsi="Times New Roman" w:eastAsia="黑体" w:cs="Times New Roman"/>
          <w:sz w:val="24"/>
          <w:szCs w:val="24"/>
        </w:rPr>
        <w:t>使用燃料</w:t>
      </w:r>
      <w:r>
        <w:rPr>
          <w:rFonts w:hint="eastAsia" w:ascii="Times New Roman" w:hAnsi="Times New Roman" w:eastAsia="黑体" w:cs="Times New Roman"/>
          <w:i/>
          <w:iCs/>
          <w:sz w:val="24"/>
          <w:szCs w:val="24"/>
        </w:rPr>
        <w:t>n</w:t>
      </w:r>
      <w:r>
        <w:rPr>
          <w:rFonts w:hint="eastAsia" w:ascii="Times New Roman" w:hAnsi="Times New Roman" w:eastAsia="黑体" w:cs="Times New Roman"/>
          <w:sz w:val="24"/>
          <w:szCs w:val="24"/>
        </w:rPr>
        <w:t>的C</w:t>
      </w:r>
      <w:r>
        <w:rPr>
          <w:rFonts w:ascii="Times New Roman" w:hAnsi="Times New Roman" w:eastAsia="黑体" w:cs="Times New Roman"/>
          <w:sz w:val="24"/>
          <w:szCs w:val="24"/>
        </w:rPr>
        <w:t>O</w:t>
      </w:r>
      <w:r>
        <w:rPr>
          <w:rFonts w:ascii="Times New Roman" w:hAnsi="Times New Roman" w:eastAsia="黑体" w:cs="Times New Roman"/>
          <w:sz w:val="24"/>
          <w:szCs w:val="24"/>
          <w:vertAlign w:val="subscript"/>
        </w:rPr>
        <w:t>2</w:t>
      </w:r>
      <w:r>
        <w:rPr>
          <w:rFonts w:hint="eastAsia" w:ascii="Times New Roman" w:hAnsi="Times New Roman" w:eastAsia="黑体" w:cs="Times New Roman"/>
          <w:sz w:val="24"/>
          <w:szCs w:val="24"/>
        </w:rPr>
        <w:t>排放因子</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6E99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FECC2CC">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数据/参数名称</w:t>
            </w:r>
          </w:p>
        </w:tc>
        <w:tc>
          <w:tcPr>
            <w:tcW w:w="4148" w:type="dxa"/>
          </w:tcPr>
          <w:p w14:paraId="08F9B4CD">
            <w:pPr>
              <w:adjustRightInd w:val="0"/>
              <w:rPr>
                <w:rFonts w:ascii="Times New Roman" w:hAnsi="Times New Roman"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m:t>
                    </m:r>
                    <m:ctrlPr>
                      <w:rPr>
                        <w:rFonts w:ascii="Cambria Math" w:hAnsi="Cambria Math" w:eastAsia="宋体" w:cs="Times New Roman"/>
                        <w:i/>
                        <w:kern w:val="0"/>
                        <w:sz w:val="28"/>
                        <w:szCs w:val="28"/>
                      </w:rPr>
                    </m:ctrlPr>
                  </m:sub>
                </m:sSub>
              </m:oMath>
            </m:oMathPara>
          </w:p>
        </w:tc>
      </w:tr>
      <w:tr w14:paraId="0398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BAC2765">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单位</w:t>
            </w:r>
          </w:p>
        </w:tc>
        <w:tc>
          <w:tcPr>
            <w:tcW w:w="4148" w:type="dxa"/>
          </w:tcPr>
          <w:p w14:paraId="36700C68">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kgCO</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/MJ</w:t>
            </w:r>
          </w:p>
        </w:tc>
      </w:tr>
      <w:tr w14:paraId="475B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7F9423D">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应用的公式编号</w:t>
            </w:r>
          </w:p>
        </w:tc>
        <w:tc>
          <w:tcPr>
            <w:tcW w:w="4148" w:type="dxa"/>
          </w:tcPr>
          <w:p w14:paraId="506ED7DB">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（4）</w:t>
            </w:r>
          </w:p>
        </w:tc>
      </w:tr>
      <w:tr w14:paraId="552B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60DD1C8">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数据描述</w:t>
            </w:r>
          </w:p>
        </w:tc>
        <w:tc>
          <w:tcPr>
            <w:tcW w:w="4148" w:type="dxa"/>
          </w:tcPr>
          <w:p w14:paraId="7B35AC9C">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出行方式</w:t>
            </w:r>
            <w:r>
              <w:rPr>
                <w:rFonts w:hint="eastAsia" w:ascii="Times New Roman" w:hAnsi="Times New Roman" w:eastAsia="宋体" w:cs="Times New Roman"/>
                <w:i/>
                <w:iCs/>
                <w:kern w:val="0"/>
                <w:sz w:val="24"/>
                <w:szCs w:val="24"/>
              </w:rPr>
              <w:t>k</w:t>
            </w:r>
            <w:r>
              <w:rPr>
                <w:rFonts w:hint="eastAsia" w:ascii="Times New Roman" w:hAnsi="Times New Roman" w:eastAsia="宋体" w:cs="Times New Roman"/>
                <w:kern w:val="0"/>
                <w:sz w:val="24"/>
                <w:szCs w:val="24"/>
              </w:rPr>
              <w:t>使用燃料</w:t>
            </w:r>
            <w:r>
              <w:rPr>
                <w:rFonts w:hint="eastAsia" w:ascii="Times New Roman" w:hAnsi="Times New Roman" w:eastAsia="宋体" w:cs="Times New Roman"/>
                <w:i/>
                <w:iCs/>
                <w:kern w:val="0"/>
                <w:sz w:val="24"/>
                <w:szCs w:val="24"/>
              </w:rPr>
              <w:t>n</w:t>
            </w:r>
            <w:r>
              <w:rPr>
                <w:rFonts w:hint="eastAsia" w:ascii="Times New Roman" w:hAnsi="Times New Roman" w:eastAsia="宋体" w:cs="Times New Roman"/>
                <w:kern w:val="0"/>
                <w:sz w:val="24"/>
                <w:szCs w:val="24"/>
              </w:rPr>
              <w:t>的CO</w:t>
            </w:r>
            <w:r>
              <w:rPr>
                <w:rFonts w:hint="eastAsia" w:ascii="Times New Roman" w:hAnsi="Times New Roman" w:eastAsia="宋体" w:cs="Times New Roman"/>
                <w:kern w:val="0"/>
                <w:sz w:val="24"/>
                <w:szCs w:val="24"/>
                <w:vertAlign w:val="subscript"/>
              </w:rPr>
              <w:t>2</w:t>
            </w:r>
            <w:r>
              <w:rPr>
                <w:rFonts w:hint="eastAsia" w:ascii="Times New Roman" w:hAnsi="Times New Roman" w:eastAsia="宋体" w:cs="Times New Roman"/>
                <w:kern w:val="0"/>
                <w:sz w:val="24"/>
                <w:szCs w:val="24"/>
              </w:rPr>
              <w:t>排放因子</w:t>
            </w:r>
          </w:p>
        </w:tc>
      </w:tr>
      <w:tr w14:paraId="44DA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ED96E4B">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所使用的数据来源</w:t>
            </w:r>
          </w:p>
        </w:tc>
        <w:tc>
          <w:tcPr>
            <w:tcW w:w="4148" w:type="dxa"/>
          </w:tcPr>
          <w:p w14:paraId="263DC17A">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《温室气体排放核算与报告要求 第27部分：陆上交通运输企业》（</w:t>
            </w:r>
            <w:r>
              <w:rPr>
                <w:rFonts w:ascii="Times New Roman" w:hAnsi="Times New Roman" w:eastAsia="宋体" w:cs="Times New Roman"/>
                <w:kern w:val="0"/>
                <w:sz w:val="24"/>
                <w:szCs w:val="24"/>
              </w:rPr>
              <w:t>GB/T 32151.27-2024</w:t>
            </w:r>
            <w:r>
              <w:rPr>
                <w:rFonts w:hint="eastAsia" w:ascii="Times New Roman" w:hAnsi="Times New Roman" w:eastAsia="宋体" w:cs="Times New Roman"/>
                <w:kern w:val="0"/>
                <w:sz w:val="24"/>
                <w:szCs w:val="24"/>
              </w:rPr>
              <w:t>）</w:t>
            </w:r>
          </w:p>
          <w:p w14:paraId="4668FDBA">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r>
              <w:rPr>
                <w:rFonts w:ascii="Times New Roman" w:hAnsi="Times New Roman" w:eastAsia="宋体" w:cs="Times New Roman"/>
                <w:kern w:val="0"/>
                <w:sz w:val="24"/>
                <w:szCs w:val="24"/>
              </w:rPr>
              <w:t>IPCC 2006</w:t>
            </w:r>
            <w:r>
              <w:rPr>
                <w:rFonts w:hint="eastAsia" w:ascii="Times New Roman" w:hAnsi="Times New Roman" w:eastAsia="宋体" w:cs="Times New Roman"/>
                <w:kern w:val="0"/>
                <w:sz w:val="24"/>
                <w:szCs w:val="24"/>
              </w:rPr>
              <w:t>国家温室气体清单指南（</w:t>
            </w:r>
            <w:r>
              <w:rPr>
                <w:rFonts w:ascii="Times New Roman" w:hAnsi="Times New Roman" w:eastAsia="宋体" w:cs="Times New Roman"/>
                <w:kern w:val="0"/>
                <w:sz w:val="24"/>
                <w:szCs w:val="24"/>
              </w:rPr>
              <w:t>2019</w:t>
            </w:r>
            <w:r>
              <w:rPr>
                <w:rFonts w:hint="eastAsia" w:ascii="Times New Roman" w:hAnsi="Times New Roman" w:eastAsia="宋体" w:cs="Times New Roman"/>
                <w:kern w:val="0"/>
                <w:sz w:val="24"/>
                <w:szCs w:val="24"/>
              </w:rPr>
              <w:t>修订版）》</w:t>
            </w:r>
          </w:p>
        </w:tc>
      </w:tr>
      <w:tr w14:paraId="4F4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000459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数值</w:t>
            </w:r>
          </w:p>
        </w:tc>
        <w:tc>
          <w:tcPr>
            <w:tcW w:w="4148" w:type="dxa"/>
          </w:tcPr>
          <w:p w14:paraId="75797376">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汽油0</w:t>
            </w:r>
            <w:r>
              <w:rPr>
                <w:rFonts w:ascii="Times New Roman" w:hAnsi="Times New Roman" w:eastAsia="宋体" w:cs="Times New Roman"/>
                <w:kern w:val="0"/>
                <w:sz w:val="24"/>
                <w:szCs w:val="24"/>
              </w:rPr>
              <w:t>.0679、柴油0.0726、液化天然气0.0550</w:t>
            </w:r>
            <w:r>
              <w:rPr>
                <w:rFonts w:hint="eastAsia" w:ascii="Times New Roman" w:hAnsi="Times New Roman" w:eastAsia="宋体" w:cs="Times New Roman"/>
                <w:kern w:val="0"/>
                <w:sz w:val="24"/>
                <w:szCs w:val="24"/>
              </w:rPr>
              <w:t>、压缩天然气0</w:t>
            </w:r>
            <w:r>
              <w:rPr>
                <w:rFonts w:ascii="Times New Roman" w:hAnsi="Times New Roman" w:eastAsia="宋体" w:cs="Times New Roman"/>
                <w:kern w:val="0"/>
                <w:sz w:val="24"/>
                <w:szCs w:val="24"/>
              </w:rPr>
              <w:t>.0550</w:t>
            </w:r>
          </w:p>
        </w:tc>
      </w:tr>
      <w:tr w14:paraId="5D97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349A6B4">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测量方法和程序</w:t>
            </w:r>
          </w:p>
        </w:tc>
        <w:tc>
          <w:tcPr>
            <w:tcW w:w="4148" w:type="dxa"/>
          </w:tcPr>
          <w:p w14:paraId="2B8D0F79">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20E3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4012B1D">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监测频次</w:t>
            </w:r>
          </w:p>
        </w:tc>
        <w:tc>
          <w:tcPr>
            <w:tcW w:w="4148" w:type="dxa"/>
          </w:tcPr>
          <w:p w14:paraId="0BDFB9B3">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按公告更新</w:t>
            </w:r>
          </w:p>
        </w:tc>
      </w:tr>
      <w:tr w14:paraId="0CC2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5DD91BCC">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其他说明</w:t>
            </w:r>
          </w:p>
        </w:tc>
        <w:tc>
          <w:tcPr>
            <w:tcW w:w="4148" w:type="dxa"/>
          </w:tcPr>
          <w:p w14:paraId="6D0C5266">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bl>
    <w:p w14:paraId="0A58B486">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表4</w:t>
      </w:r>
      <w:r>
        <w:rPr>
          <w:rFonts w:ascii="Times New Roman" w:hAnsi="Times New Roman" w:eastAsia="黑体" w:cs="Times New Roman"/>
          <w:sz w:val="24"/>
          <w:szCs w:val="24"/>
        </w:rPr>
        <w:t xml:space="preserve"> </w:t>
      </w:r>
      <w:bookmarkStart w:id="109" w:name="OLE_LINK34"/>
      <w:r>
        <w:rPr>
          <w:rFonts w:hint="eastAsia" w:ascii="Times New Roman" w:hAnsi="Times New Roman" w:eastAsia="黑体" w:cs="Times New Roman"/>
          <w:sz w:val="24"/>
          <w:szCs w:val="24"/>
        </w:rPr>
        <w:t>第</w:t>
      </w:r>
      <w:r>
        <w:rPr>
          <w:rFonts w:hint="eastAsia" w:ascii="Times New Roman" w:hAnsi="Times New Roman" w:eastAsia="黑体" w:cs="Times New Roman"/>
          <w:i/>
          <w:iCs/>
          <w:sz w:val="24"/>
          <w:szCs w:val="24"/>
        </w:rPr>
        <w:t>y</w:t>
      </w:r>
      <w:r>
        <w:rPr>
          <w:rFonts w:hint="eastAsia" w:ascii="Times New Roman" w:hAnsi="Times New Roman" w:eastAsia="黑体" w:cs="Times New Roman"/>
          <w:sz w:val="24"/>
          <w:szCs w:val="24"/>
        </w:rPr>
        <w:t>年出行方式</w:t>
      </w:r>
      <w:r>
        <w:rPr>
          <w:rFonts w:hint="eastAsia" w:ascii="Times New Roman" w:hAnsi="Times New Roman" w:eastAsia="黑体" w:cs="Times New Roman"/>
          <w:i/>
          <w:iCs/>
          <w:sz w:val="24"/>
          <w:szCs w:val="24"/>
        </w:rPr>
        <w:t>k</w:t>
      </w:r>
      <w:r>
        <w:rPr>
          <w:rFonts w:hint="eastAsia" w:ascii="Times New Roman" w:hAnsi="Times New Roman" w:eastAsia="黑体" w:cs="Times New Roman"/>
          <w:sz w:val="24"/>
          <w:szCs w:val="24"/>
        </w:rPr>
        <w:t>总耗电量</w:t>
      </w:r>
      <w:bookmarkEnd w:id="109"/>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1977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81229B0">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数据/参数名称</w:t>
            </w:r>
          </w:p>
        </w:tc>
        <w:tc>
          <w:tcPr>
            <w:tcW w:w="4148" w:type="dxa"/>
          </w:tcPr>
          <w:p w14:paraId="3BD5F079">
            <w:pPr>
              <w:adjustRightInd w:val="0"/>
              <w:rPr>
                <w:rFonts w:ascii="Times New Roman" w:hAnsi="Times New Roman"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EC</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m:ctrlPr>
                      <w:rPr>
                        <w:rFonts w:ascii="Cambria Math" w:hAnsi="Cambria Math" w:eastAsia="宋体" w:cs="Times New Roman"/>
                        <w:i/>
                        <w:kern w:val="0"/>
                        <w:sz w:val="28"/>
                        <w:szCs w:val="28"/>
                      </w:rPr>
                    </m:ctrlPr>
                  </m:sub>
                </m:sSub>
              </m:oMath>
            </m:oMathPara>
          </w:p>
        </w:tc>
      </w:tr>
      <w:tr w14:paraId="049D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92901B2">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单位</w:t>
            </w:r>
          </w:p>
        </w:tc>
        <w:tc>
          <w:tcPr>
            <w:tcW w:w="4148" w:type="dxa"/>
          </w:tcPr>
          <w:p w14:paraId="0532B02E">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kWh</w:t>
            </w:r>
          </w:p>
        </w:tc>
      </w:tr>
      <w:tr w14:paraId="64A8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C95130E">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应用的公式编号</w:t>
            </w:r>
          </w:p>
        </w:tc>
        <w:tc>
          <w:tcPr>
            <w:tcW w:w="4148" w:type="dxa"/>
          </w:tcPr>
          <w:p w14:paraId="6E08DA39">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（4）</w:t>
            </w:r>
          </w:p>
        </w:tc>
      </w:tr>
      <w:tr w14:paraId="686C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59848AB">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数据描述</w:t>
            </w:r>
          </w:p>
        </w:tc>
        <w:tc>
          <w:tcPr>
            <w:tcW w:w="4148" w:type="dxa"/>
          </w:tcPr>
          <w:p w14:paraId="2E28A5C8">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第</w:t>
            </w:r>
            <w:r>
              <w:rPr>
                <w:rFonts w:hint="eastAsia" w:ascii="Times New Roman" w:hAnsi="Times New Roman" w:eastAsia="宋体" w:cs="Times New Roman"/>
                <w:i/>
                <w:iCs/>
                <w:kern w:val="0"/>
                <w:sz w:val="24"/>
                <w:szCs w:val="24"/>
              </w:rPr>
              <w:t>y</w:t>
            </w:r>
            <w:r>
              <w:rPr>
                <w:rFonts w:hint="eastAsia" w:ascii="Times New Roman" w:hAnsi="Times New Roman" w:eastAsia="宋体" w:cs="Times New Roman"/>
                <w:kern w:val="0"/>
                <w:sz w:val="24"/>
                <w:szCs w:val="24"/>
              </w:rPr>
              <w:t>年出行方式</w:t>
            </w:r>
            <w:r>
              <w:rPr>
                <w:rFonts w:hint="eastAsia" w:ascii="Times New Roman" w:hAnsi="Times New Roman" w:eastAsia="宋体" w:cs="Times New Roman"/>
                <w:i/>
                <w:iCs/>
                <w:kern w:val="0"/>
                <w:sz w:val="24"/>
                <w:szCs w:val="24"/>
              </w:rPr>
              <w:t>k</w:t>
            </w:r>
            <w:r>
              <w:rPr>
                <w:rFonts w:hint="eastAsia" w:ascii="Times New Roman" w:hAnsi="Times New Roman" w:eastAsia="宋体" w:cs="Times New Roman"/>
                <w:kern w:val="0"/>
                <w:sz w:val="24"/>
                <w:szCs w:val="24"/>
              </w:rPr>
              <w:t>总耗电量</w:t>
            </w:r>
          </w:p>
        </w:tc>
      </w:tr>
      <w:tr w14:paraId="025F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FDF6D73">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所使用的数据来源</w:t>
            </w:r>
          </w:p>
        </w:tc>
        <w:tc>
          <w:tcPr>
            <w:tcW w:w="4148" w:type="dxa"/>
          </w:tcPr>
          <w:p w14:paraId="29768FBF">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按照以下</w:t>
            </w:r>
            <w:r>
              <w:rPr>
                <w:rFonts w:hint="eastAsia" w:ascii="Times New Roman" w:hAnsi="Times New Roman" w:eastAsia="宋体" w:cs="Times New Roman"/>
                <w:kern w:val="0"/>
                <w:sz w:val="24"/>
                <w:szCs w:val="24"/>
              </w:rPr>
              <w:t>优先次序选取来源：</w:t>
            </w:r>
          </w:p>
          <w:p w14:paraId="44756A5A">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1.</w:t>
            </w:r>
            <w:r>
              <w:rPr>
                <w:rFonts w:ascii="Times New Roman" w:hAnsi="Times New Roman" w:eastAsia="宋体" w:cs="Times New Roman"/>
                <w:kern w:val="0"/>
                <w:sz w:val="24"/>
                <w:szCs w:val="24"/>
              </w:rPr>
              <w:t>本地主管部门与运营公司提供</w:t>
            </w:r>
          </w:p>
          <w:p w14:paraId="677DE1F9">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权威机构发布</w:t>
            </w:r>
          </w:p>
          <w:p w14:paraId="63530125">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3.</w:t>
            </w:r>
            <w:r>
              <w:rPr>
                <w:rFonts w:ascii="Times New Roman" w:hAnsi="Times New Roman" w:eastAsia="宋体" w:cs="Times New Roman"/>
                <w:kern w:val="0"/>
                <w:sz w:val="24"/>
                <w:szCs w:val="24"/>
              </w:rPr>
              <w:t>根据省、部级</w:t>
            </w:r>
            <w:r>
              <w:rPr>
                <w:rFonts w:hint="eastAsia" w:ascii="Times New Roman" w:hAnsi="Times New Roman" w:eastAsia="宋体" w:cs="Times New Roman"/>
                <w:kern w:val="0"/>
                <w:sz w:val="24"/>
                <w:szCs w:val="24"/>
              </w:rPr>
              <w:t>以上单位发布的相关数据计算</w:t>
            </w:r>
          </w:p>
        </w:tc>
      </w:tr>
      <w:tr w14:paraId="3055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147F7D3">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数值</w:t>
            </w:r>
          </w:p>
        </w:tc>
        <w:tc>
          <w:tcPr>
            <w:tcW w:w="4148" w:type="dxa"/>
          </w:tcPr>
          <w:p w14:paraId="30FB360B">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03C1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49E28962">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测量方法和程序</w:t>
            </w:r>
          </w:p>
        </w:tc>
        <w:tc>
          <w:tcPr>
            <w:tcW w:w="4148" w:type="dxa"/>
          </w:tcPr>
          <w:p w14:paraId="12BD5064">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6266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DD651C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监测频次</w:t>
            </w:r>
          </w:p>
        </w:tc>
        <w:tc>
          <w:tcPr>
            <w:tcW w:w="4148" w:type="dxa"/>
          </w:tcPr>
          <w:p w14:paraId="620B3114">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按年更新</w:t>
            </w:r>
          </w:p>
        </w:tc>
      </w:tr>
      <w:tr w14:paraId="3FC4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8695B30">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其他说明</w:t>
            </w:r>
          </w:p>
        </w:tc>
        <w:tc>
          <w:tcPr>
            <w:tcW w:w="4148" w:type="dxa"/>
          </w:tcPr>
          <w:p w14:paraId="1CDC054D">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bl>
    <w:p w14:paraId="5F00C83C">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表5</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电力的C</w:t>
      </w:r>
      <w:r>
        <w:rPr>
          <w:rFonts w:ascii="Times New Roman" w:hAnsi="Times New Roman" w:eastAsia="黑体" w:cs="Times New Roman"/>
          <w:sz w:val="24"/>
          <w:szCs w:val="24"/>
        </w:rPr>
        <w:t>O</w:t>
      </w:r>
      <w:r>
        <w:rPr>
          <w:rFonts w:ascii="Times New Roman" w:hAnsi="Times New Roman" w:eastAsia="黑体" w:cs="Times New Roman"/>
          <w:sz w:val="24"/>
          <w:szCs w:val="24"/>
          <w:vertAlign w:val="subscript"/>
        </w:rPr>
        <w:t>2</w:t>
      </w:r>
      <w:r>
        <w:rPr>
          <w:rFonts w:hint="eastAsia" w:ascii="Times New Roman" w:hAnsi="Times New Roman" w:eastAsia="黑体" w:cs="Times New Roman"/>
          <w:sz w:val="24"/>
          <w:szCs w:val="24"/>
        </w:rPr>
        <w:t>排放因子</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6BD5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C0E7E36">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数据/参数名称</w:t>
            </w:r>
          </w:p>
        </w:tc>
        <w:tc>
          <w:tcPr>
            <w:tcW w:w="4148" w:type="dxa"/>
          </w:tcPr>
          <w:p w14:paraId="130CC459">
            <w:pPr>
              <w:adjustRightInd w:val="0"/>
              <w:jc w:val="center"/>
              <w:rPr>
                <w:rFonts w:ascii="Times New Roman" w:hAnsi="Times New Roman"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co</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2</m:t>
                        </m:r>
                        <m:ctrlPr>
                          <w:rPr>
                            <w:rFonts w:ascii="Cambria Math" w:hAnsi="Cambria Math" w:eastAsia="宋体" w:cs="Times New Roman"/>
                            <w:i/>
                            <w:kern w:val="0"/>
                            <w:sz w:val="28"/>
                            <w:szCs w:val="28"/>
                          </w:rPr>
                        </m:ctrlPr>
                      </m:sub>
                    </m:sSub>
                    <m:ctrlPr>
                      <w:rPr>
                        <w:rFonts w:ascii="Cambria Math" w:hAnsi="Cambria Math" w:eastAsia="宋体" w:cs="Times New Roman"/>
                        <w:i/>
                        <w:kern w:val="0"/>
                        <w:sz w:val="28"/>
                        <w:szCs w:val="28"/>
                      </w:rPr>
                    </m:ctrlPr>
                  </m:sub>
                </m:sSub>
              </m:oMath>
            </m:oMathPara>
          </w:p>
        </w:tc>
      </w:tr>
      <w:tr w14:paraId="60B9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EDC1DEE">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单位</w:t>
            </w:r>
          </w:p>
        </w:tc>
        <w:tc>
          <w:tcPr>
            <w:tcW w:w="4148" w:type="dxa"/>
          </w:tcPr>
          <w:p w14:paraId="0D751BD7">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kgCO</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/kWh</w:t>
            </w:r>
          </w:p>
        </w:tc>
      </w:tr>
      <w:tr w14:paraId="468D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505FF5FD">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应用的公式编号</w:t>
            </w:r>
          </w:p>
        </w:tc>
        <w:tc>
          <w:tcPr>
            <w:tcW w:w="4148" w:type="dxa"/>
          </w:tcPr>
          <w:p w14:paraId="0C6CD756">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（4）</w:t>
            </w:r>
          </w:p>
        </w:tc>
      </w:tr>
      <w:tr w14:paraId="6C1A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43F35C82">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数据描述</w:t>
            </w:r>
          </w:p>
        </w:tc>
        <w:tc>
          <w:tcPr>
            <w:tcW w:w="4148" w:type="dxa"/>
          </w:tcPr>
          <w:p w14:paraId="6A30C5A2">
            <w:pPr>
              <w:adjustRightInd w:val="0"/>
              <w:rPr>
                <w:rFonts w:ascii="Times New Roman" w:hAnsi="Times New Roman" w:eastAsia="宋体" w:cs="Times New Roman"/>
                <w:kern w:val="0"/>
                <w:sz w:val="24"/>
                <w:szCs w:val="24"/>
              </w:rPr>
            </w:pPr>
            <w:r>
              <w:rPr>
                <w:rFonts w:hint="eastAsia" w:cs="Times New Roman"/>
                <w:color w:val="000000"/>
                <w:kern w:val="0"/>
                <w:sz w:val="24"/>
                <w:szCs w:val="24"/>
              </w:rPr>
              <w:t>江苏省电力平均CO</w:t>
            </w:r>
            <w:r>
              <w:rPr>
                <w:rFonts w:cs="Times New Roman"/>
                <w:color w:val="000000"/>
                <w:kern w:val="0"/>
                <w:sz w:val="24"/>
                <w:szCs w:val="24"/>
                <w:vertAlign w:val="subscript"/>
              </w:rPr>
              <w:t>2</w:t>
            </w:r>
            <w:r>
              <w:rPr>
                <w:rFonts w:hint="eastAsia" w:cs="Times New Roman"/>
                <w:color w:val="000000"/>
                <w:kern w:val="0"/>
                <w:sz w:val="24"/>
                <w:szCs w:val="24"/>
              </w:rPr>
              <w:t>排放因子</w:t>
            </w:r>
          </w:p>
        </w:tc>
      </w:tr>
      <w:tr w14:paraId="46C8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5C1BEB8D">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所使用的数据来源</w:t>
            </w:r>
          </w:p>
        </w:tc>
        <w:tc>
          <w:tcPr>
            <w:tcW w:w="4148" w:type="dxa"/>
          </w:tcPr>
          <w:p w14:paraId="36286574">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生态环境部最新公告</w:t>
            </w:r>
          </w:p>
        </w:tc>
      </w:tr>
      <w:tr w14:paraId="4D02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1BFF2D2">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数值</w:t>
            </w:r>
          </w:p>
        </w:tc>
        <w:tc>
          <w:tcPr>
            <w:tcW w:w="4148" w:type="dxa"/>
          </w:tcPr>
          <w:p w14:paraId="5BD31CBB">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0.5827</w:t>
            </w:r>
            <w:r>
              <w:rPr>
                <w:rFonts w:hint="eastAsia" w:cs="Times New Roman"/>
                <w:color w:val="000000"/>
                <w:kern w:val="0"/>
                <w:sz w:val="24"/>
                <w:szCs w:val="24"/>
              </w:rPr>
              <w:t>（</w:t>
            </w:r>
            <w:r>
              <w:rPr>
                <w:rFonts w:hint="default" w:ascii="Times New Roman" w:hAnsi="Times New Roman" w:cs="Times New Roman"/>
                <w:color w:val="000000"/>
                <w:kern w:val="0"/>
                <w:sz w:val="24"/>
                <w:szCs w:val="24"/>
              </w:rPr>
              <w:t>2025</w:t>
            </w:r>
            <w:r>
              <w:rPr>
                <w:rFonts w:hint="eastAsia" w:cs="Times New Roman"/>
                <w:color w:val="000000"/>
                <w:kern w:val="0"/>
                <w:sz w:val="24"/>
                <w:szCs w:val="24"/>
              </w:rPr>
              <w:t>年公布）</w:t>
            </w:r>
          </w:p>
        </w:tc>
      </w:tr>
      <w:tr w14:paraId="6859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672CF98">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测量方法和程序</w:t>
            </w:r>
          </w:p>
        </w:tc>
        <w:tc>
          <w:tcPr>
            <w:tcW w:w="4148" w:type="dxa"/>
          </w:tcPr>
          <w:p w14:paraId="5D92EB49">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10AA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402159C2">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监测频次</w:t>
            </w:r>
          </w:p>
        </w:tc>
        <w:tc>
          <w:tcPr>
            <w:tcW w:w="4148" w:type="dxa"/>
          </w:tcPr>
          <w:p w14:paraId="5A7D36C0">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按公告更新</w:t>
            </w:r>
          </w:p>
        </w:tc>
      </w:tr>
      <w:tr w14:paraId="29E7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F0C4FE3">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其他说明</w:t>
            </w:r>
          </w:p>
        </w:tc>
        <w:tc>
          <w:tcPr>
            <w:tcW w:w="4148" w:type="dxa"/>
          </w:tcPr>
          <w:p w14:paraId="46619D98">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bl>
    <w:p w14:paraId="6CBD3720">
      <w:pPr>
        <w:adjustRightInd w:val="0"/>
        <w:snapToGrid w:val="0"/>
        <w:spacing w:line="360" w:lineRule="auto"/>
        <w:jc w:val="center"/>
        <w:rPr>
          <w:rFonts w:ascii="Times New Roman" w:hAnsi="Times New Roman" w:eastAsia="黑体" w:cs="Times New Roman"/>
          <w:sz w:val="24"/>
          <w:szCs w:val="24"/>
        </w:rPr>
      </w:pPr>
    </w:p>
    <w:p w14:paraId="2B7B582E">
      <w:pPr>
        <w:adjustRightInd w:val="0"/>
        <w:snapToGrid w:val="0"/>
        <w:spacing w:line="360" w:lineRule="auto"/>
        <w:jc w:val="center"/>
        <w:rPr>
          <w:rFonts w:ascii="Times New Roman" w:hAnsi="Times New Roman" w:eastAsia="黑体" w:cs="Times New Roman"/>
          <w:sz w:val="24"/>
          <w:szCs w:val="24"/>
        </w:rPr>
      </w:pPr>
    </w:p>
    <w:p w14:paraId="3506EF0E">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表6</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第</w:t>
      </w:r>
      <w:r>
        <w:rPr>
          <w:rFonts w:hint="eastAsia" w:ascii="Times New Roman" w:hAnsi="Times New Roman" w:eastAsia="黑体" w:cs="Times New Roman"/>
          <w:i/>
          <w:iCs/>
          <w:sz w:val="24"/>
          <w:szCs w:val="24"/>
        </w:rPr>
        <w:t>y</w:t>
      </w:r>
      <w:r>
        <w:rPr>
          <w:rFonts w:hint="eastAsia" w:ascii="Times New Roman" w:hAnsi="Times New Roman" w:eastAsia="黑体" w:cs="Times New Roman"/>
          <w:sz w:val="24"/>
          <w:szCs w:val="24"/>
        </w:rPr>
        <w:t>年出行方式</w:t>
      </w:r>
      <w:r>
        <w:rPr>
          <w:rFonts w:hint="eastAsia" w:ascii="Times New Roman" w:hAnsi="Times New Roman" w:eastAsia="黑体" w:cs="Times New Roman"/>
          <w:i/>
          <w:iCs/>
          <w:sz w:val="24"/>
          <w:szCs w:val="24"/>
        </w:rPr>
        <w:t>k</w:t>
      </w:r>
      <w:r>
        <w:rPr>
          <w:rFonts w:hint="eastAsia" w:ascii="Times New Roman" w:hAnsi="Times New Roman" w:eastAsia="黑体" w:cs="Times New Roman"/>
          <w:sz w:val="24"/>
          <w:szCs w:val="24"/>
        </w:rPr>
        <w:t>的客运周转量</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258C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60DCD44">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数据/参数名称</w:t>
            </w:r>
          </w:p>
        </w:tc>
        <w:tc>
          <w:tcPr>
            <w:tcW w:w="4148" w:type="dxa"/>
          </w:tcPr>
          <w:p w14:paraId="3A889A19">
            <w:pPr>
              <w:adjustRightInd w:val="0"/>
              <w:rPr>
                <w:rFonts w:ascii="Times New Roman" w:hAnsi="Times New Roman"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Q</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m:ctrlPr>
                      <w:rPr>
                        <w:rFonts w:ascii="Cambria Math" w:hAnsi="Cambria Math" w:eastAsia="宋体" w:cs="Times New Roman"/>
                        <w:i/>
                        <w:kern w:val="0"/>
                        <w:sz w:val="28"/>
                        <w:szCs w:val="28"/>
                      </w:rPr>
                    </m:ctrlPr>
                  </m:sub>
                </m:sSub>
              </m:oMath>
            </m:oMathPara>
          </w:p>
        </w:tc>
      </w:tr>
      <w:tr w14:paraId="60B1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8A0F51A">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单位</w:t>
            </w:r>
          </w:p>
        </w:tc>
        <w:tc>
          <w:tcPr>
            <w:tcW w:w="4148" w:type="dxa"/>
          </w:tcPr>
          <w:p w14:paraId="71E7B258">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PKM</w:t>
            </w:r>
          </w:p>
        </w:tc>
      </w:tr>
      <w:tr w14:paraId="11A9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20E7B87">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应用的公式编号</w:t>
            </w:r>
          </w:p>
        </w:tc>
        <w:tc>
          <w:tcPr>
            <w:tcW w:w="4148" w:type="dxa"/>
          </w:tcPr>
          <w:p w14:paraId="20A5BF50">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（4）</w:t>
            </w:r>
          </w:p>
        </w:tc>
      </w:tr>
      <w:tr w14:paraId="0265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26FF7FE">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数据描述</w:t>
            </w:r>
          </w:p>
        </w:tc>
        <w:tc>
          <w:tcPr>
            <w:tcW w:w="4148" w:type="dxa"/>
          </w:tcPr>
          <w:p w14:paraId="3C8982A5">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第</w:t>
            </w:r>
            <w:r>
              <w:rPr>
                <w:rFonts w:hint="eastAsia" w:ascii="Times New Roman" w:hAnsi="Times New Roman" w:eastAsia="宋体" w:cs="Times New Roman"/>
                <w:i/>
                <w:iCs/>
                <w:kern w:val="0"/>
                <w:sz w:val="24"/>
                <w:szCs w:val="24"/>
              </w:rPr>
              <w:t>y</w:t>
            </w:r>
            <w:r>
              <w:rPr>
                <w:rFonts w:hint="eastAsia" w:ascii="Times New Roman" w:hAnsi="Times New Roman" w:eastAsia="宋体" w:cs="Times New Roman"/>
                <w:kern w:val="0"/>
                <w:sz w:val="24"/>
                <w:szCs w:val="24"/>
              </w:rPr>
              <w:t>年出行方式</w:t>
            </w:r>
            <w:r>
              <w:rPr>
                <w:rFonts w:hint="eastAsia" w:ascii="Times New Roman" w:hAnsi="Times New Roman" w:eastAsia="宋体" w:cs="Times New Roman"/>
                <w:i/>
                <w:iCs/>
                <w:kern w:val="0"/>
                <w:sz w:val="24"/>
                <w:szCs w:val="24"/>
              </w:rPr>
              <w:t>k</w:t>
            </w:r>
            <w:r>
              <w:rPr>
                <w:rFonts w:hint="eastAsia" w:ascii="Times New Roman" w:hAnsi="Times New Roman" w:eastAsia="宋体" w:cs="Times New Roman"/>
                <w:kern w:val="0"/>
                <w:sz w:val="24"/>
                <w:szCs w:val="24"/>
              </w:rPr>
              <w:t>的客运周转量</w:t>
            </w:r>
          </w:p>
        </w:tc>
      </w:tr>
      <w:tr w14:paraId="130B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7EA53F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所使用的数据来源</w:t>
            </w:r>
          </w:p>
        </w:tc>
        <w:tc>
          <w:tcPr>
            <w:tcW w:w="4148" w:type="dxa"/>
          </w:tcPr>
          <w:p w14:paraId="13A2FFE6">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按照以下</w:t>
            </w:r>
            <w:r>
              <w:rPr>
                <w:rFonts w:hint="eastAsia" w:ascii="Times New Roman" w:hAnsi="Times New Roman" w:eastAsia="宋体" w:cs="Times New Roman"/>
                <w:kern w:val="0"/>
                <w:sz w:val="24"/>
                <w:szCs w:val="24"/>
              </w:rPr>
              <w:t>优先次序选取来源：</w:t>
            </w:r>
          </w:p>
          <w:p w14:paraId="6F3FDFA3">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1.</w:t>
            </w:r>
            <w:r>
              <w:rPr>
                <w:rFonts w:ascii="Times New Roman" w:hAnsi="Times New Roman" w:eastAsia="宋体" w:cs="Times New Roman"/>
                <w:kern w:val="0"/>
                <w:sz w:val="24"/>
                <w:szCs w:val="24"/>
              </w:rPr>
              <w:t>本地主管部门与运营公司提供</w:t>
            </w:r>
          </w:p>
          <w:p w14:paraId="00735C3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权威机构发布</w:t>
            </w:r>
          </w:p>
          <w:p w14:paraId="64A46D89">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3.</w:t>
            </w:r>
            <w:r>
              <w:rPr>
                <w:rFonts w:ascii="Times New Roman" w:hAnsi="Times New Roman" w:eastAsia="宋体" w:cs="Times New Roman"/>
                <w:kern w:val="0"/>
                <w:sz w:val="24"/>
                <w:szCs w:val="24"/>
              </w:rPr>
              <w:t>根据省、部级</w:t>
            </w:r>
            <w:r>
              <w:rPr>
                <w:rFonts w:hint="eastAsia" w:ascii="Times New Roman" w:hAnsi="Times New Roman" w:eastAsia="宋体" w:cs="Times New Roman"/>
                <w:kern w:val="0"/>
                <w:sz w:val="24"/>
                <w:szCs w:val="24"/>
              </w:rPr>
              <w:t>以上单位发布的相关数据计算</w:t>
            </w:r>
          </w:p>
        </w:tc>
      </w:tr>
      <w:tr w14:paraId="355F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83CE44D">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数值</w:t>
            </w:r>
          </w:p>
        </w:tc>
        <w:tc>
          <w:tcPr>
            <w:tcW w:w="4148" w:type="dxa"/>
          </w:tcPr>
          <w:p w14:paraId="430F19D7">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05E5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F267AEC">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测量方法和程序</w:t>
            </w:r>
          </w:p>
        </w:tc>
        <w:tc>
          <w:tcPr>
            <w:tcW w:w="4148" w:type="dxa"/>
          </w:tcPr>
          <w:p w14:paraId="2246818F">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7BEA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F06D5FE">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监测频次</w:t>
            </w:r>
          </w:p>
        </w:tc>
        <w:tc>
          <w:tcPr>
            <w:tcW w:w="4148" w:type="dxa"/>
          </w:tcPr>
          <w:p w14:paraId="044C3DC7">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按年更新</w:t>
            </w:r>
          </w:p>
        </w:tc>
      </w:tr>
      <w:tr w14:paraId="6323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77DD4F1A">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其他说明</w:t>
            </w:r>
          </w:p>
        </w:tc>
        <w:tc>
          <w:tcPr>
            <w:tcW w:w="4148" w:type="dxa"/>
          </w:tcPr>
          <w:p w14:paraId="00309727">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bl>
    <w:p w14:paraId="610B8F44">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8</w:t>
      </w:r>
      <w:r>
        <w:rPr>
          <w:rFonts w:ascii="Times New Roman" w:hAnsi="Times New Roman" w:eastAsia="宋体" w:cs="Times New Roman"/>
          <w:sz w:val="28"/>
          <w:szCs w:val="28"/>
        </w:rPr>
        <w:t xml:space="preserve">.2 </w:t>
      </w:r>
      <w:r>
        <w:rPr>
          <w:rFonts w:hint="eastAsia" w:ascii="Times New Roman" w:hAnsi="Times New Roman" w:eastAsia="宋体" w:cs="Times New Roman"/>
          <w:sz w:val="28"/>
          <w:szCs w:val="28"/>
        </w:rPr>
        <w:t>减排场景实施阶段需监测的参数和数据</w:t>
      </w:r>
    </w:p>
    <w:p w14:paraId="13841B11">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实施阶段需监测的核心数据</w:t>
      </w:r>
      <w:r>
        <w:rPr>
          <w:rFonts w:hint="eastAsia" w:ascii="Times New Roman" w:hAnsi="Times New Roman" w:eastAsia="宋体" w:cs="Times New Roman"/>
          <w:sz w:val="28"/>
          <w:szCs w:val="28"/>
          <w:lang w:eastAsia="zh-CN"/>
        </w:rPr>
        <w:t>和</w:t>
      </w:r>
      <w:r>
        <w:rPr>
          <w:rFonts w:hint="eastAsia" w:ascii="Times New Roman" w:hAnsi="Times New Roman" w:eastAsia="宋体" w:cs="Times New Roman"/>
          <w:sz w:val="28"/>
          <w:szCs w:val="28"/>
        </w:rPr>
        <w:t>用户的</w:t>
      </w:r>
      <w:r>
        <w:rPr>
          <w:rFonts w:hint="eastAsia" w:ascii="Times New Roman" w:hAnsi="Times New Roman" w:eastAsia="宋体" w:cs="Times New Roman"/>
          <w:sz w:val="28"/>
          <w:szCs w:val="28"/>
          <w:lang w:eastAsia="zh-CN"/>
        </w:rPr>
        <w:t>参数</w:t>
      </w:r>
      <w:r>
        <w:rPr>
          <w:rFonts w:hint="eastAsia" w:ascii="Times New Roman" w:hAnsi="Times New Roman" w:eastAsia="宋体" w:cs="Times New Roman"/>
          <w:sz w:val="28"/>
          <w:szCs w:val="28"/>
        </w:rPr>
        <w:t>如下：</w:t>
      </w:r>
    </w:p>
    <w:p w14:paraId="4E0F1C37">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w:t>
      </w:r>
      <w:r>
        <w:rPr>
          <w:rFonts w:ascii="Times New Roman" w:hAnsi="Times New Roman" w:eastAsia="黑体" w:cs="Times New Roman"/>
          <w:sz w:val="24"/>
          <w:szCs w:val="24"/>
        </w:rPr>
        <w:t xml:space="preserve">7 </w:t>
      </w:r>
      <w:r>
        <w:rPr>
          <w:rFonts w:hint="eastAsia" w:ascii="Times New Roman" w:hAnsi="Times New Roman" w:eastAsia="黑体" w:cs="Times New Roman"/>
          <w:sz w:val="24"/>
          <w:szCs w:val="24"/>
        </w:rPr>
        <w:t>第</w:t>
      </w:r>
      <w:r>
        <w:rPr>
          <w:rFonts w:hint="eastAsia" w:ascii="Times New Roman" w:hAnsi="Times New Roman" w:eastAsia="黑体" w:cs="Times New Roman"/>
          <w:i/>
          <w:iCs/>
          <w:sz w:val="24"/>
          <w:szCs w:val="24"/>
        </w:rPr>
        <w:t>y</w:t>
      </w:r>
      <w:r>
        <w:rPr>
          <w:rFonts w:hint="eastAsia" w:ascii="Times New Roman" w:hAnsi="Times New Roman" w:eastAsia="黑体" w:cs="Times New Roman"/>
          <w:sz w:val="24"/>
          <w:szCs w:val="24"/>
        </w:rPr>
        <w:t>年出行方式</w:t>
      </w:r>
      <w:r>
        <w:rPr>
          <w:rFonts w:hint="eastAsia" w:ascii="Times New Roman" w:hAnsi="Times New Roman" w:eastAsia="黑体" w:cs="Times New Roman"/>
          <w:i/>
          <w:iCs/>
          <w:sz w:val="24"/>
          <w:szCs w:val="24"/>
        </w:rPr>
        <w:t>k</w:t>
      </w:r>
      <w:r>
        <w:rPr>
          <w:rFonts w:hint="eastAsia" w:ascii="Times New Roman" w:hAnsi="Times New Roman" w:eastAsia="黑体" w:cs="Times New Roman"/>
          <w:sz w:val="24"/>
          <w:szCs w:val="24"/>
        </w:rPr>
        <w:t>的绿色出行次数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5C84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4BA36EF">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数据/参数名称</w:t>
            </w:r>
          </w:p>
        </w:tc>
        <w:tc>
          <w:tcPr>
            <w:tcW w:w="4148" w:type="dxa"/>
          </w:tcPr>
          <w:p w14:paraId="66DA3734">
            <w:pPr>
              <w:adjustRightInd w:val="0"/>
              <w:rPr>
                <w:rFonts w:ascii="Times New Roman" w:hAnsi="Times New Roman" w:eastAsia="宋体" w:cs="Times New Roman"/>
                <w:kern w:val="0"/>
                <w:sz w:val="24"/>
                <w:szCs w:val="24"/>
              </w:rPr>
            </w:pPr>
            <m:oMathPara>
              <m:oMath>
                <m:r>
                  <m:rPr/>
                  <w:rPr>
                    <w:rFonts w:ascii="Cambria Math" w:hAnsi="Cambria Math" w:eastAsia="宋体" w:cs="Times New Roman"/>
                    <w:kern w:val="0"/>
                    <w:sz w:val="24"/>
                    <w:szCs w:val="24"/>
                  </w:rPr>
                  <m:t>i</m:t>
                </m:r>
              </m:oMath>
            </m:oMathPara>
          </w:p>
        </w:tc>
      </w:tr>
      <w:tr w14:paraId="3DA2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699CBBD3">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单位</w:t>
            </w:r>
          </w:p>
        </w:tc>
        <w:tc>
          <w:tcPr>
            <w:tcW w:w="4148" w:type="dxa"/>
          </w:tcPr>
          <w:p w14:paraId="3CDE77AD">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次</w:t>
            </w:r>
          </w:p>
        </w:tc>
      </w:tr>
      <w:tr w14:paraId="6400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B472D3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应用的公式编号</w:t>
            </w:r>
          </w:p>
        </w:tc>
        <w:tc>
          <w:tcPr>
            <w:tcW w:w="4148" w:type="dxa"/>
          </w:tcPr>
          <w:p w14:paraId="449D5CDC">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1</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3</w:t>
            </w:r>
            <w:r>
              <w:rPr>
                <w:rFonts w:ascii="Times New Roman" w:hAnsi="Times New Roman" w:eastAsia="宋体" w:cs="Times New Roman"/>
                <w:kern w:val="0"/>
                <w:sz w:val="24"/>
                <w:szCs w:val="24"/>
              </w:rPr>
              <w:t>）</w:t>
            </w:r>
          </w:p>
        </w:tc>
      </w:tr>
      <w:tr w14:paraId="3C58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772EC07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数据描述</w:t>
            </w:r>
          </w:p>
        </w:tc>
        <w:tc>
          <w:tcPr>
            <w:tcW w:w="4148" w:type="dxa"/>
          </w:tcPr>
          <w:p w14:paraId="5799A4E9">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第</w:t>
            </w:r>
            <w:r>
              <w:rPr>
                <w:rFonts w:hint="eastAsia" w:ascii="Times New Roman" w:hAnsi="Times New Roman" w:eastAsia="宋体" w:cs="Times New Roman"/>
                <w:i/>
                <w:iCs/>
                <w:kern w:val="0"/>
                <w:sz w:val="24"/>
                <w:szCs w:val="24"/>
              </w:rPr>
              <w:t>y</w:t>
            </w:r>
            <w:r>
              <w:rPr>
                <w:rFonts w:hint="eastAsia" w:ascii="Times New Roman" w:hAnsi="Times New Roman" w:eastAsia="宋体" w:cs="Times New Roman"/>
                <w:kern w:val="0"/>
                <w:sz w:val="24"/>
                <w:szCs w:val="24"/>
              </w:rPr>
              <w:t>年出行方式</w:t>
            </w:r>
            <w:r>
              <w:rPr>
                <w:rFonts w:hint="eastAsia" w:ascii="Times New Roman" w:hAnsi="Times New Roman" w:eastAsia="宋体" w:cs="Times New Roman"/>
                <w:i/>
                <w:iCs/>
                <w:kern w:val="0"/>
                <w:sz w:val="24"/>
                <w:szCs w:val="24"/>
              </w:rPr>
              <w:t>k</w:t>
            </w:r>
            <w:r>
              <w:rPr>
                <w:rFonts w:hint="eastAsia" w:ascii="Times New Roman" w:hAnsi="Times New Roman" w:eastAsia="宋体" w:cs="Times New Roman"/>
                <w:kern w:val="0"/>
                <w:sz w:val="24"/>
                <w:szCs w:val="24"/>
              </w:rPr>
              <w:t>的绿色出行次数</w:t>
            </w:r>
          </w:p>
        </w:tc>
      </w:tr>
      <w:tr w14:paraId="0B87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86EEEDF">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所使用的数据来源</w:t>
            </w:r>
          </w:p>
        </w:tc>
        <w:tc>
          <w:tcPr>
            <w:tcW w:w="4148" w:type="dxa"/>
          </w:tcPr>
          <w:p w14:paraId="42CE9DC7">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碳普惠平台数据</w:t>
            </w:r>
          </w:p>
        </w:tc>
      </w:tr>
      <w:tr w14:paraId="04C2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7205B675">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数值</w:t>
            </w:r>
          </w:p>
        </w:tc>
        <w:tc>
          <w:tcPr>
            <w:tcW w:w="4148" w:type="dxa"/>
          </w:tcPr>
          <w:p w14:paraId="6035A32F">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33CC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725A12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测量方法和程序</w:t>
            </w:r>
          </w:p>
        </w:tc>
        <w:tc>
          <w:tcPr>
            <w:tcW w:w="4148" w:type="dxa"/>
          </w:tcPr>
          <w:p w14:paraId="69A32B9A">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妥善留存监测数据</w:t>
            </w:r>
          </w:p>
        </w:tc>
      </w:tr>
      <w:tr w14:paraId="5C67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EB3EDF8">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监测频次</w:t>
            </w:r>
          </w:p>
        </w:tc>
        <w:tc>
          <w:tcPr>
            <w:tcW w:w="4148" w:type="dxa"/>
          </w:tcPr>
          <w:p w14:paraId="67BD18A9">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实时监测</w:t>
            </w:r>
          </w:p>
        </w:tc>
      </w:tr>
      <w:tr w14:paraId="6BED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1B5023C3">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其他说明</w:t>
            </w:r>
          </w:p>
        </w:tc>
        <w:tc>
          <w:tcPr>
            <w:tcW w:w="4148" w:type="dxa"/>
          </w:tcPr>
          <w:p w14:paraId="6C78A8B5">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bl>
    <w:p w14:paraId="035C5CC1">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w:t>
      </w:r>
      <w:r>
        <w:rPr>
          <w:rFonts w:ascii="Times New Roman" w:hAnsi="Times New Roman" w:eastAsia="黑体" w:cs="Times New Roman"/>
          <w:sz w:val="24"/>
          <w:szCs w:val="24"/>
        </w:rPr>
        <w:t xml:space="preserve">8 </w:t>
      </w:r>
      <w:r>
        <w:rPr>
          <w:rFonts w:hint="eastAsia" w:ascii="Times New Roman" w:hAnsi="Times New Roman" w:eastAsia="黑体" w:cs="Times New Roman"/>
          <w:sz w:val="24"/>
          <w:szCs w:val="24"/>
        </w:rPr>
        <w:t>第</w:t>
      </w:r>
      <w:r>
        <w:rPr>
          <w:rFonts w:hint="eastAsia" w:ascii="Times New Roman" w:hAnsi="Times New Roman" w:eastAsia="黑体" w:cs="Times New Roman"/>
          <w:i/>
          <w:iCs/>
          <w:sz w:val="24"/>
          <w:szCs w:val="24"/>
        </w:rPr>
        <w:t>y</w:t>
      </w:r>
      <w:r>
        <w:rPr>
          <w:rFonts w:hint="eastAsia" w:ascii="Times New Roman" w:hAnsi="Times New Roman" w:eastAsia="黑体" w:cs="Times New Roman"/>
          <w:sz w:val="24"/>
          <w:szCs w:val="24"/>
        </w:rPr>
        <w:t>年第</w:t>
      </w:r>
      <w:r>
        <w:rPr>
          <w:rFonts w:hint="eastAsia" w:ascii="Times New Roman" w:hAnsi="Times New Roman" w:eastAsia="黑体" w:cs="Times New Roman"/>
          <w:i/>
          <w:iCs/>
          <w:sz w:val="24"/>
          <w:szCs w:val="24"/>
        </w:rPr>
        <w:t>i</w:t>
      </w:r>
      <w:r>
        <w:rPr>
          <w:rFonts w:hint="eastAsia" w:ascii="Times New Roman" w:hAnsi="Times New Roman" w:eastAsia="黑体" w:cs="Times New Roman"/>
          <w:sz w:val="24"/>
          <w:szCs w:val="24"/>
        </w:rPr>
        <w:t>次出行方式</w:t>
      </w:r>
      <w:r>
        <w:rPr>
          <w:rFonts w:hint="eastAsia" w:ascii="Times New Roman" w:hAnsi="Times New Roman" w:eastAsia="黑体" w:cs="Times New Roman"/>
          <w:i/>
          <w:iCs/>
          <w:sz w:val="24"/>
          <w:szCs w:val="24"/>
        </w:rPr>
        <w:t>k</w:t>
      </w:r>
      <w:r>
        <w:rPr>
          <w:rFonts w:hint="eastAsia" w:ascii="Times New Roman" w:hAnsi="Times New Roman" w:eastAsia="黑体" w:cs="Times New Roman"/>
          <w:sz w:val="24"/>
          <w:szCs w:val="24"/>
        </w:rPr>
        <w:t>的绿色出行活动水平</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44AA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95F029A">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数据/参数名称</w:t>
            </w:r>
          </w:p>
        </w:tc>
        <w:tc>
          <w:tcPr>
            <w:tcW w:w="4148" w:type="dxa"/>
          </w:tcPr>
          <w:p w14:paraId="1CF3810D">
            <w:pPr>
              <w:adjustRightInd w:val="0"/>
              <w:rPr>
                <w:rFonts w:ascii="宋体" w:hAnsi="宋体"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PD</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i,k,y</m:t>
                    </m:r>
                    <m:ctrlPr>
                      <w:rPr>
                        <w:rFonts w:ascii="Cambria Math" w:hAnsi="Cambria Math" w:eastAsia="宋体" w:cs="Times New Roman"/>
                        <w:i/>
                        <w:kern w:val="0"/>
                        <w:sz w:val="28"/>
                        <w:szCs w:val="28"/>
                      </w:rPr>
                    </m:ctrlPr>
                  </m:sub>
                </m:sSub>
              </m:oMath>
            </m:oMathPara>
          </w:p>
        </w:tc>
      </w:tr>
      <w:tr w14:paraId="1E8F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5BC5D537">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单位</w:t>
            </w:r>
          </w:p>
        </w:tc>
        <w:tc>
          <w:tcPr>
            <w:tcW w:w="4148" w:type="dxa"/>
          </w:tcPr>
          <w:p w14:paraId="4F9191B2">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PKM</w:t>
            </w:r>
          </w:p>
        </w:tc>
      </w:tr>
      <w:tr w14:paraId="698B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773EC774">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应用的公式编号</w:t>
            </w:r>
          </w:p>
        </w:tc>
        <w:tc>
          <w:tcPr>
            <w:tcW w:w="4148" w:type="dxa"/>
          </w:tcPr>
          <w:p w14:paraId="3E76AB05">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公式（3）</w:t>
            </w:r>
          </w:p>
        </w:tc>
      </w:tr>
      <w:tr w14:paraId="287C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11DCC5C">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数据描述</w:t>
            </w:r>
          </w:p>
        </w:tc>
        <w:tc>
          <w:tcPr>
            <w:tcW w:w="4148" w:type="dxa"/>
          </w:tcPr>
          <w:p w14:paraId="5F35A808">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第</w:t>
            </w:r>
            <w:r>
              <w:rPr>
                <w:rFonts w:hint="eastAsia" w:ascii="宋体" w:hAnsi="宋体" w:eastAsia="宋体" w:cs="Times New Roman"/>
                <w:i/>
                <w:iCs/>
                <w:kern w:val="0"/>
                <w:sz w:val="24"/>
                <w:szCs w:val="24"/>
              </w:rPr>
              <w:t>y</w:t>
            </w:r>
            <w:r>
              <w:rPr>
                <w:rFonts w:hint="eastAsia" w:ascii="宋体" w:hAnsi="宋体" w:eastAsia="宋体" w:cs="Times New Roman"/>
                <w:kern w:val="0"/>
                <w:sz w:val="24"/>
                <w:szCs w:val="24"/>
              </w:rPr>
              <w:t>年第</w:t>
            </w:r>
            <w:r>
              <w:rPr>
                <w:rFonts w:hint="eastAsia" w:ascii="宋体" w:hAnsi="宋体" w:eastAsia="宋体" w:cs="Times New Roman"/>
                <w:i/>
                <w:iCs/>
                <w:kern w:val="0"/>
                <w:sz w:val="24"/>
                <w:szCs w:val="24"/>
              </w:rPr>
              <w:t>i</w:t>
            </w:r>
            <w:r>
              <w:rPr>
                <w:rFonts w:hint="eastAsia" w:ascii="宋体" w:hAnsi="宋体" w:eastAsia="宋体" w:cs="Times New Roman"/>
                <w:kern w:val="0"/>
                <w:sz w:val="24"/>
                <w:szCs w:val="24"/>
              </w:rPr>
              <w:t>次出行方式</w:t>
            </w:r>
            <w:r>
              <w:rPr>
                <w:rFonts w:hint="eastAsia" w:ascii="宋体" w:hAnsi="宋体" w:eastAsia="宋体" w:cs="Times New Roman"/>
                <w:i/>
                <w:iCs/>
                <w:kern w:val="0"/>
                <w:sz w:val="24"/>
                <w:szCs w:val="24"/>
              </w:rPr>
              <w:t>k</w:t>
            </w:r>
            <w:r>
              <w:rPr>
                <w:rFonts w:hint="eastAsia" w:ascii="宋体" w:hAnsi="宋体" w:eastAsia="宋体" w:cs="Times New Roman"/>
                <w:kern w:val="0"/>
                <w:sz w:val="24"/>
                <w:szCs w:val="24"/>
              </w:rPr>
              <w:t>的绿色出行活动水平</w:t>
            </w:r>
          </w:p>
        </w:tc>
      </w:tr>
      <w:tr w14:paraId="4644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DF4F560">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所使用的数据来源</w:t>
            </w:r>
          </w:p>
        </w:tc>
        <w:tc>
          <w:tcPr>
            <w:tcW w:w="4148" w:type="dxa"/>
          </w:tcPr>
          <w:p w14:paraId="7976310C">
            <w:pPr>
              <w:adjustRightInd w:val="0"/>
              <w:rPr>
                <w:rFonts w:ascii="宋体" w:hAnsi="宋体" w:eastAsia="宋体" w:cs="Times New Roman"/>
                <w:kern w:val="0"/>
                <w:sz w:val="24"/>
                <w:szCs w:val="24"/>
              </w:rPr>
            </w:pPr>
            <w:r>
              <w:rPr>
                <w:rFonts w:hint="eastAsia" w:ascii="Times New Roman" w:hAnsi="Times New Roman" w:eastAsia="宋体" w:cs="Times New Roman"/>
                <w:kern w:val="0"/>
                <w:sz w:val="24"/>
                <w:szCs w:val="24"/>
              </w:rPr>
              <w:t>碳普惠平台数据</w:t>
            </w:r>
          </w:p>
        </w:tc>
      </w:tr>
      <w:tr w14:paraId="2529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5148351C">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数值</w:t>
            </w:r>
          </w:p>
        </w:tc>
        <w:tc>
          <w:tcPr>
            <w:tcW w:w="4148" w:type="dxa"/>
          </w:tcPr>
          <w:p w14:paraId="5A2A55C7">
            <w:pPr>
              <w:adjustRightInd w:val="0"/>
              <w:rPr>
                <w:rFonts w:ascii="宋体" w:hAnsi="宋体" w:eastAsia="宋体" w:cs="Times New Roman"/>
                <w:kern w:val="0"/>
                <w:sz w:val="24"/>
                <w:szCs w:val="24"/>
              </w:rPr>
            </w:pPr>
            <w:r>
              <w:rPr>
                <w:rFonts w:hint="eastAsia" w:ascii="Times New Roman" w:hAnsi="Times New Roman" w:eastAsia="宋体" w:cs="Times New Roman"/>
                <w:kern w:val="0"/>
                <w:sz w:val="24"/>
                <w:szCs w:val="24"/>
              </w:rPr>
              <w:t>/</w:t>
            </w:r>
          </w:p>
        </w:tc>
      </w:tr>
      <w:tr w14:paraId="333B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4651A070">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测量方法和程序</w:t>
            </w:r>
          </w:p>
        </w:tc>
        <w:tc>
          <w:tcPr>
            <w:tcW w:w="4148" w:type="dxa"/>
          </w:tcPr>
          <w:p w14:paraId="4484BC62">
            <w:pPr>
              <w:adjustRightInd w:val="0"/>
              <w:rPr>
                <w:rFonts w:ascii="宋体" w:hAnsi="宋体" w:eastAsia="宋体" w:cs="Times New Roman"/>
                <w:kern w:val="0"/>
                <w:sz w:val="24"/>
                <w:szCs w:val="24"/>
              </w:rPr>
            </w:pPr>
            <w:r>
              <w:rPr>
                <w:rFonts w:ascii="Times New Roman" w:hAnsi="Times New Roman" w:eastAsia="宋体" w:cs="Times New Roman"/>
                <w:kern w:val="0"/>
                <w:sz w:val="24"/>
                <w:szCs w:val="24"/>
              </w:rPr>
              <w:t>妥善留存监测数据</w:t>
            </w:r>
          </w:p>
        </w:tc>
      </w:tr>
      <w:tr w14:paraId="17D6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8DA08D7">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监测频次</w:t>
            </w:r>
          </w:p>
        </w:tc>
        <w:tc>
          <w:tcPr>
            <w:tcW w:w="4148" w:type="dxa"/>
          </w:tcPr>
          <w:p w14:paraId="7F91CF9B">
            <w:pPr>
              <w:adjustRightInd w:val="0"/>
              <w:rPr>
                <w:rFonts w:ascii="宋体" w:hAnsi="宋体" w:eastAsia="宋体" w:cs="Times New Roman"/>
                <w:kern w:val="0"/>
                <w:sz w:val="24"/>
                <w:szCs w:val="24"/>
              </w:rPr>
            </w:pPr>
            <w:r>
              <w:rPr>
                <w:rFonts w:ascii="Times New Roman" w:hAnsi="Times New Roman" w:eastAsia="宋体" w:cs="Times New Roman"/>
                <w:kern w:val="0"/>
                <w:sz w:val="24"/>
                <w:szCs w:val="24"/>
              </w:rPr>
              <w:t>实时监测</w:t>
            </w:r>
          </w:p>
        </w:tc>
      </w:tr>
      <w:tr w14:paraId="369C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91FC1BC">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其他说明</w:t>
            </w:r>
          </w:p>
        </w:tc>
        <w:tc>
          <w:tcPr>
            <w:tcW w:w="4148" w:type="dxa"/>
          </w:tcPr>
          <w:p w14:paraId="72580AA2">
            <w:pPr>
              <w:adjustRightInd w:val="0"/>
              <w:rPr>
                <w:rFonts w:ascii="宋体" w:hAnsi="宋体" w:eastAsia="宋体" w:cs="Times New Roman"/>
                <w:kern w:val="0"/>
                <w:sz w:val="24"/>
                <w:szCs w:val="24"/>
              </w:rPr>
            </w:pPr>
            <w:r>
              <w:rPr>
                <w:rFonts w:hint="eastAsia" w:ascii="Times New Roman" w:hAnsi="Times New Roman" w:eastAsia="宋体" w:cs="Times New Roman"/>
                <w:kern w:val="0"/>
                <w:sz w:val="24"/>
                <w:szCs w:val="24"/>
              </w:rPr>
              <w:t>/</w:t>
            </w:r>
          </w:p>
        </w:tc>
      </w:tr>
    </w:tbl>
    <w:p w14:paraId="3924B82F">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8</w:t>
      </w:r>
      <w:r>
        <w:rPr>
          <w:rFonts w:ascii="Times New Roman" w:hAnsi="Times New Roman" w:eastAsia="宋体" w:cs="Times New Roman"/>
          <w:sz w:val="28"/>
          <w:szCs w:val="28"/>
        </w:rPr>
        <w:t xml:space="preserve">.3 </w:t>
      </w:r>
      <w:r>
        <w:rPr>
          <w:rFonts w:hint="eastAsia" w:ascii="Times New Roman" w:hAnsi="Times New Roman" w:eastAsia="宋体" w:cs="Times New Roman"/>
          <w:sz w:val="28"/>
          <w:szCs w:val="28"/>
        </w:rPr>
        <w:t>减排场景实施及监测的数据管理要求</w:t>
      </w:r>
    </w:p>
    <w:p w14:paraId="50BAB0D9">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8</w:t>
      </w:r>
      <w:r>
        <w:rPr>
          <w:rFonts w:ascii="Times New Roman" w:hAnsi="Times New Roman" w:eastAsia="宋体" w:cs="Times New Roman"/>
          <w:sz w:val="28"/>
          <w:szCs w:val="28"/>
        </w:rPr>
        <w:t>.3.1</w:t>
      </w:r>
      <w:r>
        <w:rPr>
          <w:rFonts w:hint="eastAsia" w:ascii="Times New Roman" w:hAnsi="Times New Roman" w:eastAsia="宋体" w:cs="Times New Roman"/>
          <w:sz w:val="28"/>
          <w:szCs w:val="28"/>
        </w:rPr>
        <w:t>本方法学对应的南京碳普惠管理单位应确保绿色出行数据采集合法合规，在用户授权范围内收集、处理数据，严格保护个人信息安全，禁止未经许可向第三方提供数据。</w:t>
      </w:r>
    </w:p>
    <w:p w14:paraId="5DCF616A">
      <w:pPr>
        <w:adjustRightInd w:val="0"/>
        <w:snapToGrid w:val="0"/>
        <w:spacing w:line="360" w:lineRule="auto"/>
        <w:ind w:firstLine="560" w:firstLineChars="200"/>
        <w:rPr>
          <w:rFonts w:ascii="Times New Roman" w:hAnsi="Times New Roman" w:eastAsia="宋体" w:cs="Times New Roman"/>
          <w:sz w:val="28"/>
          <w:szCs w:val="28"/>
        </w:rPr>
        <w:sectPr>
          <w:footerReference r:id="rId4" w:type="default"/>
          <w:pgSz w:w="11906" w:h="16838"/>
          <w:pgMar w:top="1440" w:right="1800" w:bottom="1440" w:left="1800" w:header="851" w:footer="992" w:gutter="0"/>
          <w:pgNumType w:start="1"/>
          <w:cols w:space="425" w:num="1"/>
          <w:docGrid w:type="lines" w:linePitch="312" w:charSpace="0"/>
        </w:sectPr>
      </w:pPr>
      <w:r>
        <w:rPr>
          <w:rFonts w:ascii="Times New Roman" w:hAnsi="Times New Roman" w:eastAsia="宋体" w:cs="Times New Roman"/>
          <w:sz w:val="28"/>
          <w:szCs w:val="28"/>
        </w:rPr>
        <w:t>8.3.2</w:t>
      </w:r>
      <w:bookmarkStart w:id="112" w:name="_GoBack"/>
      <w:r>
        <w:rPr>
          <w:rFonts w:hint="eastAsia" w:ascii="Times New Roman" w:hAnsi="Times New Roman" w:eastAsia="宋体" w:cs="Times New Roman"/>
          <w:sz w:val="28"/>
          <w:szCs w:val="28"/>
        </w:rPr>
        <w:t>本</w:t>
      </w:r>
      <w:bookmarkEnd w:id="112"/>
      <w:r>
        <w:rPr>
          <w:rFonts w:hint="eastAsia" w:ascii="Times New Roman" w:hAnsi="Times New Roman" w:eastAsia="宋体" w:cs="Times New Roman"/>
          <w:sz w:val="28"/>
          <w:szCs w:val="28"/>
        </w:rPr>
        <w:t>方法学对应的碳普惠数据需按用户及出行订单独立记录，确保数据真实、唯一、可追溯，并采用技术手段防止数据篡改或重复计算。</w:t>
      </w:r>
    </w:p>
    <w:bookmarkEnd w:id="105"/>
    <w:bookmarkEnd w:id="106"/>
    <w:p w14:paraId="4D097C5A">
      <w:pPr>
        <w:keepNext/>
        <w:keepLines/>
        <w:widowControl/>
        <w:spacing w:after="156" w:afterLines="50" w:line="560" w:lineRule="exact"/>
        <w:ind w:firstLine="560" w:firstLineChars="200"/>
        <w:jc w:val="center"/>
        <w:outlineLvl w:val="1"/>
        <w:rPr>
          <w:rFonts w:ascii="Times New Roman" w:hAnsi="Times New Roman" w:eastAsia="黑体" w:cs="Times New Roman"/>
          <w:bCs/>
          <w:sz w:val="28"/>
          <w:szCs w:val="28"/>
        </w:rPr>
      </w:pPr>
      <w:bookmarkStart w:id="110" w:name="_Toc232172244"/>
      <w:r>
        <w:rPr>
          <w:rFonts w:ascii="Times New Roman" w:hAnsi="Times New Roman" w:eastAsia="黑体" w:cs="Times New Roman"/>
          <w:bCs/>
          <w:sz w:val="28"/>
          <w:szCs w:val="28"/>
        </w:rPr>
        <w:t>附 录 A</w:t>
      </w:r>
      <w:bookmarkEnd w:id="110"/>
    </w:p>
    <w:p w14:paraId="5D40A107">
      <w:pPr>
        <w:keepNext/>
        <w:keepLines/>
        <w:widowControl/>
        <w:spacing w:after="156" w:afterLines="50" w:line="560" w:lineRule="exact"/>
        <w:ind w:firstLine="560" w:firstLineChars="200"/>
        <w:jc w:val="center"/>
        <w:rPr>
          <w:rFonts w:ascii="黑体" w:hAnsi="黑体" w:eastAsia="黑体" w:cs="Times New Roman"/>
          <w:bCs/>
          <w:sz w:val="28"/>
          <w:szCs w:val="28"/>
        </w:rPr>
      </w:pPr>
      <w:r>
        <w:rPr>
          <w:rFonts w:hint="eastAsia" w:ascii="黑体" w:hAnsi="黑体" w:eastAsia="黑体" w:cs="Times New Roman"/>
          <w:bCs/>
          <w:sz w:val="28"/>
          <w:szCs w:val="28"/>
        </w:rPr>
        <w:t>不同出行方式碳排放因子</w:t>
      </w:r>
    </w:p>
    <w:p w14:paraId="28C0A376">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表A</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不同出行方式碳排放因子缺省值</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0FCE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4BE7C37">
            <w:pPr>
              <w:adjustRightInd w:val="0"/>
              <w:snapToGrid w:val="0"/>
              <w:jc w:val="center"/>
              <w:rPr>
                <w:rFonts w:ascii="Times New Roman" w:hAnsi="Times New Roman" w:cs="Times New Roman" w:eastAsiaTheme="minorEastAsia"/>
                <w:sz w:val="24"/>
                <w:szCs w:val="24"/>
              </w:rPr>
            </w:pPr>
            <w:bookmarkStart w:id="111" w:name="_Hlk232171747"/>
            <w:r>
              <w:rPr>
                <w:rFonts w:ascii="Times New Roman" w:hAnsi="Times New Roman" w:cs="Times New Roman" w:eastAsiaTheme="minorEastAsia"/>
                <w:sz w:val="24"/>
                <w:szCs w:val="24"/>
              </w:rPr>
              <w:t>类型</w:t>
            </w:r>
          </w:p>
        </w:tc>
        <w:tc>
          <w:tcPr>
            <w:tcW w:w="4148" w:type="dxa"/>
            <w:vAlign w:val="center"/>
          </w:tcPr>
          <w:p w14:paraId="3AB012D0">
            <w:pPr>
              <w:adjustRightInd w:val="0"/>
              <w:snapToGrid w:val="0"/>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排放因子（kgCO</w:t>
            </w:r>
            <w:r>
              <w:rPr>
                <w:rFonts w:ascii="Times New Roman" w:hAnsi="Times New Roman" w:cs="Times New Roman" w:eastAsiaTheme="minorEastAsia"/>
                <w:sz w:val="24"/>
                <w:szCs w:val="24"/>
                <w:vertAlign w:val="subscript"/>
              </w:rPr>
              <w:t>2</w:t>
            </w:r>
            <w:r>
              <w:rPr>
                <w:rFonts w:ascii="Times New Roman" w:hAnsi="Times New Roman" w:cs="Times New Roman" w:eastAsiaTheme="minorEastAsia"/>
                <w:sz w:val="24"/>
                <w:szCs w:val="24"/>
              </w:rPr>
              <w:t>/PKM）</w:t>
            </w:r>
          </w:p>
        </w:tc>
      </w:tr>
      <w:tr w14:paraId="1B2C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7FD0D193">
            <w:pPr>
              <w:adjustRightInd w:val="0"/>
              <w:snapToGrid w:val="0"/>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机动化出行平均</w:t>
            </w:r>
          </w:p>
        </w:tc>
        <w:tc>
          <w:tcPr>
            <w:tcW w:w="4148" w:type="dxa"/>
            <w:vAlign w:val="center"/>
          </w:tcPr>
          <w:p w14:paraId="0904E0AD">
            <w:pPr>
              <w:adjustRightInd w:val="0"/>
              <w:snapToGrid w:val="0"/>
              <w:jc w:val="center"/>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rPr>
              <w:t>0</w:t>
            </w:r>
            <w:r>
              <w:rPr>
                <w:rFonts w:ascii="Times New Roman" w:hAnsi="Times New Roman" w:cs="Times New Roman" w:eastAsiaTheme="minorEastAsia"/>
                <w:sz w:val="24"/>
                <w:szCs w:val="24"/>
              </w:rPr>
              <w:t>.0765</w:t>
            </w:r>
          </w:p>
        </w:tc>
      </w:tr>
      <w:tr w14:paraId="24D6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9342C1B">
            <w:pPr>
              <w:adjustRightInd w:val="0"/>
              <w:snapToGrid w:val="0"/>
              <w:jc w:val="center"/>
              <w:rPr>
                <w:rFonts w:ascii="Times New Roman" w:hAnsi="Times New Roman" w:cs="Times New Roman" w:eastAsiaTheme="minorEastAsia"/>
                <w:sz w:val="24"/>
                <w:szCs w:val="24"/>
              </w:rPr>
            </w:pPr>
            <w:r>
              <w:rPr>
                <w:rFonts w:hint="eastAsia" w:ascii="Times New Roman" w:hAnsi="Times New Roman" w:cs="Times New Roman"/>
                <w:sz w:val="24"/>
                <w:szCs w:val="24"/>
                <w:lang w:eastAsia="zh-CN"/>
              </w:rPr>
              <w:t>公共汽车</w:t>
            </w:r>
          </w:p>
        </w:tc>
        <w:tc>
          <w:tcPr>
            <w:tcW w:w="4148" w:type="dxa"/>
            <w:vAlign w:val="center"/>
          </w:tcPr>
          <w:p w14:paraId="518CE265">
            <w:pPr>
              <w:adjustRightInd w:val="0"/>
              <w:snapToGrid w:val="0"/>
              <w:jc w:val="center"/>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rPr>
              <w:t>0</w:t>
            </w:r>
            <w:r>
              <w:rPr>
                <w:rFonts w:ascii="Times New Roman" w:hAnsi="Times New Roman" w:cs="Times New Roman" w:eastAsiaTheme="minorEastAsia"/>
                <w:sz w:val="24"/>
                <w:szCs w:val="24"/>
              </w:rPr>
              <w:t>.0622</w:t>
            </w:r>
          </w:p>
        </w:tc>
      </w:tr>
      <w:tr w14:paraId="6BF9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D2ABAE9">
            <w:pPr>
              <w:adjustRightInd w:val="0"/>
              <w:snapToGrid w:val="0"/>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城市轨道交通</w:t>
            </w:r>
          </w:p>
        </w:tc>
        <w:tc>
          <w:tcPr>
            <w:tcW w:w="4148" w:type="dxa"/>
            <w:vAlign w:val="center"/>
          </w:tcPr>
          <w:p w14:paraId="2B5160C0">
            <w:pPr>
              <w:adjustRightInd w:val="0"/>
              <w:snapToGrid w:val="0"/>
              <w:jc w:val="center"/>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rPr>
              <w:t>0</w:t>
            </w:r>
            <w:r>
              <w:rPr>
                <w:rFonts w:ascii="Times New Roman" w:hAnsi="Times New Roman" w:cs="Times New Roman" w:eastAsiaTheme="minorEastAsia"/>
                <w:sz w:val="24"/>
                <w:szCs w:val="24"/>
              </w:rPr>
              <w:t>.0332</w:t>
            </w:r>
          </w:p>
        </w:tc>
      </w:tr>
      <w:tr w14:paraId="04D6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4CCE288">
            <w:pPr>
              <w:adjustRightInd w:val="0"/>
              <w:snapToGrid w:val="0"/>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出租车</w:t>
            </w:r>
          </w:p>
        </w:tc>
        <w:tc>
          <w:tcPr>
            <w:tcW w:w="4148" w:type="dxa"/>
            <w:vAlign w:val="center"/>
          </w:tcPr>
          <w:p w14:paraId="431B2E95">
            <w:pPr>
              <w:adjustRightInd w:val="0"/>
              <w:snapToGrid w:val="0"/>
              <w:jc w:val="center"/>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rPr>
              <w:t>0</w:t>
            </w:r>
            <w:r>
              <w:rPr>
                <w:rFonts w:ascii="Times New Roman" w:hAnsi="Times New Roman" w:cs="Times New Roman" w:eastAsiaTheme="minorEastAsia"/>
                <w:sz w:val="24"/>
                <w:szCs w:val="24"/>
              </w:rPr>
              <w:t>.0884</w:t>
            </w:r>
          </w:p>
        </w:tc>
      </w:tr>
      <w:tr w14:paraId="3C1F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434D8EC2">
            <w:pPr>
              <w:adjustRightInd w:val="0"/>
              <w:snapToGrid w:val="0"/>
              <w:jc w:val="center"/>
              <w:rPr>
                <w:rFonts w:ascii="Times New Roman" w:hAnsi="Times New Roman" w:cs="Times New Roman" w:eastAsiaTheme="minorEastAsia"/>
                <w:sz w:val="24"/>
                <w:szCs w:val="24"/>
              </w:rPr>
            </w:pPr>
            <w:r>
              <w:rPr>
                <w:rFonts w:ascii="Times New Roman" w:hAnsi="Times New Roman" w:cs="Times New Roman" w:eastAsiaTheme="minorEastAsia"/>
                <w:sz w:val="24"/>
                <w:szCs w:val="24"/>
              </w:rPr>
              <w:t>私人小汽车</w:t>
            </w:r>
          </w:p>
        </w:tc>
        <w:tc>
          <w:tcPr>
            <w:tcW w:w="4148" w:type="dxa"/>
            <w:vAlign w:val="center"/>
          </w:tcPr>
          <w:p w14:paraId="116A7535">
            <w:pPr>
              <w:adjustRightInd w:val="0"/>
              <w:snapToGrid w:val="0"/>
              <w:jc w:val="center"/>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rPr>
              <w:t>0</w:t>
            </w:r>
            <w:r>
              <w:rPr>
                <w:rFonts w:ascii="Times New Roman" w:hAnsi="Times New Roman" w:cs="Times New Roman" w:eastAsiaTheme="minorEastAsia"/>
                <w:sz w:val="24"/>
                <w:szCs w:val="24"/>
              </w:rPr>
              <w:t>.117</w:t>
            </w:r>
          </w:p>
        </w:tc>
      </w:tr>
      <w:tr w14:paraId="0051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vAlign w:val="center"/>
          </w:tcPr>
          <w:p w14:paraId="77407EE5">
            <w:pPr>
              <w:adjustRightInd w:val="0"/>
              <w:snapToGrid w:val="0"/>
              <w:jc w:val="left"/>
              <w:rPr>
                <w:rFonts w:ascii="Times New Roman" w:hAnsi="Times New Roman" w:cs="Times New Roman" w:eastAsiaTheme="minorEastAsia"/>
                <w:sz w:val="24"/>
                <w:szCs w:val="24"/>
              </w:rPr>
            </w:pPr>
            <w:r>
              <w:rPr>
                <w:rFonts w:ascii="Times New Roman" w:hAnsi="Times New Roman" w:cs="Times New Roman" w:eastAsiaTheme="minorEastAsia"/>
                <w:sz w:val="24"/>
                <w:szCs w:val="24"/>
              </w:rPr>
              <w:t>注：基于2023年南京市相关统计数据得出，如有更新，另行发布</w:t>
            </w:r>
          </w:p>
        </w:tc>
      </w:tr>
      <w:bookmarkEnd w:id="111"/>
    </w:tbl>
    <w:p w14:paraId="40390A34">
      <w:pPr>
        <w:adjustRightInd w:val="0"/>
        <w:snapToGrid w:val="0"/>
        <w:spacing w:line="360" w:lineRule="auto"/>
        <w:ind w:firstLine="560" w:firstLineChars="200"/>
        <w:rPr>
          <w:rFonts w:ascii="Times New Roman" w:hAnsi="Times New Roman" w:cs="Times New Roman"/>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C5C2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055D5">
    <w:pPr>
      <w:pStyle w:val="7"/>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2540</wp:posOffset>
              </wp:positionV>
              <wp:extent cx="416560" cy="257175"/>
              <wp:effectExtent l="0" t="0" r="2540" b="9525"/>
              <wp:wrapNone/>
              <wp:docPr id="835629759" name="文本框 835629759"/>
              <wp:cNvGraphicFramePr/>
              <a:graphic xmlns:a="http://schemas.openxmlformats.org/drawingml/2006/main">
                <a:graphicData uri="http://schemas.microsoft.com/office/word/2010/wordprocessingShape">
                  <wps:wsp>
                    <wps:cNvSpPr txBox="1"/>
                    <wps:spPr>
                      <a:xfrm>
                        <a:off x="0" y="0"/>
                        <a:ext cx="416560"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F1D43">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2pt;height:20.25pt;width:32.8pt;mso-position-horizontal:right;mso-position-horizontal-relative:margin;z-index:251659264;mso-width-relative:page;mso-height-relative:page;" filled="f" stroked="f" coordsize="21600,21600" o:gfxdata="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GrBuTfSAAAAAwEAAA8AAAAAAAAAAQAgAAAAIgAAAGRycy9kb3ducmV2&#10;LnhtbFBLAQIUABQAAAAIAIdO4kB4XsLPOwIAAGUEAAAOAAAAAAAAAAEAIAAAACEBAABkcnMvZTJv&#10;RG9jLnhtbFBLBQYAAAAABgAGAFkBAADOBQAAAAA=&#10;">
              <v:fill on="f" focussize="0,0"/>
              <v:stroke on="f" weight="0.5pt"/>
              <v:imagedata o:title=""/>
              <o:lock v:ext="edit" aspectratio="f"/>
              <v:textbox inset="0mm,0mm,0mm,0mm">
                <w:txbxContent>
                  <w:p w14:paraId="41BF1D43">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C2513E"/>
    <w:rsid w:val="0001640C"/>
    <w:rsid w:val="000A0E6C"/>
    <w:rsid w:val="000B3B67"/>
    <w:rsid w:val="000D3695"/>
    <w:rsid w:val="000E0C6B"/>
    <w:rsid w:val="000E21A3"/>
    <w:rsid w:val="001173C9"/>
    <w:rsid w:val="00141A7A"/>
    <w:rsid w:val="00144DC3"/>
    <w:rsid w:val="00147F16"/>
    <w:rsid w:val="00173F29"/>
    <w:rsid w:val="00195E5D"/>
    <w:rsid w:val="001B19EC"/>
    <w:rsid w:val="001B40C0"/>
    <w:rsid w:val="001D55D9"/>
    <w:rsid w:val="001E56AD"/>
    <w:rsid w:val="001F69A5"/>
    <w:rsid w:val="00253E69"/>
    <w:rsid w:val="00256B5B"/>
    <w:rsid w:val="00257C0B"/>
    <w:rsid w:val="002A29B7"/>
    <w:rsid w:val="002B3104"/>
    <w:rsid w:val="002D39DB"/>
    <w:rsid w:val="002F2A28"/>
    <w:rsid w:val="00362AA8"/>
    <w:rsid w:val="00392612"/>
    <w:rsid w:val="003A318B"/>
    <w:rsid w:val="003C3860"/>
    <w:rsid w:val="003D57A4"/>
    <w:rsid w:val="003E0E91"/>
    <w:rsid w:val="00417561"/>
    <w:rsid w:val="00421471"/>
    <w:rsid w:val="004215E8"/>
    <w:rsid w:val="004245E0"/>
    <w:rsid w:val="00424B26"/>
    <w:rsid w:val="00473538"/>
    <w:rsid w:val="0049592E"/>
    <w:rsid w:val="004A2EC5"/>
    <w:rsid w:val="004B59B6"/>
    <w:rsid w:val="004D68B1"/>
    <w:rsid w:val="004E0C7A"/>
    <w:rsid w:val="005567E7"/>
    <w:rsid w:val="005A47D0"/>
    <w:rsid w:val="005C002F"/>
    <w:rsid w:val="005C1EBE"/>
    <w:rsid w:val="005D1A72"/>
    <w:rsid w:val="005D543F"/>
    <w:rsid w:val="005E19B2"/>
    <w:rsid w:val="00610E63"/>
    <w:rsid w:val="0062075C"/>
    <w:rsid w:val="00627FB0"/>
    <w:rsid w:val="00636F59"/>
    <w:rsid w:val="006571CE"/>
    <w:rsid w:val="006577AA"/>
    <w:rsid w:val="00661BD6"/>
    <w:rsid w:val="006862CD"/>
    <w:rsid w:val="006964B4"/>
    <w:rsid w:val="006A3F52"/>
    <w:rsid w:val="006B116A"/>
    <w:rsid w:val="006E2E24"/>
    <w:rsid w:val="006F3273"/>
    <w:rsid w:val="006F4F24"/>
    <w:rsid w:val="00702788"/>
    <w:rsid w:val="007204B1"/>
    <w:rsid w:val="007218F8"/>
    <w:rsid w:val="00731FE8"/>
    <w:rsid w:val="00736CEF"/>
    <w:rsid w:val="00785BCC"/>
    <w:rsid w:val="007F23A8"/>
    <w:rsid w:val="00833594"/>
    <w:rsid w:val="00852535"/>
    <w:rsid w:val="00883B2D"/>
    <w:rsid w:val="008870F0"/>
    <w:rsid w:val="00890BF8"/>
    <w:rsid w:val="008A5E9C"/>
    <w:rsid w:val="008C3350"/>
    <w:rsid w:val="008C5EB2"/>
    <w:rsid w:val="008C6FC5"/>
    <w:rsid w:val="00907BDD"/>
    <w:rsid w:val="009512C1"/>
    <w:rsid w:val="009668F8"/>
    <w:rsid w:val="009770EF"/>
    <w:rsid w:val="00990171"/>
    <w:rsid w:val="009C063C"/>
    <w:rsid w:val="009D0FAB"/>
    <w:rsid w:val="00A05FED"/>
    <w:rsid w:val="00A164A4"/>
    <w:rsid w:val="00A26BD5"/>
    <w:rsid w:val="00A45029"/>
    <w:rsid w:val="00A54297"/>
    <w:rsid w:val="00A7645C"/>
    <w:rsid w:val="00A94CF3"/>
    <w:rsid w:val="00AB3836"/>
    <w:rsid w:val="00AB692D"/>
    <w:rsid w:val="00AC6131"/>
    <w:rsid w:val="00AD4283"/>
    <w:rsid w:val="00AD7C39"/>
    <w:rsid w:val="00AE442D"/>
    <w:rsid w:val="00B04326"/>
    <w:rsid w:val="00B06E1E"/>
    <w:rsid w:val="00B1163A"/>
    <w:rsid w:val="00B1386C"/>
    <w:rsid w:val="00B222D9"/>
    <w:rsid w:val="00B42F47"/>
    <w:rsid w:val="00B66EB2"/>
    <w:rsid w:val="00BC0EFC"/>
    <w:rsid w:val="00BE0D0A"/>
    <w:rsid w:val="00C04301"/>
    <w:rsid w:val="00C22A15"/>
    <w:rsid w:val="00C46567"/>
    <w:rsid w:val="00C7035A"/>
    <w:rsid w:val="00CB512F"/>
    <w:rsid w:val="00CC064B"/>
    <w:rsid w:val="00D03672"/>
    <w:rsid w:val="00D10156"/>
    <w:rsid w:val="00D32C43"/>
    <w:rsid w:val="00D33E27"/>
    <w:rsid w:val="00D35718"/>
    <w:rsid w:val="00D56C89"/>
    <w:rsid w:val="00D81CED"/>
    <w:rsid w:val="00D8740B"/>
    <w:rsid w:val="00DA797D"/>
    <w:rsid w:val="00DB22B2"/>
    <w:rsid w:val="00DC5837"/>
    <w:rsid w:val="00DD3BEB"/>
    <w:rsid w:val="00E06C44"/>
    <w:rsid w:val="00E244E6"/>
    <w:rsid w:val="00E37E07"/>
    <w:rsid w:val="00E64530"/>
    <w:rsid w:val="00E82619"/>
    <w:rsid w:val="00E92800"/>
    <w:rsid w:val="00EC19C6"/>
    <w:rsid w:val="00ED576F"/>
    <w:rsid w:val="00F00C29"/>
    <w:rsid w:val="00F34E30"/>
    <w:rsid w:val="00F533CD"/>
    <w:rsid w:val="00F538B3"/>
    <w:rsid w:val="00F65AC9"/>
    <w:rsid w:val="00F6657A"/>
    <w:rsid w:val="00FA3780"/>
    <w:rsid w:val="00FC228B"/>
    <w:rsid w:val="049B6D87"/>
    <w:rsid w:val="04B46381"/>
    <w:rsid w:val="057C3A91"/>
    <w:rsid w:val="0BB63833"/>
    <w:rsid w:val="0BB96A3B"/>
    <w:rsid w:val="1089441B"/>
    <w:rsid w:val="139A356D"/>
    <w:rsid w:val="1ECD6A56"/>
    <w:rsid w:val="36912B9C"/>
    <w:rsid w:val="3A9E7716"/>
    <w:rsid w:val="3DF93C60"/>
    <w:rsid w:val="41D37CA5"/>
    <w:rsid w:val="47E825C8"/>
    <w:rsid w:val="490235D4"/>
    <w:rsid w:val="4BFA19A2"/>
    <w:rsid w:val="4C596BF4"/>
    <w:rsid w:val="50BD60FC"/>
    <w:rsid w:val="59362CEA"/>
    <w:rsid w:val="5CF27722"/>
    <w:rsid w:val="64C2513E"/>
    <w:rsid w:val="6614022E"/>
    <w:rsid w:val="6634662B"/>
    <w:rsid w:val="68A5389A"/>
    <w:rsid w:val="6A1862EE"/>
    <w:rsid w:val="6C6679D0"/>
    <w:rsid w:val="73D13110"/>
    <w:rsid w:val="7535308B"/>
  </w:rsids>
  <m:mathPr>
    <m:mathFont m:val="Cambria Math"/>
    <m:brkBin m:val="before"/>
    <m:brkBinSub m:val="--"/>
    <m:smallFrac m:val="0"/>
    <m:dispDef/>
    <m:lMargin m:val="0"/>
    <m:rMargin m:val="0"/>
    <m:defJc m:val="centerGroup"/>
    <m:wrapIndent m:val="1440"/>
    <m:intLim m:val="undOvr"/>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outlineLvl w:val="2"/>
    </w:pPr>
    <w:rPr>
      <w:rFonts w:eastAsia="黑体"/>
      <w:bCs/>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2"/>
    <w:qFormat/>
    <w:uiPriority w:val="0"/>
    <w:pPr>
      <w:jc w:val="left"/>
    </w:pPr>
  </w:style>
  <w:style w:type="paragraph" w:styleId="5">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6">
    <w:name w:val="Date"/>
    <w:basedOn w:val="1"/>
    <w:next w:val="1"/>
    <w:link w:val="19"/>
    <w:qFormat/>
    <w:uiPriority w:val="0"/>
    <w:pPr>
      <w:ind w:left="100" w:leftChars="25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autoRedefine/>
    <w:qFormat/>
    <w:uiPriority w:val="39"/>
    <w:pPr>
      <w:tabs>
        <w:tab w:val="right" w:leader="dot" w:pos="8296"/>
      </w:tabs>
      <w:jc w:val="center"/>
    </w:pPr>
    <w:rPr>
      <w:rFonts w:ascii="黑体" w:hAnsi="黑体" w:eastAsia="黑体"/>
      <w:sz w:val="32"/>
      <w:szCs w:val="32"/>
    </w:rPr>
  </w:style>
  <w:style w:type="paragraph" w:styleId="10">
    <w:name w:val="toc 2"/>
    <w:basedOn w:val="1"/>
    <w:next w:val="1"/>
    <w:autoRedefine/>
    <w:qFormat/>
    <w:uiPriority w:val="39"/>
    <w:pPr>
      <w:tabs>
        <w:tab w:val="right" w:leader="dot" w:pos="8306"/>
      </w:tabs>
      <w:ind w:left="420" w:leftChars="200"/>
    </w:pPr>
    <w:rPr>
      <w:rFonts w:ascii="Times New Roman" w:hAnsi="Times New Roman" w:eastAsia="黑体" w:cs="Times New Roman"/>
      <w:bCs/>
      <w:sz w:val="28"/>
      <w:szCs w:val="28"/>
    </w:rPr>
  </w:style>
  <w:style w:type="paragraph" w:styleId="11">
    <w:name w:val="annotation subject"/>
    <w:basedOn w:val="4"/>
    <w:next w:val="4"/>
    <w:link w:val="23"/>
    <w:qFormat/>
    <w:uiPriority w:val="0"/>
    <w:rPr>
      <w:b/>
      <w:bCs/>
    </w:rPr>
  </w:style>
  <w:style w:type="table" w:styleId="13">
    <w:name w:val="Table Grid"/>
    <w:basedOn w:val="1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026E5" w:themeColor="hyperlink"/>
      <w:u w:val="single"/>
      <w14:textFill>
        <w14:solidFill>
          <w14:schemeClr w14:val="hlink"/>
        </w14:solidFill>
      </w14:textFill>
    </w:rPr>
  </w:style>
  <w:style w:type="character" w:styleId="16">
    <w:name w:val="annotation reference"/>
    <w:basedOn w:val="14"/>
    <w:qFormat/>
    <w:uiPriority w:val="0"/>
    <w:rPr>
      <w:sz w:val="21"/>
      <w:szCs w:val="21"/>
    </w:rPr>
  </w:style>
  <w:style w:type="paragraph" w:customStyle="1" w:styleId="1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styleId="18">
    <w:name w:val="Placeholder Text"/>
    <w:basedOn w:val="14"/>
    <w:semiHidden/>
    <w:qFormat/>
    <w:uiPriority w:val="99"/>
    <w:rPr>
      <w:color w:val="808080"/>
    </w:rPr>
  </w:style>
  <w:style w:type="character" w:customStyle="1" w:styleId="19">
    <w:name w:val="日期 字符"/>
    <w:basedOn w:val="14"/>
    <w:link w:val="6"/>
    <w:qFormat/>
    <w:uiPriority w:val="0"/>
    <w:rPr>
      <w:kern w:val="2"/>
      <w:sz w:val="21"/>
      <w:szCs w:val="22"/>
    </w:rPr>
  </w:style>
  <w:style w:type="character" w:customStyle="1" w:styleId="20">
    <w:name w:val="标题 1 字符"/>
    <w:basedOn w:val="14"/>
    <w:link w:val="2"/>
    <w:qFormat/>
    <w:uiPriority w:val="0"/>
    <w:rPr>
      <w:b/>
      <w:bCs/>
      <w:kern w:val="44"/>
      <w:sz w:val="44"/>
      <w:szCs w:val="44"/>
    </w:rPr>
  </w:style>
  <w:style w:type="paragraph" w:customStyle="1" w:styleId="21">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54A1" w:themeColor="accent1" w:themeShade="BF"/>
      <w:kern w:val="0"/>
      <w:sz w:val="32"/>
      <w:szCs w:val="32"/>
    </w:rPr>
  </w:style>
  <w:style w:type="character" w:customStyle="1" w:styleId="22">
    <w:name w:val="批注文字 字符"/>
    <w:basedOn w:val="14"/>
    <w:link w:val="4"/>
    <w:qFormat/>
    <w:uiPriority w:val="0"/>
    <w:rPr>
      <w:kern w:val="2"/>
      <w:sz w:val="21"/>
      <w:szCs w:val="22"/>
    </w:rPr>
  </w:style>
  <w:style w:type="character" w:customStyle="1" w:styleId="23">
    <w:name w:val="批注主题 字符"/>
    <w:basedOn w:val="22"/>
    <w:link w:val="11"/>
    <w:qFormat/>
    <w:uiPriority w:val="0"/>
    <w:rPr>
      <w:b/>
      <w:bCs/>
      <w:kern w:val="2"/>
      <w:sz w:val="21"/>
      <w:szCs w:val="22"/>
    </w:rPr>
  </w:style>
  <w:style w:type="paragraph" w:customStyle="1" w:styleId="24">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5">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380de44b-9008-4eed-a789-65eb6d701615</errorID>
      <errorWord>支撑</errorWord>
      <group>L1_Grammar</group>
      <groupName>语法问题</groupName>
      <ability>L2_Grammar</ability>
      <abilityName>语法错误</abilityName>
      <candidateList>
        <item>予以支撑</item>
      </candidateList>
      <explain/>
      <paraID>3CFA4A35</paraID>
      <start>16</start>
      <end>18</end>
      <status>ignored</status>
      <modifiedWord/>
      <trackRevisions>false</trackRevisions>
    </reviewItem>
    <reviewItem>
      <errorID>72102309-3ee7-410e-bcb3-9e2846c4841e</errorID>
      <errorWord>乘坐有更多温室气体排放</errorWord>
      <group>L1_Word</group>
      <groupName>字词问题</groupName>
      <ability>L2_Typo</ability>
      <abilityName>字词错误</abilityName>
      <candidateList>
        <item>乘坐温室气体排放更多</item>
      </candidateList>
      <explain/>
      <paraID>5DFA0AFB</paraID>
      <start>66</start>
      <end>77</end>
      <status>ignored</status>
      <modifiedWord/>
      <trackRevisions>false</trackRevisions>
    </reviewItem>
    <reviewItem>
      <errorID>45130134-1cce-4f27-8ffc-1ad4179c6d30</errorID>
      <errorWord>CM-028-V01快速公交项目</errorWord>
      <group>L1_Other</group>
      <groupName>其他问题</groupName>
      <ability>L2_Consistency</ability>
      <abilityName>一致性检查</abilityName>
      <candidateList>
        <item>CM-032-V01快速公交系统</item>
      </candidateList>
      <explain>术语一致性：‘快速公交项目’和‘快速公交系统’语义相近，但表述不一致，应统一</explain>
      <paraID>6A1AFC72</paraID>
      <start>0</start>
      <end>16</end>
      <status>ignored</status>
      <modifiedWord/>
      <trackRevisions>false</trackRevisions>
    </reviewItem>
    <reviewItem>
      <errorID>45142624-7e34-48b2-a822-1d439d5821ff</errorID>
      <errorWord>实施</errorWord>
      <group>L1_Word</group>
      <groupName>字词问题</groupName>
      <ability>L2_Typo</ability>
      <abilityName>字词错误</abilityName>
      <candidateList>
        <item>在实施</item>
      </candidateList>
      <explain/>
      <paraID> 631D68E</paraID>
      <start>0</start>
      <end>2</end>
      <status>unmodified</status>
      <modifiedWord/>
      <trackRevisions>false</trackRevisions>
    </reviewItem>
    <reviewItem>
      <errorID>736bded8-3422-4293-ba87-9342fce8bbd7</errorID>
      <errorWord>出行的</errorWord>
      <group>L1_Word</group>
      <groupName>字词问题</groupName>
      <ability>L2_Typo</ability>
      <abilityName>字词错误</abilityName>
      <candidateList>
        <item>出行</item>
      </candidateList>
      <explain/>
      <paraID> 631D68E</paraID>
      <start>30</start>
      <end>33</end>
      <status>ignored</status>
      <modifiedWord/>
      <trackRevisions>false</trackRevisions>
    </reviewItem>
    <reviewItem>
      <errorID>7f14da38-3329-4b43-b700-9d2d63c3f029</errorID>
      <errorWord>PKM</errorWord>
      <group>L1_Word</group>
      <groupName>字词问题</groupName>
      <ability>L2_Typo</ability>
      <abilityName>字词错误</abilityName>
      <candidateList>
        <item>PK·M</item>
      </candidateList>
      <explain/>
      <paraID>55DF146E</paraID>
      <start>33</start>
      <end>36</end>
      <status>ignored</status>
      <modifiedWord/>
      <trackRevisions>false</trackRevisions>
    </reviewItem>
    <reviewItem>
      <errorID>56caf018-2740-466c-be89-c585943d5577</errorID>
      <errorWord>》</errorWord>
      <group>L1_Word</group>
      <groupName>字词问题</groupName>
      <ability>L2_Typo</ability>
      <abilityName>字词错误</abilityName>
      <candidateList>
        <item>》和</item>
      </candidateList>
      <explain/>
      <paraID> 61BA56B</paraID>
      <start>123</start>
      <end>124</end>
      <status>ignored</status>
      <modifiedWord/>
      <trackRevisions>false</trackRevisions>
    </reviewItem>
    <reviewItem>
      <errorID>79d4d2d3-d98d-4642-8c33-19ff34cd78e2</errorID>
      <errorWord>（</errorWord>
      <group>L1_Format</group>
      <groupName>格式问题</groupName>
      <ability>L2_HalfPunc_CN</ability>
      <abilityName>全半角问题</abilityName>
      <candidateList>
        <item>(</item>
      </candidateList>
      <explain>文本全半角错误。</explain>
      <paraID> 59E8A0D</paraID>
      <start>71</start>
      <end>72</end>
      <status>ignored</status>
      <modifiedWord/>
      <trackRevisions>false</trackRevisions>
    </reviewItem>
    <reviewItem>
      <errorID>ae7c1b3e-e85c-4eb4-88ff-5d42b765f311</errorID>
      <errorWord>）</errorWord>
      <group>L1_Format</group>
      <groupName>格式问题</groupName>
      <ability>L2_HalfPunc_CN</ability>
      <abilityName>全半角问题</abilityName>
      <candidateList>
        <item>)</item>
      </candidateList>
      <explain>文本全半角错误。</explain>
      <paraID> 59E8A0D</paraID>
      <start>73</start>
      <end>74</end>
      <status>ignored</status>
      <modifiedWord/>
      <trackRevisions>false</trackRevisions>
    </reviewItem>
    <reviewItem>
      <errorID>e745ba6d-ec8e-4da1-a993-190e66c5afeb</errorID>
      <errorWord>,</errorWord>
      <group>L1_Punc</group>
      <groupName>标点问题</groupName>
      <ability>L2_Punc_CN</ability>
      <abilityName>标点符号问题</abilityName>
      <candidateList/>
      <explain/>
      <paraID>4D4D5EB6</paraID>
      <start>8</start>
      <end>9</end>
      <status>ignored</status>
      <modifiedWord/>
      <trackRevisions>false</trackRevisions>
    </reviewItem>
    <reviewItem>
      <errorID>21c17af9-d728-45bf-b5e9-71ebfdc44aea</errorID>
      <errorWord>（</errorWord>
      <group>L1_Format</group>
      <groupName>格式问题</groupName>
      <ability>L2_HalfPunc_CN</ability>
      <abilityName>全半角问题</abilityName>
      <candidateList>
        <item>(</item>
      </candidateList>
      <explain>文本全半角错误。</explain>
      <paraID> AC48980</paraID>
      <start>149</start>
      <end>150</end>
      <status>ignored</status>
      <modifiedWord/>
      <trackRevisions>false</trackRevisions>
    </reviewItem>
    <reviewItem>
      <errorID>4d204200-5401-484e-b258-7ce42c8d05f4</errorID>
      <errorWord>）</errorWord>
      <group>L1_Format</group>
      <groupName>格式问题</groupName>
      <ability>L2_HalfPunc_CN</ability>
      <abilityName>全半角问题</abilityName>
      <candidateList>
        <item>)</item>
      </candidateList>
      <explain>文本全半角错误。</explain>
      <paraID> AC48980</paraID>
      <start>151</start>
      <end>152</end>
      <status>ignored</status>
      <modifiedWord/>
      <trackRevisions>false</trackRevisions>
    </reviewItem>
    <reviewItem>
      <errorID>523a068e-f848-421a-b7f4-0a5882eee431</errorID>
      <errorWord>,</errorWord>
      <group>L1_Punc</group>
      <groupName>标点问题</groupName>
      <ability>L2_Punc_CN</ability>
      <abilityName>标点符号问题</abilityName>
      <candidateList/>
      <explain/>
      <paraID>258A5237</paraID>
      <start>8</start>
      <end>9</end>
      <status>ignored</status>
      <modifiedWord/>
      <trackRevisions>false</trackRevisions>
    </reviewItem>
    <reviewItem>
      <errorID>6a222bb2-07fb-40e7-b432-dbdaa67172bb</errorID>
      <errorWord>,</errorWord>
      <group>L1_Punc</group>
      <groupName>标点问题</groupName>
      <ability>L2_Punc_CN</ability>
      <abilityName>标点符号问题</abilityName>
      <candidateList/>
      <explain/>
      <paraID>34AA1365</paraID>
      <start>10</start>
      <end>11</end>
      <status>ignored</status>
      <modifiedWord/>
      <trackRevisions>false</trackRevisions>
    </reviewItem>
    <reviewItem>
      <errorID>84278f33-fc5f-47f3-87d6-bd3d649a9391</errorID>
      <errorWord>,</errorWord>
      <group>L1_Punc</group>
      <groupName>标点问题</groupName>
      <ability>L2_Punc_CN</ability>
      <abilityName>标点符号问题</abilityName>
      <candidateList/>
      <explain/>
      <paraID>5FA78356</paraID>
      <start>8</start>
      <end>9</end>
      <status>ignored</status>
      <modifiedWord/>
      <trackRevisions>false</trackRevisions>
    </reviewItem>
    <reviewItem>
      <errorID>c4e9348e-7a32-4594-ba30-da3c58d20b0f</errorID>
      <errorWord>,</errorWord>
      <group>L1_Punc</group>
      <groupName>标点问题</groupName>
      <ability>L2_Punc_CN</ability>
      <abilityName>标点符号问题</abilityName>
      <candidateList/>
      <explain/>
      <paraID>341A8F63</paraID>
      <start>8</start>
      <end>9</end>
      <status>ignored</status>
      <modifiedWord/>
      <trackRevisions>false</trackRevisions>
    </reviewItem>
    <reviewItem>
      <errorID>1ea9d6f7-31c5-4c60-97fa-d34a809fdf49</errorID>
      <errorWord>,</errorWord>
      <group>L1_Punc</group>
      <groupName>标点问题</groupName>
      <ability>L2_Punc_CN</ability>
      <abilityName>标点符号问题</abilityName>
      <candidateList/>
      <explain/>
      <paraID>75E82F48</paraID>
      <start>6</start>
      <end>7</end>
      <status>ignored</status>
      <modifiedWord/>
      <trackRevisions>false</trackRevisions>
    </reviewItem>
    <reviewItem>
      <errorID>e2342b03-1713-4081-a8fa-a047bd8f64a6</errorID>
      <errorWord>（</errorWord>
      <group>L1_Format</group>
      <groupName>格式问题</groupName>
      <ability>L2_HalfPunc_CN</ability>
      <abilityName>全半角问题</abilityName>
      <candidateList>
        <item>(</item>
      </candidateList>
      <explain>文本全半角错误。</explain>
      <paraID>4B6DB2AA</paraID>
      <start>80</start>
      <end>81</end>
      <status>ignored</status>
      <modifiedWord/>
      <trackRevisions>false</trackRevisions>
    </reviewItem>
    <reviewItem>
      <errorID>a0ae0436-5e64-456e-b8b7-2367bf015654</errorID>
      <errorWord>）</errorWord>
      <group>L1_Format</group>
      <groupName>格式问题</groupName>
      <ability>L2_HalfPunc_CN</ability>
      <abilityName>全半角问题</abilityName>
      <candidateList>
        <item>)</item>
      </candidateList>
      <explain>文本全半角错误。</explain>
      <paraID>4B6DB2AA</paraID>
      <start>82</start>
      <end>83</end>
      <status>ignored</status>
      <modifiedWord/>
      <trackRevisions>false</trackRevisions>
    </reviewItem>
    <reviewItem>
      <errorID>4d1625df-0150-40f0-8053-3a237f4ea856</errorID>
      <errorWord>,</errorWord>
      <group>L1_Punc</group>
      <groupName>标点问题</groupName>
      <ability>L2_Punc_CN</ability>
      <abilityName>标点符号问题</abilityName>
      <candidateList/>
      <explain/>
      <paraID>1EEEBA6A</paraID>
      <start>8</start>
      <end>9</end>
      <status>ignored</status>
      <modifiedWord/>
      <trackRevisions>false</trackRevisions>
    </reviewItem>
    <reviewItem>
      <errorID>d6f3d5b5-086a-4839-887b-d356da8a6859</errorID>
      <errorWord>,</errorWord>
      <group>L1_Punc</group>
      <groupName>标点问题</groupName>
      <ability>L2_Punc_CN</ability>
      <abilityName>标点符号问题</abilityName>
      <candidateList/>
      <explain/>
      <paraID>24D3BB02</paraID>
      <start>8</start>
      <end>9</end>
      <status>ignored</status>
      <modifiedWord/>
      <trackRevisions>false</trackRevisions>
    </reviewItem>
    <reviewItem>
      <errorID>0142106d-ffbd-4750-9171-14c2d537f576</errorID>
      <errorWord>,</errorWord>
      <group>L1_Punc</group>
      <groupName>标点问题</groupName>
      <ability>L2_Punc_CN</ability>
      <abilityName>标点符号问题</abilityName>
      <candidateList/>
      <explain/>
      <paraID>72ADC954</paraID>
      <start>9</start>
      <end>10</end>
      <status>ignored</status>
      <modifiedWord/>
      <trackRevisions>false</trackRevisions>
    </reviewItem>
    <reviewItem>
      <errorID>a58f636a-9378-461f-a7c4-a8bf3fd6b7f3</errorID>
      <errorWord>（</errorWord>
      <group>L1_Format</group>
      <groupName>格式问题</groupName>
      <ability>L2_HalfPunc_CN</ability>
      <abilityName>全半角问题</abilityName>
      <candidateList>
        <item>(</item>
      </candidateList>
      <explain>文本全半角错误。</explain>
      <paraID>72ADC954</paraID>
      <start>155</start>
      <end>156</end>
      <status>ignored</status>
      <modifiedWord/>
      <trackRevisions>false</trackRevisions>
    </reviewItem>
    <reviewItem>
      <errorID>1a06b2d6-d46a-4fff-af37-ca0fb82e9129</errorID>
      <errorWord>）</errorWord>
      <group>L1_Format</group>
      <groupName>格式问题</groupName>
      <ability>L2_HalfPunc_CN</ability>
      <abilityName>全半角问题</abilityName>
      <candidateList>
        <item>)</item>
      </candidateList>
      <explain>文本全半角错误。</explain>
      <paraID>72ADC954</paraID>
      <start>157</start>
      <end>158</end>
      <status>ignored</status>
      <modifiedWord/>
      <trackRevisions>false</trackRevisions>
    </reviewItem>
    <reviewItem>
      <errorID>71169f20-d1ea-48b0-af62-3c46cee97d4a</errorID>
      <errorWord>,</errorWord>
      <group>L1_Punc</group>
      <groupName>标点问题</groupName>
      <ability>L2_Punc_CN</ability>
      <abilityName>标点符号问题</abilityName>
      <candidateList/>
      <explain/>
      <paraID> C7BEB98</paraID>
      <start>8</start>
      <end>9</end>
      <status>ignored</status>
      <modifiedWord/>
      <trackRevisions>false</trackRevisions>
    </reviewItem>
    <reviewItem>
      <errorID>03ea09b5-0489-4146-9e17-9a306f14172f</errorID>
      <errorWord>,</errorWord>
      <group>L1_Punc</group>
      <groupName>标点问题</groupName>
      <ability>L2_Punc_CN</ability>
      <abilityName>标点符号问题</abilityName>
      <candidateList/>
      <explain/>
      <paraID>766F9364</paraID>
      <start>8</start>
      <end>9</end>
      <status>ignored</status>
      <modifiedWord/>
      <trackRevisions>false</trackRevisions>
    </reviewItem>
    <reviewItem>
      <errorID>4602b193-84c9-48c0-a8bc-4552fe49e3fe</errorID>
      <errorWord>,</errorWord>
      <group>L1_Punc</group>
      <groupName>标点问题</groupName>
      <ability>L2_Punc_CN</ability>
      <abilityName>标点符号问题</abilityName>
      <candidateList/>
      <explain/>
      <paraID>118478F3</paraID>
      <start>10</start>
      <end>11</end>
      <status>ignored</status>
      <modifiedWord/>
      <trackRevisions>false</trackRevisions>
    </reviewItem>
    <reviewItem>
      <errorID>6158ff99-0188-4bd4-aa10-046f157e9575</errorID>
      <errorWord>,</errorWord>
      <group>L1_Punc</group>
      <groupName>标点问题</groupName>
      <ability>L2_Punc_CN</ability>
      <abilityName>标点符号问题</abilityName>
      <candidateList/>
      <explain/>
      <paraID>62EA27DF</paraID>
      <start>8</start>
      <end>9</end>
      <status>ignored</status>
      <modifiedWord/>
      <trackRevisions>false</trackRevisions>
    </reviewItem>
    <reviewItem>
      <errorID>763e1332-e7dc-4f74-93e1-ae9240b7fa3b</errorID>
      <errorWord>,</errorWord>
      <group>L1_Punc</group>
      <groupName>标点问题</groupName>
      <ability>L2_Punc_CN</ability>
      <abilityName>标点符号问题</abilityName>
      <candidateList/>
      <explain/>
      <paraID>6179A38A</paraID>
      <start>8</start>
      <end>9</end>
      <status>ignored</status>
      <modifiedWord/>
      <trackRevisions>false</trackRevisions>
    </reviewItem>
    <reviewItem>
      <errorID>5dfdd2a8-8274-4735-a52c-da930fca8914</errorID>
      <errorWord>,</errorWord>
      <group>L1_Punc</group>
      <groupName>标点问题</groupName>
      <ability>L2_Punc_CN</ability>
      <abilityName>标点符号问题</abilityName>
      <candidateList/>
      <explain/>
      <paraID>5056571F</paraID>
      <start>6</start>
      <end>7</end>
      <status>ignored</status>
      <modifiedWord/>
      <trackRevisions>false</trackRevisions>
    </reviewItem>
    <reviewItem>
      <errorID>97303ec2-f144-4339-8201-b99ef152c177</errorID>
      <errorWord>（</errorWord>
      <group>L1_Format</group>
      <groupName>格式问题</groupName>
      <ability>L2_HalfPunc_CN</ability>
      <abilityName>全半角问题</abilityName>
      <candidateList>
        <item>(</item>
      </candidateList>
      <explain>文本全半角错误。</explain>
      <paraID>18182D97</paraID>
      <start>49</start>
      <end>50</end>
      <status>ignored</status>
      <modifiedWord/>
      <trackRevisions>false</trackRevisions>
    </reviewItem>
    <reviewItem>
      <errorID>19817223-a35b-4440-aeab-300dc0e157c4</errorID>
      <errorWord>）</errorWord>
      <group>L1_Format</group>
      <groupName>格式问题</groupName>
      <ability>L2_HalfPunc_CN</ability>
      <abilityName>全半角问题</abilityName>
      <candidateList>
        <item>)</item>
      </candidateList>
      <explain>文本全半角错误。</explain>
      <paraID>18182D97</paraID>
      <start>51</start>
      <end>52</end>
      <status>ignored</status>
      <modifiedWord/>
      <trackRevisions>false</trackRevisions>
    </reviewItem>
    <reviewItem>
      <errorID>700801de-14a3-4d25-ad43-33ce6744ba70</errorID>
      <errorWord>,</errorWord>
      <group>L1_Punc</group>
      <groupName>标点问题</groupName>
      <ability>L2_Punc_CN</ability>
      <abilityName>标点符号问题</abilityName>
      <candidateList/>
      <explain/>
      <paraID>57DBE382</paraID>
      <start>8</start>
      <end>9</end>
      <status>ignored</status>
      <modifiedWord/>
      <trackRevisions>false</trackRevisions>
    </reviewItem>
    <reviewItem>
      <errorID>22f2b3ff-5d8f-4b05-8b7b-1b005ac94b4e</errorID>
      <errorWord>,</errorWord>
      <group>L1_Punc</group>
      <groupName>标点问题</groupName>
      <ability>L2_Punc_CN</ability>
      <abilityName>标点符号问题</abilityName>
      <candidateList/>
      <explain/>
      <paraID>31AB3CB1</paraID>
      <start>10</start>
      <end>11</end>
      <status>ignored</status>
      <modifiedWord/>
      <trackRevisions>false</trackRevisions>
    </reviewItem>
    <reviewItem>
      <errorID>00d5817b-c3d5-4aba-9fb3-0ff5616ad1a5</errorID>
      <errorWord>,</errorWord>
      <group>L1_Punc</group>
      <groupName>标点问题</groupName>
      <ability>L2_Punc_CN</ability>
      <abilityName>标点符号问题</abilityName>
      <candidateList/>
      <explain/>
      <paraID> 8F9B4CD</paraID>
      <start>8</start>
      <end>9</end>
      <status>ignored</status>
      <modifiedWord/>
      <trackRevisions>false</trackRevisions>
    </reviewItem>
    <reviewItem>
      <errorID>d53a25a7-3a74-461b-9d11-143c4613a5da</errorID>
      <errorWord>,</errorWord>
      <group>L1_Punc</group>
      <groupName>标点问题</groupName>
      <ability>L2_Punc_CN</ability>
      <abilityName>标点符号问题</abilityName>
      <candidateList/>
      <explain/>
      <paraID>3BD5F079</paraID>
      <start>8</start>
      <end>9</end>
      <status>ignored</status>
      <modifiedWord/>
      <trackRevisions>false</trackRevisions>
    </reviewItem>
    <reviewItem>
      <errorID>a8f5a637-b626-49e9-be18-597c8a509bd7</errorID>
      <errorWord>,</errorWord>
      <group>L1_Punc</group>
      <groupName>标点问题</groupName>
      <ability>L2_Punc_CN</ability>
      <abilityName>标点符号问题</abilityName>
      <candidateList/>
      <explain/>
      <paraID>3A889A19</paraID>
      <start>6</start>
      <end>7</end>
      <status>ignored</status>
      <modifiedWord/>
      <trackRevisions>false</trackRevisions>
    </reviewItem>
    <reviewItem>
      <errorID>1c4256f7-5c79-43c3-9f32-b4bbf58a1a58</errorID>
      <errorWord>,</errorWord>
      <group>L1_Punc</group>
      <groupName>标点问题</groupName>
      <ability>L2_Punc_CN</ability>
      <abilityName>标点符号问题</abilityName>
      <candidateList/>
      <explain/>
      <paraID>1CF3810D</paraID>
      <start>8</start>
      <end>9</end>
      <status>ignored</status>
      <modifiedWord/>
      <trackRevisions>false</trackRevisions>
    </reviewItem>
    <reviewItem>
      <errorID>8f16f0d4-12dc-4751-a516-8af14c2e79bc</errorID>
      <errorWord>本</errorWord>
      <group>L1_Word</group>
      <groupName>字词问题</groupName>
      <ability>L2_Typo</ability>
      <abilityName>字词错误</abilityName>
      <candidateList>
        <item> 本</item>
      </candidateList>
      <explain/>
      <paraID>50BAB0D9</paraID>
      <start>5</start>
      <end>6</end>
      <status>ignored</status>
      <modifiedWord/>
      <trackRevisions>false</trackRevisions>
    </reviewItem>
    <reviewItem>
      <errorID>ff70fec0-78e3-4df6-ad35-faa1c5e1c989</errorID>
      <errorWord>本</errorWord>
      <group>L1_Word</group>
      <groupName>字词问题</groupName>
      <ability>L2_Typo</ability>
      <abilityName>字词错误</abilityName>
      <candidateList>
        <item> 本</item>
      </candidateList>
      <explain/>
      <paraID>5DCF616A</paraID>
      <start>5</start>
      <end>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A330CC-F989-4F9F-91A5-F69E777E9CE8}">
  <ds:schemaRefs/>
</ds:datastoreItem>
</file>

<file path=customXml/itemProps3.xml><?xml version="1.0" encoding="utf-8"?>
<ds:datastoreItem xmlns:ds="http://schemas.openxmlformats.org/officeDocument/2006/customXml" ds:itemID="{4c488734-4988-4f63-8588-6b9b130c8f7e}">
  <ds:schemaRefs/>
</ds:datastoreItem>
</file>

<file path=docProps/app.xml><?xml version="1.0" encoding="utf-8"?>
<Properties xmlns="http://schemas.openxmlformats.org/officeDocument/2006/extended-properties" xmlns:vt="http://schemas.openxmlformats.org/officeDocument/2006/docPropsVTypes">
  <Template>Normal</Template>
  <Pages>15</Pages>
  <Words>1854</Words>
  <Characters>2171</Characters>
  <Lines>49</Lines>
  <Paragraphs>13</Paragraphs>
  <TotalTime>14</TotalTime>
  <ScaleCrop>false</ScaleCrop>
  <LinksUpToDate>false</LinksUpToDate>
  <CharactersWithSpaces>2259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2026-06-12T07:59:00Z</dcterms:created>
  <dc:creator>anrisun</dc:creator>
  <cp:lastModifiedBy>沙浅岛</cp:lastModifiedBy>
  <cp:lastPrinted>2026-06-16T07:04:00Z</cp:lastPrinted>
  <dcterms:modified xsi:type="dcterms:W3CDTF">2026-06-25T08:32:04Z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B37C0C1C38FE48A1930FD467F7BF1356_13</vt:lpwstr>
  </property>
  <property fmtid="{D5CDD505-2E9C-101B-9397-08002B2CF9AE}" pid="4" name="KSOTemplateDocerSaveRecord">
    <vt:lpwstr>eyJoZGlkIjoiNjJhNTE5YzkwNGZmYTUyM2RmZmVlNjk1YTg0NjIzM2QiLCJ1c2VySWQiOiIzODAxMzE1ODEifQ==</vt:lpwstr>
  </property>
</Properties>
</file>