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kinsoku/>
        <w:autoSpaceDE/>
        <w:autoSpaceDN w:val="0"/>
        <w:adjustRightInd/>
        <w:snapToGrid/>
        <w:spacing w:before="0" w:beforeAutospacing="0" w:after="0" w:afterAutospacing="0" w:line="560" w:lineRule="exact"/>
        <w:ind w:left="0" w:right="0"/>
        <w:jc w:val="both"/>
        <w:rPr>
          <w:rFonts w:hint="default" w:ascii="Times New Roman" w:hAnsi="Times New Roman" w:eastAsia="黑体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napToGrid/>
          <w:color w:val="auto"/>
          <w:kern w:val="2"/>
          <w:sz w:val="32"/>
          <w:szCs w:val="32"/>
          <w:lang w:val="en-US" w:eastAsia="zh-CN" w:bidi="ar"/>
        </w:rPr>
        <w:t>附件</w:t>
      </w:r>
    </w:p>
    <w:p>
      <w:pPr>
        <w:keepNext w:val="0"/>
        <w:keepLines w:val="0"/>
        <w:widowControl w:val="0"/>
        <w:suppressLineNumbers w:val="0"/>
        <w:kinsoku/>
        <w:autoSpaceDE/>
        <w:autoSpaceDN w:val="0"/>
        <w:adjustRightInd/>
        <w:snapToGrid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黑体" w:cs="Times New Roman"/>
          <w:b/>
          <w:bCs/>
          <w:snapToGrid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snapToGrid/>
          <w:color w:val="auto"/>
          <w:kern w:val="2"/>
          <w:sz w:val="32"/>
          <w:szCs w:val="32"/>
          <w:lang w:val="en-US" w:eastAsia="zh-CN" w:bidi="ar"/>
        </w:rPr>
        <w:t>货物采购比价单</w:t>
      </w:r>
    </w:p>
    <w:p>
      <w:pPr>
        <w:keepNext w:val="0"/>
        <w:keepLines w:val="0"/>
        <w:widowControl w:val="0"/>
        <w:suppressLineNumbers w:val="0"/>
        <w:kinsoku/>
        <w:wordWrap w:val="0"/>
        <w:autoSpaceDE/>
        <w:autoSpaceDN w:val="0"/>
        <w:adjustRightInd w:val="0"/>
        <w:snapToGrid w:val="0"/>
        <w:spacing w:before="0" w:beforeAutospacing="0" w:after="0" w:afterAutospacing="0"/>
        <w:ind w:left="0" w:right="0"/>
        <w:jc w:val="right"/>
        <w:rPr>
          <w:rFonts w:hint="default" w:ascii="Times New Roman" w:hAnsi="Times New Roman" w:eastAsia="仿宋_GB2312" w:cs="Times New Roman"/>
          <w:bCs/>
          <w:snapToGrid/>
          <w:color w:val="auto"/>
          <w:kern w:val="2"/>
          <w:sz w:val="24"/>
          <w:szCs w:val="24"/>
          <w:lang w:val="en-US" w:eastAsia="zh-CN"/>
        </w:rPr>
      </w:pPr>
    </w:p>
    <w:p>
      <w:pPr>
        <w:keepNext w:val="0"/>
        <w:keepLines w:val="0"/>
        <w:widowControl w:val="0"/>
        <w:suppressLineNumbers w:val="0"/>
        <w:kinsoku/>
        <w:wordWrap w:val="0"/>
        <w:autoSpaceDE/>
        <w:autoSpaceDN w:val="0"/>
        <w:adjustRightInd w:val="0"/>
        <w:snapToGrid w:val="0"/>
        <w:spacing w:before="0" w:beforeAutospacing="0" w:after="0" w:afterAutospacing="0"/>
        <w:ind w:left="0" w:right="0"/>
        <w:jc w:val="right"/>
        <w:rPr>
          <w:rFonts w:hint="default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>日</w:t>
      </w:r>
    </w:p>
    <w:tbl>
      <w:tblPr>
        <w:tblStyle w:val="3"/>
        <w:tblW w:w="87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1"/>
        <w:gridCol w:w="3780"/>
        <w:gridCol w:w="900"/>
        <w:gridCol w:w="900"/>
        <w:gridCol w:w="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采购单位填写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拟采购货物名称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叶绿素蓝绿藻检测仪、高速冷冻离心机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预算金额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3.55万元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技术</w:t>
            </w: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要求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  <w:t>详见技术要求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采购经办人及联系方式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陈工</w:t>
            </w: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18951651629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供货单位填写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供货商名称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（加盖供货单位公章）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供货商联系人及联系方式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供货商基本情况（附营业执照或资质证明等）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货物名称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功能、型号、规格、服务等描述</w:t>
            </w:r>
          </w:p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（详细）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单价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其他说明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</w:tbl>
    <w:p/>
    <w:p/>
    <w:p>
      <w:pPr>
        <w:sectPr>
          <w:pgSz w:w="11906" w:h="16838"/>
          <w:pgMar w:top="1701" w:right="1417" w:bottom="1701" w:left="1417" w:header="851" w:footer="1531" w:gutter="0"/>
          <w:pgNumType w:fmt="decimal" w:start="1"/>
          <w:cols w:space="425" w:num="1"/>
          <w:docGrid w:type="lines" w:linePitch="312" w:charSpace="0"/>
        </w:sectPr>
      </w:pPr>
    </w:p>
    <w:tbl>
      <w:tblPr>
        <w:tblStyle w:val="3"/>
        <w:tblW w:w="1365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1"/>
        <w:gridCol w:w="9300"/>
        <w:gridCol w:w="905"/>
        <w:gridCol w:w="8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71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eastAsia="仿宋_GB2312"/>
                <w:b/>
                <w:bCs/>
                <w:sz w:val="24"/>
              </w:rPr>
            </w:pPr>
            <w:r>
              <w:rPr>
                <w:rFonts w:hint="default" w:eastAsia="仿宋_GB2312"/>
                <w:b/>
                <w:bCs/>
                <w:sz w:val="24"/>
              </w:rPr>
              <w:t>名称</w:t>
            </w:r>
          </w:p>
        </w:tc>
        <w:tc>
          <w:tcPr>
            <w:tcW w:w="930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>技术要求</w:t>
            </w:r>
          </w:p>
        </w:tc>
        <w:tc>
          <w:tcPr>
            <w:tcW w:w="90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eastAsia="仿宋_GB2312"/>
                <w:b/>
                <w:bCs/>
                <w:sz w:val="24"/>
              </w:rPr>
            </w:pPr>
            <w:r>
              <w:rPr>
                <w:rFonts w:hint="default" w:eastAsia="仿宋_GB2312"/>
                <w:b/>
                <w:bCs/>
                <w:sz w:val="24"/>
              </w:rPr>
              <w:t>数量</w:t>
            </w:r>
          </w:p>
        </w:tc>
        <w:tc>
          <w:tcPr>
            <w:tcW w:w="876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>预算金额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71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叶绿素蓝绿藻检测仪</w:t>
            </w:r>
          </w:p>
        </w:tc>
        <w:tc>
          <w:tcPr>
            <w:tcW w:w="9300" w:type="dxa"/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hAnsi="Times New Roman" w:eastAsia="宋体" w:cs="Times New Roman"/>
                <w:b/>
                <w:bCs/>
                <w:sz w:val="24"/>
                <w:szCs w:val="26"/>
              </w:rPr>
            </w:pP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1.具有</w:t>
            </w:r>
            <w:r>
              <w:rPr>
                <w:rFonts w:hint="default" w:ascii="宋体" w:hAnsi="Times New Roman" w:eastAsia="宋体" w:cs="Times New Roman"/>
                <w:sz w:val="24"/>
              </w:rPr>
              <w:t>高清晰度彩色液晶屏</w:t>
            </w:r>
            <w:r>
              <w:rPr>
                <w:rFonts w:hint="eastAsia" w:ascii="宋体" w:hAnsi="Times New Roman" w:eastAsia="宋体" w:cs="Times New Roman"/>
                <w:sz w:val="24"/>
                <w:lang w:eastAsia="zh-CN"/>
              </w:rPr>
              <w:t>；</w:t>
            </w: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2.</w:t>
            </w:r>
            <w:r>
              <w:rPr>
                <w:rFonts w:hint="default" w:ascii="宋体" w:hAnsi="Times New Roman" w:eastAsia="宋体" w:cs="Times New Roman"/>
                <w:sz w:val="24"/>
              </w:rPr>
              <w:t>纯按键操作；湿手操作不受影响，支持中英文界面切换</w:t>
            </w:r>
          </w:p>
          <w:p>
            <w:pPr>
              <w:pStyle w:val="5"/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3.</w:t>
            </w:r>
            <w:r>
              <w:rPr>
                <w:rFonts w:hint="default" w:ascii="宋体" w:hAnsi="Times New Roman" w:eastAsia="宋体" w:cs="Times New Roman"/>
                <w:sz w:val="24"/>
              </w:rPr>
              <w:t>存储容量不低于8 G；单参数存储不少于</w:t>
            </w: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25</w:t>
            </w:r>
            <w:r>
              <w:rPr>
                <w:rFonts w:hint="default" w:ascii="宋体" w:hAnsi="Times New Roman" w:eastAsia="宋体" w:cs="Times New Roman"/>
                <w:sz w:val="24"/>
              </w:rPr>
              <w:t>亿条数据</w:t>
            </w:r>
            <w:r>
              <w:rPr>
                <w:rFonts w:hint="eastAsia" w:ascii="宋体" w:hAnsi="Times New Roman" w:eastAsia="宋体" w:cs="Times New Roman"/>
                <w:sz w:val="24"/>
                <w:lang w:eastAsia="zh-CN"/>
              </w:rPr>
              <w:t>；4</w:t>
            </w: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.</w:t>
            </w:r>
            <w:r>
              <w:rPr>
                <w:rFonts w:hint="default" w:ascii="宋体" w:hAnsi="Times New Roman" w:eastAsia="宋体" w:cs="Times New Roman"/>
                <w:sz w:val="24"/>
              </w:rPr>
              <w:t>数据存储间隔可调</w:t>
            </w:r>
            <w:r>
              <w:rPr>
                <w:rFonts w:hint="eastAsia" w:ascii="宋体" w:hAnsi="Times New Roman" w:eastAsia="宋体" w:cs="Times New Roman"/>
                <w:sz w:val="24"/>
                <w:lang w:eastAsia="zh-CN"/>
              </w:rPr>
              <w:t>；</w:t>
            </w: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5.</w:t>
            </w:r>
            <w:r>
              <w:rPr>
                <w:rFonts w:hint="default" w:ascii="宋体" w:hAnsi="Times New Roman" w:eastAsia="宋体" w:cs="Times New Roman"/>
                <w:sz w:val="24"/>
              </w:rPr>
              <w:t>数据</w:t>
            </w: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可</w:t>
            </w:r>
            <w:r>
              <w:rPr>
                <w:rFonts w:hint="default" w:ascii="宋体" w:hAnsi="Times New Roman" w:eastAsia="宋体" w:cs="Times New Roman"/>
                <w:sz w:val="24"/>
              </w:rPr>
              <w:t>导出</w:t>
            </w:r>
            <w:r>
              <w:rPr>
                <w:rFonts w:hint="eastAsia" w:ascii="宋体" w:hAnsi="Times New Roman" w:eastAsia="宋体" w:cs="Times New Roman"/>
                <w:sz w:val="24"/>
                <w:lang w:eastAsia="zh-CN"/>
              </w:rPr>
              <w:t>，</w:t>
            </w:r>
            <w:r>
              <w:rPr>
                <w:rFonts w:hint="default" w:ascii="宋体" w:hAnsi="Times New Roman" w:eastAsia="宋体" w:cs="Times New Roman"/>
                <w:sz w:val="24"/>
              </w:rPr>
              <w:t>可直接查看、读取历史数据；可按天生成独立excel文件或采用等效的分段存储方式，便于数据筛选与查看</w:t>
            </w:r>
            <w:r>
              <w:rPr>
                <w:rFonts w:hint="eastAsia" w:ascii="宋体" w:hAnsi="Times New Roman" w:eastAsia="宋体" w:cs="Times New Roman"/>
                <w:sz w:val="24"/>
                <w:lang w:eastAsia="zh-CN"/>
              </w:rPr>
              <w:t>；6</w:t>
            </w: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.</w:t>
            </w:r>
            <w:r>
              <w:rPr>
                <w:rFonts w:hint="default" w:ascii="宋体" w:hAnsi="Times New Roman" w:eastAsia="宋体" w:cs="Times New Roman"/>
                <w:sz w:val="24"/>
              </w:rPr>
              <w:t>测量参数：</w:t>
            </w:r>
            <w:r>
              <w:rPr>
                <w:rFonts w:hint="default" w:ascii="宋体" w:hAnsi="Times New Roman" w:eastAsia="宋体" w:cs="Times New Roman"/>
                <w:b w:val="0"/>
                <w:bCs w:val="0"/>
                <w:sz w:val="24"/>
              </w:rPr>
              <w:t>叶绿素a量程须覆盖 0～400μg/L，分辨率优于 0.01 μg/L；蓝绿藻量程须覆盖 0～200.0 Kcells/mL，分辨</w:t>
            </w:r>
            <w:r>
              <w:rPr>
                <w:rFonts w:hint="default" w:ascii="宋体" w:hAnsi="Times New Roman" w:eastAsia="宋体" w:cs="Times New Roman"/>
                <w:sz w:val="24"/>
              </w:rPr>
              <w:t>率优于 0.1 Kcells/mL；均带刷子自清洁；带温度补偿</w:t>
            </w: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7.具有质保期限</w:t>
            </w:r>
            <w:r>
              <w:rPr>
                <w:rFonts w:hint="default" w:ascii="宋体" w:hAnsi="Times New Roman" w:eastAsia="宋体" w:cs="Times New Roman"/>
                <w:sz w:val="24"/>
              </w:rPr>
              <w:t>。</w:t>
            </w:r>
          </w:p>
        </w:tc>
        <w:tc>
          <w:tcPr>
            <w:tcW w:w="9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8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Times New Roman" w:cs="Times New Roman"/>
                <w:sz w:val="24"/>
                <w:lang w:val="en-US" w:eastAsia="zh-CN"/>
              </w:rPr>
              <w:t>2.35万元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71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高速冷冻离心机</w:t>
            </w:r>
          </w:p>
        </w:tc>
        <w:tc>
          <w:tcPr>
            <w:tcW w:w="93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机身采用优质钢材结构，防爆保护内套，不锈钢离心腔，三层防护，安全可靠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液晶触摸屏操作，可更精确控制转速、时间和相对离心力；3</w:t>
            </w:r>
            <w:r>
              <w:rPr>
                <w:rFonts w:hint="eastAsia" w:ascii="宋体" w:hAnsi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免维护直流无刷电机，最高转速16000rpm，精确度 ±20rpm；自动计算离心力RCF值，转速、离心力可以相互一键切换</w:t>
            </w:r>
            <w:r>
              <w:rPr>
                <w:rFonts w:hint="eastAsia" w:ascii="宋体" w:hAnsi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离心转速与离心力步增调节为10rpm/10 g，时间控制：0-99.</w:t>
            </w:r>
            <w:r>
              <w:rPr>
                <w:rFonts w:hint="eastAsia" w:ascii="宋体" w:hAnsi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99 min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，精度 1秒/连续离心/瞬时离心</w:t>
            </w:r>
            <w:r>
              <w:rPr>
                <w:rFonts w:hint="eastAsia" w:ascii="宋体" w:hAnsi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；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精准控温，节能环保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可以对离心过程实时监控，确保仪器安全运行；</w:t>
            </w:r>
            <w:r>
              <w:rPr>
                <w:rFonts w:hint="eastAsia" w:ascii="宋体" w:hAnsi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7.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10组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程序存储空间</w:t>
            </w:r>
            <w:r>
              <w:rPr>
                <w:rFonts w:hint="eastAsia" w:ascii="宋体" w:hAnsi="宋体" w:cs="宋体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222222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后台可查看温度以及升速降速曲线数据</w:t>
            </w:r>
            <w:r>
              <w:rPr>
                <w:rFonts w:hint="eastAsia" w:ascii="宋体" w:hAnsi="宋体" w:cs="宋体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；8.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222222"/>
                <w:spacing w:val="0"/>
                <w:sz w:val="24"/>
                <w:szCs w:val="24"/>
                <w:shd w:val="clear" w:color="auto" w:fill="FFFFFF"/>
              </w:rPr>
              <w:t>运转结束、出错及出现不平衡时，声音信号提示，同时停止运转</w:t>
            </w:r>
            <w:r>
              <w:rPr>
                <w:rFonts w:hint="eastAsia" w:ascii="宋体" w:hAnsi="宋体" w:cs="宋体"/>
                <w:b w:val="0"/>
                <w:bCs/>
                <w:i w:val="0"/>
                <w:caps w:val="0"/>
                <w:color w:val="222222"/>
                <w:spacing w:val="0"/>
                <w:sz w:val="24"/>
                <w:szCs w:val="24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宋体"/>
                <w:b w:val="0"/>
                <w:bCs/>
                <w:i w:val="0"/>
                <w:caps w:val="0"/>
                <w:color w:val="222222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最高转速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达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16000r/min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最大相对离心力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21532×g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最大容量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4×100ml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温度范围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-20-40℃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可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定时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10.</w:t>
            </w: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具有质保期限</w:t>
            </w:r>
            <w:r>
              <w:rPr>
                <w:rFonts w:hint="default" w:ascii="宋体" w:hAnsi="Times New Roman" w:eastAsia="宋体" w:cs="Times New Roman"/>
                <w:sz w:val="24"/>
              </w:rPr>
              <w:t>。</w:t>
            </w:r>
          </w:p>
        </w:tc>
        <w:tc>
          <w:tcPr>
            <w:tcW w:w="9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8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Times New Roman" w:cs="Times New Roman"/>
                <w:sz w:val="24"/>
                <w:lang w:val="en-US" w:eastAsia="zh-CN"/>
              </w:rPr>
              <w:t>1.20万元</w:t>
            </w:r>
          </w:p>
        </w:tc>
      </w:tr>
    </w:tbl>
    <w:p>
      <w:pPr>
        <w:sectPr>
          <w:pgSz w:w="16838" w:h="11906" w:orient="landscape"/>
          <w:pgMar w:top="1417" w:right="1701" w:bottom="1417" w:left="1701" w:header="851" w:footer="1531" w:gutter="0"/>
          <w:pgNumType w:fmt="decimal" w:start="1"/>
          <w:cols w:space="425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507CB1"/>
    <w:rsid w:val="4450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qFormat/>
    <w:uiPriority w:val="34"/>
    <w:pPr>
      <w:spacing w:after="160" w:line="278" w:lineRule="auto"/>
      <w:ind w:left="720"/>
      <w:contextualSpacing/>
    </w:pPr>
    <w:rPr>
      <w:rFonts w:asciiTheme="minorHAnsi" w:hAnsiTheme="minorHAnsi" w:eastAsiaTheme="minorEastAsia" w:cstheme="minorBidi"/>
      <w:kern w:val="2"/>
      <w:sz w:val="22"/>
      <w:szCs w:val="24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2026-10-20T01:32:00Z</dcterms:created>
  <dc:creator>Administrator</dc:creator>
  <cp:lastModifiedBy>Administrator</cp:lastModifiedBy>
  <dcterms:modified xsi:type="dcterms:W3CDTF">2026-10-20T01:33:36Z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