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5E344">
      <w:pPr>
        <w:keepNext w:val="0"/>
        <w:keepLines w:val="0"/>
        <w:pageBreakBefore w:val="0"/>
        <w:wordWrap/>
        <w:overflowPunct/>
        <w:topLinePunct w:val="0"/>
        <w:bidi w:val="0"/>
        <w:spacing w:before="104" w:line="560" w:lineRule="exact"/>
        <w:ind w:left="474"/>
        <w:jc w:val="center"/>
        <w:rPr>
          <w:rFonts w:hint="eastAsia" w:ascii="微软雅黑" w:hAnsi="微软雅黑" w:eastAsia="微软雅黑" w:cs="微软雅黑"/>
          <w:spacing w:val="7"/>
          <w:sz w:val="44"/>
          <w:szCs w:val="44"/>
          <w:lang w:val="en-US" w:eastAsia="zh-CN"/>
        </w:rPr>
      </w:pPr>
    </w:p>
    <w:p w14:paraId="624CAD7D">
      <w:pPr>
        <w:keepNext w:val="0"/>
        <w:keepLines w:val="0"/>
        <w:pageBreakBefore w:val="0"/>
        <w:wordWrap/>
        <w:overflowPunct/>
        <w:topLinePunct w:val="0"/>
        <w:bidi w:val="0"/>
        <w:spacing w:before="104" w:line="560" w:lineRule="exact"/>
        <w:ind w:left="474"/>
        <w:jc w:val="center"/>
        <w:rPr>
          <w:rFonts w:hint="eastAsia" w:ascii="微软雅黑" w:hAnsi="微软雅黑" w:eastAsia="微软雅黑" w:cs="微软雅黑"/>
          <w:spacing w:val="7"/>
          <w:sz w:val="44"/>
          <w:szCs w:val="44"/>
          <w:lang w:val="en-US" w:eastAsia="zh-CN"/>
        </w:rPr>
      </w:pPr>
    </w:p>
    <w:p w14:paraId="4533F392">
      <w:pPr>
        <w:keepNext w:val="0"/>
        <w:keepLines w:val="0"/>
        <w:pageBreakBefore w:val="0"/>
        <w:wordWrap/>
        <w:overflowPunct/>
        <w:topLinePunct w:val="0"/>
        <w:bidi w:val="0"/>
        <w:spacing w:before="104" w:line="560" w:lineRule="exact"/>
        <w:ind w:left="474"/>
        <w:jc w:val="center"/>
        <w:rPr>
          <w:rFonts w:hint="eastAsia" w:ascii="微软雅黑" w:hAnsi="微软雅黑" w:eastAsia="微软雅黑" w:cs="微软雅黑"/>
          <w:spacing w:val="7"/>
          <w:sz w:val="44"/>
          <w:szCs w:val="44"/>
          <w:lang w:val="en-US" w:eastAsia="zh-CN"/>
        </w:rPr>
      </w:pPr>
    </w:p>
    <w:p w14:paraId="00D30210">
      <w:pPr>
        <w:keepNext w:val="0"/>
        <w:keepLines w:val="0"/>
        <w:pageBreakBefore w:val="0"/>
        <w:wordWrap/>
        <w:overflowPunct/>
        <w:topLinePunct w:val="0"/>
        <w:bidi w:val="0"/>
        <w:spacing w:before="104" w:line="560" w:lineRule="exact"/>
        <w:ind w:left="474"/>
        <w:jc w:val="center"/>
        <w:rPr>
          <w:rFonts w:hint="eastAsia" w:ascii="方正小标宋_GBK" w:hAnsi="方正小标宋_GBK" w:eastAsia="方正小标宋_GBK" w:cs="方正小标宋_GBK"/>
          <w:spacing w:val="7"/>
          <w:sz w:val="44"/>
          <w:szCs w:val="44"/>
        </w:rPr>
      </w:pPr>
      <w:r>
        <w:rPr>
          <w:rFonts w:hint="eastAsia" w:ascii="方正小标宋_GBK" w:hAnsi="方正小标宋_GBK" w:eastAsia="方正小标宋_GBK" w:cs="方正小标宋_GBK"/>
          <w:spacing w:val="7"/>
          <w:sz w:val="44"/>
          <w:szCs w:val="44"/>
          <w:lang w:val="en-US" w:eastAsia="zh-CN"/>
        </w:rPr>
        <w:t>2025</w:t>
      </w:r>
      <w:r>
        <w:rPr>
          <w:rFonts w:hint="eastAsia" w:ascii="方正小标宋_GBK" w:hAnsi="方正小标宋_GBK" w:eastAsia="方正小标宋_GBK" w:cs="方正小标宋_GBK"/>
          <w:spacing w:val="7"/>
          <w:sz w:val="44"/>
          <w:szCs w:val="44"/>
        </w:rPr>
        <w:t>年度南京市生态环境保护宣传教育中心（南京市生态环境信息服务中心）</w:t>
      </w:r>
    </w:p>
    <w:p w14:paraId="2B193615">
      <w:pPr>
        <w:keepNext w:val="0"/>
        <w:keepLines w:val="0"/>
        <w:pageBreakBefore w:val="0"/>
        <w:wordWrap/>
        <w:overflowPunct/>
        <w:topLinePunct w:val="0"/>
        <w:bidi w:val="0"/>
        <w:spacing w:before="104" w:line="560" w:lineRule="exact"/>
        <w:ind w:left="474"/>
        <w:jc w:val="center"/>
        <w:rPr>
          <w:rFonts w:hint="eastAsia" w:ascii="方正小标宋_GBK" w:hAnsi="方正小标宋_GBK" w:eastAsia="方正小标宋_GBK" w:cs="方正小标宋_GBK"/>
          <w:spacing w:val="7"/>
          <w:sz w:val="44"/>
          <w:szCs w:val="44"/>
        </w:rPr>
      </w:pPr>
      <w:r>
        <w:rPr>
          <w:rFonts w:hint="eastAsia" w:ascii="方正小标宋_GBK" w:hAnsi="方正小标宋_GBK" w:eastAsia="方正小标宋_GBK" w:cs="方正小标宋_GBK"/>
          <w:spacing w:val="7"/>
          <w:sz w:val="44"/>
          <w:szCs w:val="44"/>
        </w:rPr>
        <w:t>部门整体绩效评价报告</w:t>
      </w:r>
    </w:p>
    <w:p w14:paraId="5F36074D">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73049BFC">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68F032F4">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7360B604">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152273C9">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43F5D348">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3D37284F">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789D7ACA">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4F1A04B5">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749B4C21">
      <w:pPr>
        <w:pStyle w:val="9"/>
        <w:keepNext w:val="0"/>
        <w:keepLines w:val="0"/>
        <w:pageBreakBefore w:val="0"/>
        <w:wordWrap/>
        <w:overflowPunct/>
        <w:topLinePunct w:val="0"/>
        <w:bidi w:val="0"/>
        <w:spacing w:line="560" w:lineRule="exact"/>
        <w:ind w:left="0" w:leftChars="0" w:firstLine="0" w:firstLineChars="0"/>
        <w:rPr>
          <w:rFonts w:ascii="微软雅黑" w:hAnsi="微软雅黑" w:eastAsia="微软雅黑" w:cs="微软雅黑"/>
          <w:spacing w:val="7"/>
          <w:sz w:val="44"/>
          <w:szCs w:val="44"/>
        </w:rPr>
      </w:pPr>
    </w:p>
    <w:p w14:paraId="286A682E">
      <w:pPr>
        <w:pStyle w:val="9"/>
        <w:keepNext w:val="0"/>
        <w:keepLines w:val="0"/>
        <w:pageBreakBefore w:val="0"/>
        <w:wordWrap/>
        <w:overflowPunct/>
        <w:topLinePunct w:val="0"/>
        <w:bidi w:val="0"/>
        <w:spacing w:line="560" w:lineRule="exact"/>
        <w:rPr>
          <w:rFonts w:ascii="微软雅黑" w:hAnsi="微软雅黑" w:eastAsia="微软雅黑" w:cs="微软雅黑"/>
          <w:spacing w:val="7"/>
          <w:sz w:val="44"/>
          <w:szCs w:val="44"/>
        </w:rPr>
      </w:pPr>
    </w:p>
    <w:p w14:paraId="1F636260">
      <w:pPr>
        <w:pStyle w:val="9"/>
        <w:keepNext w:val="0"/>
        <w:keepLines w:val="0"/>
        <w:pageBreakBefore w:val="0"/>
        <w:wordWrap/>
        <w:overflowPunct/>
        <w:topLinePunct w:val="0"/>
        <w:bidi w:val="0"/>
        <w:spacing w:line="560" w:lineRule="exact"/>
        <w:ind w:left="0" w:leftChars="0" w:firstLine="0" w:firstLineChars="0"/>
        <w:jc w:val="center"/>
        <w:rPr>
          <w:rFonts w:hint="eastAsia" w:ascii="方正小标宋_GBK" w:hAnsi="方正小标宋_GBK" w:eastAsia="方正小标宋_GBK" w:cs="方正小标宋_GBK"/>
          <w:b w:val="0"/>
          <w:bCs w:val="0"/>
          <w:spacing w:val="7"/>
          <w:sz w:val="44"/>
          <w:szCs w:val="44"/>
          <w:lang w:val="en-US" w:eastAsia="zh-CN"/>
        </w:rPr>
        <w:sectPr>
          <w:footerReference r:id="rId5" w:type="default"/>
          <w:pgSz w:w="11907" w:h="16839"/>
          <w:pgMar w:top="1440" w:right="1800" w:bottom="1440" w:left="1800" w:header="0" w:footer="952" w:gutter="0"/>
          <w:pgNumType w:fmt="decimal"/>
          <w:cols w:space="720" w:num="1"/>
        </w:sectPr>
      </w:pPr>
      <w:r>
        <w:rPr>
          <w:rFonts w:hint="default" w:ascii="Times New Roman" w:hAnsi="Times New Roman" w:eastAsia="方正小标宋_GBK" w:cs="Times New Roman"/>
          <w:b w:val="0"/>
          <w:bCs w:val="0"/>
          <w:spacing w:val="7"/>
          <w:sz w:val="44"/>
          <w:szCs w:val="44"/>
          <w:lang w:val="en-US" w:eastAsia="zh-CN"/>
        </w:rPr>
        <w:t>2026</w:t>
      </w:r>
      <w:r>
        <w:rPr>
          <w:rFonts w:hint="eastAsia" w:ascii="方正小标宋_GBK" w:hAnsi="方正小标宋_GBK" w:eastAsia="方正小标宋_GBK" w:cs="方正小标宋_GBK"/>
          <w:b w:val="0"/>
          <w:bCs w:val="0"/>
          <w:spacing w:val="7"/>
          <w:sz w:val="44"/>
          <w:szCs w:val="44"/>
          <w:lang w:val="en-US" w:eastAsia="zh-CN"/>
        </w:rPr>
        <w:t>年</w:t>
      </w:r>
      <w:r>
        <w:rPr>
          <w:rFonts w:hint="eastAsia" w:ascii="Times New Roman" w:hAnsi="Times New Roman" w:eastAsia="方正小标宋_GBK" w:cs="Times New Roman"/>
          <w:b w:val="0"/>
          <w:bCs w:val="0"/>
          <w:spacing w:val="7"/>
          <w:sz w:val="44"/>
          <w:szCs w:val="44"/>
          <w:lang w:val="en-US" w:eastAsia="zh-CN"/>
        </w:rPr>
        <w:t>6</w:t>
      </w:r>
      <w:r>
        <w:rPr>
          <w:rFonts w:hint="eastAsia" w:ascii="方正小标宋_GBK" w:hAnsi="方正小标宋_GBK" w:eastAsia="方正小标宋_GBK" w:cs="方正小标宋_GBK"/>
          <w:b w:val="0"/>
          <w:bCs w:val="0"/>
          <w:spacing w:val="7"/>
          <w:sz w:val="44"/>
          <w:szCs w:val="44"/>
          <w:lang w:val="en-US" w:eastAsia="zh-CN"/>
        </w:rPr>
        <w:t>月</w:t>
      </w:r>
    </w:p>
    <w:sdt>
      <w:sdtPr>
        <w:rPr>
          <w:rFonts w:hint="eastAsia" w:ascii="仿宋" w:hAnsi="仿宋" w:eastAsia="仿宋" w:cs="仿宋"/>
          <w:b/>
          <w:bCs/>
          <w:snapToGrid w:val="0"/>
          <w:color w:val="000000"/>
          <w:kern w:val="0"/>
          <w:sz w:val="32"/>
          <w:szCs w:val="32"/>
          <w:lang w:val="en-US" w:eastAsia="en-US" w:bidi="ar-SA"/>
        </w:rPr>
        <w:id w:val="147483448"/>
        <w15:color w:val="DBDBDB"/>
        <w:docPartObj>
          <w:docPartGallery w:val="Table of Contents"/>
          <w:docPartUnique/>
        </w:docPartObj>
      </w:sdtPr>
      <w:sdtEndPr>
        <w:rPr>
          <w:rFonts w:hint="eastAsia" w:ascii="Arial" w:hAnsi="Arial" w:eastAsia="Arial" w:cs="Arial"/>
          <w:b/>
          <w:bCs/>
          <w:snapToGrid w:val="0"/>
          <w:color w:val="000000"/>
          <w:kern w:val="0"/>
          <w:sz w:val="21"/>
          <w:szCs w:val="21"/>
          <w:lang w:val="en-US" w:eastAsia="en-US" w:bidi="ar-SA"/>
        </w:rPr>
      </w:sdtEndPr>
      <w:sdtContent>
        <w:p w14:paraId="18941FF5">
          <w:pPr>
            <w:keepNext w:val="0"/>
            <w:keepLines w:val="0"/>
            <w:pageBreakBefore w:val="0"/>
            <w:widowControl/>
            <w:kinsoku w:val="0"/>
            <w:wordWrap/>
            <w:overflowPunct/>
            <w:topLinePunct w:val="0"/>
            <w:autoSpaceDE w:val="0"/>
            <w:autoSpaceDN w:val="0"/>
            <w:bidi w:val="0"/>
            <w:adjustRightInd w:val="0"/>
            <w:snapToGrid w:val="0"/>
            <w:spacing w:before="0" w:after="0" w:line="560" w:lineRule="exact"/>
            <w:ind w:left="0" w:leftChars="0" w:right="0" w:rightChars="0" w:firstLine="0" w:firstLineChars="0"/>
            <w:jc w:val="center"/>
            <w:textAlignment w:val="baseline"/>
            <w:outlineLvl w:val="9"/>
            <w:rPr>
              <w:rFonts w:hint="eastAsia" w:ascii="仿宋" w:hAnsi="仿宋" w:eastAsia="仿宋" w:cs="仿宋"/>
              <w:b/>
              <w:bCs/>
              <w:sz w:val="32"/>
              <w:szCs w:val="32"/>
            </w:rPr>
          </w:pPr>
          <w:r>
            <w:rPr>
              <w:rFonts w:hint="eastAsia" w:ascii="仿宋" w:hAnsi="仿宋" w:eastAsia="仿宋" w:cs="仿宋"/>
              <w:b/>
              <w:bCs/>
              <w:sz w:val="32"/>
              <w:szCs w:val="32"/>
            </w:rPr>
            <w:t>目录</w:t>
          </w:r>
        </w:p>
        <w:p w14:paraId="7AF37DD0">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 w:hAnsi="仿宋" w:eastAsia="仿宋" w:cs="仿宋"/>
              <w:b/>
              <w:bCs/>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color w:val="000000"/>
              <w:kern w:val="0"/>
              <w:sz w:val="32"/>
              <w:szCs w:val="32"/>
              <w:lang w:val="en-US" w:eastAsia="en-US" w:bidi="ar-SA"/>
            </w:rPr>
            <w:instrText xml:space="preserve">TOC \o "1-2" \h \u </w:instrText>
          </w:r>
          <w:r>
            <w:rPr>
              <w:rFonts w:hint="eastAsia" w:ascii="仿宋" w:hAnsi="仿宋" w:eastAsia="仿宋" w:cs="仿宋"/>
              <w:snapToGrid w:val="0"/>
              <w:color w:val="000000"/>
              <w:kern w:val="0"/>
              <w:sz w:val="32"/>
              <w:szCs w:val="32"/>
              <w:lang w:val="en-US" w:eastAsia="en-US" w:bidi="ar-SA"/>
            </w:rPr>
            <w:fldChar w:fldCharType="separate"/>
          </w:r>
          <w:r>
            <w:rPr>
              <w:rFonts w:hint="eastAsia" w:ascii="仿宋" w:hAnsi="仿宋" w:eastAsia="仿宋" w:cs="仿宋"/>
              <w:b/>
              <w:bCs/>
              <w:snapToGrid w:val="0"/>
              <w:color w:val="000000"/>
              <w:kern w:val="0"/>
              <w:sz w:val="32"/>
              <w:szCs w:val="32"/>
              <w:lang w:val="en-US" w:eastAsia="en-US" w:bidi="ar-SA"/>
            </w:rPr>
            <w:fldChar w:fldCharType="begin"/>
          </w:r>
          <w:r>
            <w:rPr>
              <w:rFonts w:hint="eastAsia" w:ascii="仿宋" w:hAnsi="仿宋" w:eastAsia="仿宋" w:cs="仿宋"/>
              <w:b/>
              <w:bCs/>
              <w:snapToGrid w:val="0"/>
              <w:kern w:val="0"/>
              <w:sz w:val="32"/>
              <w:szCs w:val="32"/>
              <w:lang w:val="en-US" w:eastAsia="en-US" w:bidi="ar-SA"/>
            </w:rPr>
            <w:instrText xml:space="preserve"> HYPERLINK \l _Toc21729 </w:instrText>
          </w:r>
          <w:r>
            <w:rPr>
              <w:rFonts w:hint="eastAsia" w:ascii="仿宋" w:hAnsi="仿宋" w:eastAsia="仿宋" w:cs="仿宋"/>
              <w:b/>
              <w:bCs/>
              <w:snapToGrid w:val="0"/>
              <w:kern w:val="0"/>
              <w:sz w:val="32"/>
              <w:szCs w:val="32"/>
              <w:lang w:val="en-US" w:eastAsia="en-US" w:bidi="ar-SA"/>
            </w:rPr>
            <w:fldChar w:fldCharType="separate"/>
          </w:r>
          <w:r>
            <w:rPr>
              <w:rFonts w:hint="eastAsia" w:ascii="仿宋" w:hAnsi="仿宋" w:eastAsia="仿宋" w:cs="仿宋"/>
              <w:b/>
              <w:bCs/>
              <w:spacing w:val="9"/>
              <w:sz w:val="32"/>
              <w:szCs w:val="32"/>
              <w:lang w:val="en-US" w:eastAsia="zh-CN"/>
            </w:rPr>
            <w:t>一、</w:t>
          </w:r>
          <w:r>
            <w:rPr>
              <w:rFonts w:hint="eastAsia" w:ascii="仿宋" w:hAnsi="仿宋" w:eastAsia="仿宋" w:cs="仿宋"/>
              <w:b/>
              <w:bCs/>
              <w:spacing w:val="9"/>
              <w:sz w:val="32"/>
              <w:szCs w:val="32"/>
            </w:rPr>
            <w:t>单位概况</w:t>
          </w:r>
          <w:r>
            <w:rPr>
              <w:rFonts w:hint="eastAsia" w:ascii="仿宋" w:hAnsi="仿宋" w:eastAsia="仿宋" w:cs="仿宋"/>
              <w:b/>
              <w:bCs/>
              <w:sz w:val="32"/>
              <w:szCs w:val="32"/>
            </w:rPr>
            <w:tab/>
          </w:r>
          <w:r>
            <w:rPr>
              <w:rFonts w:hint="eastAsia" w:ascii="仿宋" w:hAnsi="仿宋" w:eastAsia="仿宋" w:cs="仿宋"/>
              <w:b/>
              <w:bCs/>
              <w:sz w:val="32"/>
              <w:szCs w:val="32"/>
            </w:rPr>
            <w:fldChar w:fldCharType="begin"/>
          </w:r>
          <w:r>
            <w:rPr>
              <w:rFonts w:hint="eastAsia" w:ascii="仿宋" w:hAnsi="仿宋" w:eastAsia="仿宋" w:cs="仿宋"/>
              <w:b/>
              <w:bCs/>
              <w:sz w:val="32"/>
              <w:szCs w:val="32"/>
            </w:rPr>
            <w:instrText xml:space="preserve"> PAGEREF _Toc21729 \h </w:instrText>
          </w:r>
          <w:r>
            <w:rPr>
              <w:rFonts w:hint="eastAsia" w:ascii="仿宋" w:hAnsi="仿宋" w:eastAsia="仿宋" w:cs="仿宋"/>
              <w:b/>
              <w:bCs/>
              <w:sz w:val="32"/>
              <w:szCs w:val="32"/>
            </w:rPr>
            <w:fldChar w:fldCharType="separate"/>
          </w:r>
          <w:r>
            <w:rPr>
              <w:rFonts w:hint="eastAsia" w:ascii="仿宋" w:hAnsi="仿宋" w:eastAsia="仿宋" w:cs="仿宋"/>
              <w:b/>
              <w:bCs/>
              <w:sz w:val="32"/>
              <w:szCs w:val="32"/>
            </w:rPr>
            <w:t>1</w:t>
          </w:r>
          <w:r>
            <w:rPr>
              <w:rFonts w:hint="eastAsia" w:ascii="仿宋" w:hAnsi="仿宋" w:eastAsia="仿宋" w:cs="仿宋"/>
              <w:b/>
              <w:bCs/>
              <w:sz w:val="32"/>
              <w:szCs w:val="32"/>
            </w:rPr>
            <w:fldChar w:fldCharType="end"/>
          </w:r>
          <w:r>
            <w:rPr>
              <w:rFonts w:hint="eastAsia" w:ascii="仿宋" w:hAnsi="仿宋" w:eastAsia="仿宋" w:cs="仿宋"/>
              <w:b/>
              <w:bCs/>
              <w:snapToGrid w:val="0"/>
              <w:color w:val="000000"/>
              <w:kern w:val="0"/>
              <w:sz w:val="32"/>
              <w:szCs w:val="32"/>
              <w:lang w:val="en-US" w:eastAsia="en-US" w:bidi="ar-SA"/>
            </w:rPr>
            <w:fldChar w:fldCharType="end"/>
          </w:r>
        </w:p>
        <w:p w14:paraId="509AC660">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_Toc11845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9"/>
              <w:sz w:val="32"/>
              <w:szCs w:val="32"/>
            </w:rPr>
            <w:t>（一）单位基本情况</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_Toc11845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7D04F553">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_Toc20241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9"/>
              <w:sz w:val="32"/>
              <w:szCs w:val="32"/>
            </w:rPr>
            <w:t>（二）单位资金情况</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_Toc20241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6F7CD5EA">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_Toc2484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9"/>
              <w:sz w:val="32"/>
              <w:szCs w:val="32"/>
              <w:lang w:eastAsia="zh-CN"/>
            </w:rPr>
            <w:t>（</w:t>
          </w:r>
          <w:r>
            <w:rPr>
              <w:rFonts w:hint="eastAsia" w:ascii="仿宋" w:hAnsi="仿宋" w:eastAsia="仿宋" w:cs="仿宋"/>
              <w:spacing w:val="9"/>
              <w:sz w:val="32"/>
              <w:szCs w:val="32"/>
              <w:lang w:val="en-US" w:eastAsia="zh-CN"/>
            </w:rPr>
            <w:t>三</w:t>
          </w:r>
          <w:r>
            <w:rPr>
              <w:rFonts w:hint="eastAsia" w:ascii="仿宋" w:hAnsi="仿宋" w:eastAsia="仿宋" w:cs="仿宋"/>
              <w:spacing w:val="9"/>
              <w:sz w:val="32"/>
              <w:szCs w:val="32"/>
              <w:lang w:eastAsia="zh-CN"/>
            </w:rPr>
            <w:t>）</w:t>
          </w:r>
          <w:r>
            <w:rPr>
              <w:rFonts w:hint="eastAsia" w:ascii="仿宋" w:hAnsi="仿宋" w:eastAsia="仿宋" w:cs="仿宋"/>
              <w:spacing w:val="9"/>
              <w:sz w:val="32"/>
              <w:szCs w:val="32"/>
            </w:rPr>
            <w:t>单位绩效目标</w:t>
          </w:r>
          <w:r>
            <w:rPr>
              <w:rFonts w:hint="eastAsia" w:ascii="仿宋" w:hAnsi="仿宋" w:eastAsia="仿宋" w:cs="仿宋"/>
              <w:sz w:val="32"/>
              <w:szCs w:val="32"/>
            </w:rPr>
            <w:tab/>
          </w:r>
          <w:r>
            <w:rPr>
              <w:rFonts w:hint="eastAsia" w:ascii="仿宋" w:hAnsi="仿宋" w:eastAsia="仿宋" w:cs="仿宋"/>
              <w:sz w:val="32"/>
              <w:szCs w:val="32"/>
              <w:lang w:val="en-US" w:eastAsia="zh-CN"/>
            </w:rPr>
            <w:t>6</w:t>
          </w:r>
          <w:r>
            <w:rPr>
              <w:rFonts w:hint="eastAsia" w:ascii="仿宋" w:hAnsi="仿宋" w:eastAsia="仿宋" w:cs="仿宋"/>
              <w:snapToGrid w:val="0"/>
              <w:color w:val="000000"/>
              <w:kern w:val="0"/>
              <w:sz w:val="32"/>
              <w:szCs w:val="32"/>
              <w:lang w:val="en-US" w:eastAsia="en-US" w:bidi="ar-SA"/>
            </w:rPr>
            <w:fldChar w:fldCharType="end"/>
          </w:r>
        </w:p>
        <w:p w14:paraId="1E235F9A">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 w:hAnsi="仿宋" w:eastAsia="仿宋" w:cs="仿宋"/>
              <w:b/>
              <w:bCs/>
              <w:sz w:val="32"/>
              <w:szCs w:val="32"/>
            </w:rPr>
          </w:pPr>
          <w:r>
            <w:rPr>
              <w:rFonts w:hint="eastAsia" w:ascii="仿宋" w:hAnsi="仿宋" w:eastAsia="仿宋" w:cs="仿宋"/>
              <w:b/>
              <w:bCs/>
              <w:snapToGrid w:val="0"/>
              <w:color w:val="000000"/>
              <w:kern w:val="0"/>
              <w:sz w:val="32"/>
              <w:szCs w:val="32"/>
              <w:lang w:val="en-US" w:eastAsia="en-US" w:bidi="ar-SA"/>
            </w:rPr>
            <w:fldChar w:fldCharType="begin"/>
          </w:r>
          <w:r>
            <w:rPr>
              <w:rFonts w:hint="eastAsia" w:ascii="仿宋" w:hAnsi="仿宋" w:eastAsia="仿宋" w:cs="仿宋"/>
              <w:b/>
              <w:bCs/>
              <w:snapToGrid w:val="0"/>
              <w:kern w:val="0"/>
              <w:sz w:val="32"/>
              <w:szCs w:val="32"/>
              <w:lang w:val="en-US" w:eastAsia="en-US" w:bidi="ar-SA"/>
            </w:rPr>
            <w:instrText xml:space="preserve"> HYPERLINK \l _Toc22245 </w:instrText>
          </w:r>
          <w:r>
            <w:rPr>
              <w:rFonts w:hint="eastAsia" w:ascii="仿宋" w:hAnsi="仿宋" w:eastAsia="仿宋" w:cs="仿宋"/>
              <w:b/>
              <w:bCs/>
              <w:snapToGrid w:val="0"/>
              <w:kern w:val="0"/>
              <w:sz w:val="32"/>
              <w:szCs w:val="32"/>
              <w:lang w:val="en-US" w:eastAsia="en-US" w:bidi="ar-SA"/>
            </w:rPr>
            <w:fldChar w:fldCharType="separate"/>
          </w:r>
          <w:r>
            <w:rPr>
              <w:rFonts w:hint="eastAsia" w:ascii="仿宋" w:hAnsi="仿宋" w:eastAsia="仿宋" w:cs="仿宋"/>
              <w:b/>
              <w:bCs/>
              <w:spacing w:val="9"/>
              <w:sz w:val="32"/>
              <w:szCs w:val="32"/>
              <w:lang w:val="en-US" w:eastAsia="zh-CN"/>
            </w:rPr>
            <w:t>二、</w:t>
          </w:r>
          <w:r>
            <w:rPr>
              <w:rFonts w:hint="eastAsia" w:ascii="仿宋" w:hAnsi="仿宋" w:eastAsia="仿宋" w:cs="仿宋"/>
              <w:b/>
              <w:bCs/>
              <w:spacing w:val="9"/>
              <w:sz w:val="32"/>
              <w:szCs w:val="32"/>
            </w:rPr>
            <w:t>评价结论</w:t>
          </w:r>
          <w:r>
            <w:rPr>
              <w:rFonts w:hint="eastAsia" w:ascii="仿宋" w:hAnsi="仿宋" w:eastAsia="仿宋" w:cs="仿宋"/>
              <w:b/>
              <w:bCs/>
              <w:sz w:val="32"/>
              <w:szCs w:val="32"/>
            </w:rPr>
            <w:tab/>
          </w:r>
          <w:r>
            <w:rPr>
              <w:rFonts w:hint="eastAsia" w:ascii="仿宋" w:hAnsi="仿宋" w:eastAsia="仿宋" w:cs="仿宋"/>
              <w:b/>
              <w:bCs/>
              <w:sz w:val="32"/>
              <w:szCs w:val="32"/>
            </w:rPr>
            <w:fldChar w:fldCharType="begin"/>
          </w:r>
          <w:r>
            <w:rPr>
              <w:rFonts w:hint="eastAsia" w:ascii="仿宋" w:hAnsi="仿宋" w:eastAsia="仿宋" w:cs="仿宋"/>
              <w:b/>
              <w:bCs/>
              <w:sz w:val="32"/>
              <w:szCs w:val="32"/>
            </w:rPr>
            <w:instrText xml:space="preserve"> PAGEREF _Toc22245 \h </w:instrText>
          </w:r>
          <w:r>
            <w:rPr>
              <w:rFonts w:hint="eastAsia" w:ascii="仿宋" w:hAnsi="仿宋" w:eastAsia="仿宋" w:cs="仿宋"/>
              <w:b/>
              <w:bCs/>
              <w:sz w:val="32"/>
              <w:szCs w:val="32"/>
            </w:rPr>
            <w:fldChar w:fldCharType="separate"/>
          </w:r>
          <w:r>
            <w:rPr>
              <w:rFonts w:hint="eastAsia" w:ascii="仿宋" w:hAnsi="仿宋" w:eastAsia="仿宋" w:cs="仿宋"/>
              <w:b/>
              <w:bCs/>
              <w:sz w:val="32"/>
              <w:szCs w:val="32"/>
            </w:rPr>
            <w:t>7</w:t>
          </w:r>
          <w:r>
            <w:rPr>
              <w:rFonts w:hint="eastAsia" w:ascii="仿宋" w:hAnsi="仿宋" w:eastAsia="仿宋" w:cs="仿宋"/>
              <w:b/>
              <w:bCs/>
              <w:sz w:val="32"/>
              <w:szCs w:val="32"/>
            </w:rPr>
            <w:fldChar w:fldCharType="end"/>
          </w:r>
          <w:r>
            <w:rPr>
              <w:rFonts w:hint="eastAsia" w:ascii="仿宋" w:hAnsi="仿宋" w:eastAsia="仿宋" w:cs="仿宋"/>
              <w:b/>
              <w:bCs/>
              <w:snapToGrid w:val="0"/>
              <w:color w:val="000000"/>
              <w:kern w:val="0"/>
              <w:sz w:val="32"/>
              <w:szCs w:val="32"/>
              <w:lang w:val="en-US" w:eastAsia="en-US" w:bidi="ar-SA"/>
            </w:rPr>
            <w:fldChar w:fldCharType="end"/>
          </w:r>
        </w:p>
        <w:p w14:paraId="403053C7">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_Toc15219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3"/>
              <w:sz w:val="32"/>
              <w:szCs w:val="32"/>
              <w:lang w:eastAsia="zh-CN"/>
            </w:rPr>
            <w:t>（一）评价对象与范围</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_Toc15219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2B0EF1F0">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_Toc7957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3"/>
              <w:sz w:val="32"/>
              <w:szCs w:val="32"/>
              <w:lang w:eastAsia="zh-CN"/>
            </w:rPr>
            <w:t>（二）绩效评价结论</w:t>
          </w:r>
          <w:r>
            <w:rPr>
              <w:rFonts w:hint="eastAsia" w:ascii="仿宋" w:hAnsi="仿宋" w:eastAsia="仿宋" w:cs="仿宋"/>
              <w:sz w:val="32"/>
              <w:szCs w:val="32"/>
            </w:rPr>
            <w:tab/>
          </w:r>
          <w:r>
            <w:rPr>
              <w:rFonts w:hint="eastAsia" w:ascii="仿宋" w:hAnsi="仿宋" w:eastAsia="仿宋" w:cs="仿宋"/>
              <w:sz w:val="32"/>
              <w:szCs w:val="32"/>
              <w:lang w:val="en-US" w:eastAsia="zh-CN"/>
            </w:rPr>
            <w:t>8</w:t>
          </w:r>
          <w:r>
            <w:rPr>
              <w:rFonts w:hint="eastAsia" w:ascii="仿宋" w:hAnsi="仿宋" w:eastAsia="仿宋" w:cs="仿宋"/>
              <w:snapToGrid w:val="0"/>
              <w:color w:val="000000"/>
              <w:kern w:val="0"/>
              <w:sz w:val="32"/>
              <w:szCs w:val="32"/>
              <w:lang w:val="en-US" w:eastAsia="en-US" w:bidi="ar-SA"/>
            </w:rPr>
            <w:fldChar w:fldCharType="end"/>
          </w:r>
        </w:p>
        <w:p w14:paraId="50F374BA">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 w:hAnsi="仿宋" w:eastAsia="仿宋" w:cs="仿宋"/>
              <w:b/>
              <w:bCs/>
              <w:sz w:val="32"/>
              <w:szCs w:val="32"/>
            </w:rPr>
          </w:pPr>
          <w:r>
            <w:rPr>
              <w:rFonts w:hint="eastAsia" w:ascii="仿宋" w:hAnsi="仿宋" w:eastAsia="仿宋" w:cs="仿宋"/>
              <w:b/>
              <w:bCs/>
              <w:snapToGrid w:val="0"/>
              <w:color w:val="000000"/>
              <w:kern w:val="0"/>
              <w:sz w:val="32"/>
              <w:szCs w:val="32"/>
              <w:lang w:val="en-US" w:eastAsia="en-US" w:bidi="ar-SA"/>
            </w:rPr>
            <w:fldChar w:fldCharType="begin"/>
          </w:r>
          <w:r>
            <w:rPr>
              <w:rFonts w:hint="eastAsia" w:ascii="仿宋" w:hAnsi="仿宋" w:eastAsia="仿宋" w:cs="仿宋"/>
              <w:b/>
              <w:bCs/>
              <w:snapToGrid w:val="0"/>
              <w:kern w:val="0"/>
              <w:sz w:val="32"/>
              <w:szCs w:val="32"/>
              <w:lang w:val="en-US" w:eastAsia="en-US" w:bidi="ar-SA"/>
            </w:rPr>
            <w:instrText xml:space="preserve"> HYPERLINK \l _Toc7997 </w:instrText>
          </w:r>
          <w:r>
            <w:rPr>
              <w:rFonts w:hint="eastAsia" w:ascii="仿宋" w:hAnsi="仿宋" w:eastAsia="仿宋" w:cs="仿宋"/>
              <w:b/>
              <w:bCs/>
              <w:snapToGrid w:val="0"/>
              <w:kern w:val="0"/>
              <w:sz w:val="32"/>
              <w:szCs w:val="32"/>
              <w:lang w:val="en-US" w:eastAsia="en-US" w:bidi="ar-SA"/>
            </w:rPr>
            <w:fldChar w:fldCharType="separate"/>
          </w:r>
          <w:r>
            <w:rPr>
              <w:rFonts w:hint="eastAsia" w:ascii="仿宋" w:hAnsi="仿宋" w:eastAsia="仿宋" w:cs="仿宋"/>
              <w:b/>
              <w:bCs/>
              <w:spacing w:val="9"/>
              <w:sz w:val="32"/>
              <w:szCs w:val="32"/>
              <w:highlight w:val="none"/>
              <w:lang w:val="en-US" w:eastAsia="zh-CN"/>
            </w:rPr>
            <w:t>三、</w:t>
          </w:r>
          <w:r>
            <w:rPr>
              <w:rFonts w:hint="eastAsia" w:ascii="仿宋" w:hAnsi="仿宋" w:eastAsia="仿宋" w:cs="仿宋"/>
              <w:b/>
              <w:bCs/>
              <w:spacing w:val="9"/>
              <w:sz w:val="32"/>
              <w:szCs w:val="32"/>
              <w:highlight w:val="none"/>
            </w:rPr>
            <w:t>部门履职成效</w:t>
          </w:r>
          <w:r>
            <w:rPr>
              <w:rFonts w:hint="eastAsia" w:ascii="仿宋" w:hAnsi="仿宋" w:eastAsia="仿宋" w:cs="仿宋"/>
              <w:b/>
              <w:bCs/>
              <w:sz w:val="32"/>
              <w:szCs w:val="32"/>
            </w:rPr>
            <w:tab/>
          </w:r>
          <w:r>
            <w:rPr>
              <w:rFonts w:hint="eastAsia" w:ascii="仿宋" w:hAnsi="仿宋" w:eastAsia="仿宋" w:cs="仿宋"/>
              <w:b/>
              <w:bCs/>
              <w:sz w:val="32"/>
              <w:szCs w:val="32"/>
              <w:lang w:val="en-US" w:eastAsia="zh-CN"/>
            </w:rPr>
            <w:t>8</w:t>
          </w:r>
          <w:r>
            <w:rPr>
              <w:rFonts w:hint="eastAsia" w:ascii="仿宋" w:hAnsi="仿宋" w:eastAsia="仿宋" w:cs="仿宋"/>
              <w:b/>
              <w:bCs/>
              <w:snapToGrid w:val="0"/>
              <w:color w:val="000000"/>
              <w:kern w:val="0"/>
              <w:sz w:val="32"/>
              <w:szCs w:val="32"/>
              <w:lang w:val="en-US" w:eastAsia="en-US" w:bidi="ar-SA"/>
            </w:rPr>
            <w:fldChar w:fldCharType="end"/>
          </w:r>
        </w:p>
        <w:p w14:paraId="670F79CC">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_Toc16585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napToGrid w:val="0"/>
              <w:spacing w:val="3"/>
              <w:kern w:val="0"/>
              <w:sz w:val="32"/>
              <w:szCs w:val="32"/>
              <w:highlight w:val="none"/>
              <w:lang w:val="en-US" w:eastAsia="zh-CN" w:bidi="ar-SA"/>
            </w:rPr>
            <w:t>（一）聚焦重大主题，建好守好宣传阵地</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_Toc16585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3495C9DF">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_Toc19596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napToGrid w:val="0"/>
              <w:spacing w:val="3"/>
              <w:kern w:val="0"/>
              <w:sz w:val="32"/>
              <w:szCs w:val="32"/>
              <w:highlight w:val="none"/>
              <w:lang w:val="en-US" w:eastAsia="zh-CN" w:bidi="ar-SA"/>
            </w:rPr>
            <w:t>（二）深化品牌建设，拓宽公众参与渠道</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_Toc19596 \h </w:instrText>
          </w:r>
          <w:r>
            <w:rPr>
              <w:rFonts w:hint="eastAsia" w:ascii="仿宋" w:hAnsi="仿宋" w:eastAsia="仿宋" w:cs="仿宋"/>
              <w:sz w:val="32"/>
              <w:szCs w:val="32"/>
            </w:rPr>
            <w:fldChar w:fldCharType="separate"/>
          </w:r>
          <w:r>
            <w:rPr>
              <w:rFonts w:hint="eastAsia" w:ascii="仿宋" w:hAnsi="仿宋" w:eastAsia="仿宋" w:cs="仿宋"/>
              <w:sz w:val="32"/>
              <w:szCs w:val="32"/>
            </w:rPr>
            <w:t>11</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4D0E843B">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_Toc5309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napToGrid w:val="0"/>
              <w:spacing w:val="3"/>
              <w:kern w:val="0"/>
              <w:sz w:val="32"/>
              <w:szCs w:val="32"/>
              <w:highlight w:val="none"/>
              <w:lang w:val="en-US" w:eastAsia="zh-CN" w:bidi="ar-SA"/>
            </w:rPr>
            <w:t>（三）强化技术支撑，筑牢信息化保障底线​</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2</w:t>
          </w:r>
        </w:p>
        <w:p w14:paraId="4D481308">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 w:hAnsi="仿宋" w:eastAsia="仿宋" w:cs="仿宋"/>
              <w:b/>
              <w:bCs/>
              <w:sz w:val="32"/>
              <w:szCs w:val="32"/>
              <w:lang w:val="en-US" w:eastAsia="zh-CN"/>
            </w:rPr>
          </w:pPr>
          <w:r>
            <w:rPr>
              <w:rFonts w:hint="eastAsia" w:ascii="仿宋" w:hAnsi="仿宋" w:eastAsia="仿宋" w:cs="仿宋"/>
              <w:b/>
              <w:bCs/>
              <w:snapToGrid w:val="0"/>
              <w:color w:val="000000"/>
              <w:kern w:val="0"/>
              <w:sz w:val="32"/>
              <w:szCs w:val="32"/>
              <w:lang w:val="en-US" w:eastAsia="en-US" w:bidi="ar-SA"/>
            </w:rPr>
            <w:fldChar w:fldCharType="begin"/>
          </w:r>
          <w:r>
            <w:rPr>
              <w:rFonts w:hint="eastAsia" w:ascii="仿宋" w:hAnsi="仿宋" w:eastAsia="仿宋" w:cs="仿宋"/>
              <w:b/>
              <w:bCs/>
              <w:snapToGrid w:val="0"/>
              <w:kern w:val="0"/>
              <w:sz w:val="32"/>
              <w:szCs w:val="32"/>
              <w:lang w:val="en-US" w:eastAsia="en-US" w:bidi="ar-SA"/>
            </w:rPr>
            <w:instrText xml:space="preserve"> HYPERLINK \l _Toc940 </w:instrText>
          </w:r>
          <w:r>
            <w:rPr>
              <w:rFonts w:hint="eastAsia" w:ascii="仿宋" w:hAnsi="仿宋" w:eastAsia="仿宋" w:cs="仿宋"/>
              <w:b/>
              <w:bCs/>
              <w:snapToGrid w:val="0"/>
              <w:kern w:val="0"/>
              <w:sz w:val="32"/>
              <w:szCs w:val="32"/>
              <w:lang w:val="en-US" w:eastAsia="en-US" w:bidi="ar-SA"/>
            </w:rPr>
            <w:fldChar w:fldCharType="separate"/>
          </w:r>
          <w:r>
            <w:rPr>
              <w:rFonts w:hint="eastAsia" w:ascii="仿宋" w:hAnsi="仿宋" w:eastAsia="仿宋" w:cs="仿宋"/>
              <w:b/>
              <w:bCs/>
              <w:spacing w:val="9"/>
              <w:sz w:val="32"/>
              <w:szCs w:val="32"/>
              <w:highlight w:val="none"/>
              <w:lang w:val="en-US" w:eastAsia="zh-CN"/>
            </w:rPr>
            <w:t>四、</w:t>
          </w:r>
          <w:r>
            <w:rPr>
              <w:rFonts w:hint="eastAsia" w:ascii="仿宋" w:hAnsi="仿宋" w:eastAsia="仿宋" w:cs="仿宋"/>
              <w:b/>
              <w:bCs/>
              <w:spacing w:val="9"/>
              <w:sz w:val="32"/>
              <w:szCs w:val="32"/>
              <w:highlight w:val="none"/>
            </w:rPr>
            <w:t>存在问题及原因分析</w:t>
          </w:r>
          <w:r>
            <w:rPr>
              <w:rFonts w:hint="eastAsia" w:ascii="仿宋" w:hAnsi="仿宋" w:eastAsia="仿宋" w:cs="仿宋"/>
              <w:b/>
              <w:bCs/>
              <w:sz w:val="32"/>
              <w:szCs w:val="32"/>
            </w:rPr>
            <w:tab/>
          </w:r>
          <w:r>
            <w:rPr>
              <w:rFonts w:hint="eastAsia" w:ascii="仿宋" w:hAnsi="仿宋" w:eastAsia="仿宋" w:cs="仿宋"/>
              <w:b/>
              <w:bCs/>
              <w:sz w:val="32"/>
              <w:szCs w:val="32"/>
              <w:lang w:val="en-US" w:eastAsia="zh-CN"/>
            </w:rPr>
            <w:t>1</w:t>
          </w:r>
          <w:r>
            <w:rPr>
              <w:rFonts w:hint="eastAsia" w:ascii="仿宋" w:hAnsi="仿宋" w:eastAsia="仿宋" w:cs="仿宋"/>
              <w:b/>
              <w:bCs/>
              <w:snapToGrid w:val="0"/>
              <w:color w:val="000000"/>
              <w:kern w:val="0"/>
              <w:sz w:val="32"/>
              <w:szCs w:val="32"/>
              <w:lang w:val="en-US" w:eastAsia="en-US" w:bidi="ar-SA"/>
            </w:rPr>
            <w:fldChar w:fldCharType="end"/>
          </w:r>
          <w:r>
            <w:rPr>
              <w:rFonts w:hint="eastAsia" w:ascii="仿宋" w:hAnsi="仿宋" w:eastAsia="仿宋" w:cs="仿宋"/>
              <w:b/>
              <w:bCs/>
              <w:snapToGrid w:val="0"/>
              <w:color w:val="000000"/>
              <w:kern w:val="0"/>
              <w:sz w:val="32"/>
              <w:szCs w:val="32"/>
              <w:lang w:val="en-US" w:eastAsia="zh-CN" w:bidi="ar-SA"/>
            </w:rPr>
            <w:t>4</w:t>
          </w:r>
        </w:p>
        <w:p w14:paraId="302CBCDD">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_Toc649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3"/>
              <w:sz w:val="32"/>
              <w:szCs w:val="32"/>
              <w:highlight w:val="none"/>
              <w:lang w:val="en-US" w:eastAsia="zh-CN"/>
            </w:rPr>
            <w:t>（一）年初绩效指标设置有待优化</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4</w:t>
          </w:r>
        </w:p>
        <w:p w14:paraId="760E9B17">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_Toc31851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z w:val="32"/>
              <w:szCs w:val="32"/>
              <w:highlight w:val="none"/>
              <w:lang w:val="en-US" w:eastAsia="zh-CN"/>
            </w:rPr>
            <w:t>（二）内部控制制度有待完善</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4</w:t>
          </w:r>
        </w:p>
        <w:p w14:paraId="06E470F4">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 w:hAnsi="仿宋" w:eastAsia="仿宋" w:cs="仿宋"/>
              <w:b/>
              <w:bCs/>
              <w:sz w:val="32"/>
              <w:szCs w:val="32"/>
              <w:lang w:val="en-US" w:eastAsia="zh-CN"/>
            </w:rPr>
          </w:pPr>
          <w:r>
            <w:rPr>
              <w:rFonts w:hint="eastAsia" w:ascii="仿宋" w:hAnsi="仿宋" w:eastAsia="仿宋" w:cs="仿宋"/>
              <w:b/>
              <w:bCs/>
              <w:snapToGrid w:val="0"/>
              <w:color w:val="000000"/>
              <w:kern w:val="0"/>
              <w:sz w:val="32"/>
              <w:szCs w:val="32"/>
              <w:lang w:val="en-US" w:eastAsia="en-US" w:bidi="ar-SA"/>
            </w:rPr>
            <w:fldChar w:fldCharType="begin"/>
          </w:r>
          <w:r>
            <w:rPr>
              <w:rFonts w:hint="eastAsia" w:ascii="仿宋" w:hAnsi="仿宋" w:eastAsia="仿宋" w:cs="仿宋"/>
              <w:b/>
              <w:bCs/>
              <w:snapToGrid w:val="0"/>
              <w:kern w:val="0"/>
              <w:sz w:val="32"/>
              <w:szCs w:val="32"/>
              <w:lang w:val="en-US" w:eastAsia="en-US" w:bidi="ar-SA"/>
            </w:rPr>
            <w:instrText xml:space="preserve"> HYPERLINK \l _Toc24329 </w:instrText>
          </w:r>
          <w:r>
            <w:rPr>
              <w:rFonts w:hint="eastAsia" w:ascii="仿宋" w:hAnsi="仿宋" w:eastAsia="仿宋" w:cs="仿宋"/>
              <w:b/>
              <w:bCs/>
              <w:snapToGrid w:val="0"/>
              <w:kern w:val="0"/>
              <w:sz w:val="32"/>
              <w:szCs w:val="32"/>
              <w:lang w:val="en-US" w:eastAsia="en-US" w:bidi="ar-SA"/>
            </w:rPr>
            <w:fldChar w:fldCharType="separate"/>
          </w:r>
          <w:r>
            <w:rPr>
              <w:rFonts w:hint="eastAsia" w:ascii="仿宋" w:hAnsi="仿宋" w:eastAsia="仿宋" w:cs="仿宋"/>
              <w:b/>
              <w:bCs/>
              <w:spacing w:val="9"/>
              <w:sz w:val="32"/>
              <w:szCs w:val="32"/>
              <w:highlight w:val="none"/>
              <w:lang w:val="en-US" w:eastAsia="zh-CN"/>
            </w:rPr>
            <w:t>五、</w:t>
          </w:r>
          <w:r>
            <w:rPr>
              <w:rFonts w:hint="eastAsia" w:ascii="仿宋" w:hAnsi="仿宋" w:eastAsia="仿宋" w:cs="仿宋"/>
              <w:b/>
              <w:bCs/>
              <w:spacing w:val="9"/>
              <w:sz w:val="32"/>
              <w:szCs w:val="32"/>
              <w:highlight w:val="none"/>
            </w:rPr>
            <w:t>有关建议</w:t>
          </w:r>
          <w:r>
            <w:rPr>
              <w:rFonts w:hint="eastAsia" w:ascii="仿宋" w:hAnsi="仿宋" w:eastAsia="仿宋" w:cs="仿宋"/>
              <w:b/>
              <w:bCs/>
              <w:sz w:val="32"/>
              <w:szCs w:val="32"/>
            </w:rPr>
            <w:tab/>
          </w:r>
          <w:r>
            <w:rPr>
              <w:rFonts w:hint="eastAsia" w:ascii="仿宋" w:hAnsi="仿宋" w:eastAsia="仿宋" w:cs="仿宋"/>
              <w:b/>
              <w:bCs/>
              <w:sz w:val="32"/>
              <w:szCs w:val="32"/>
              <w:lang w:val="en-US" w:eastAsia="zh-CN"/>
            </w:rPr>
            <w:t>1</w:t>
          </w:r>
          <w:r>
            <w:rPr>
              <w:rFonts w:hint="eastAsia" w:ascii="仿宋" w:hAnsi="仿宋" w:eastAsia="仿宋" w:cs="仿宋"/>
              <w:b/>
              <w:bCs/>
              <w:snapToGrid w:val="0"/>
              <w:color w:val="000000"/>
              <w:kern w:val="0"/>
              <w:sz w:val="32"/>
              <w:szCs w:val="32"/>
              <w:lang w:val="en-US" w:eastAsia="en-US" w:bidi="ar-SA"/>
            </w:rPr>
            <w:fldChar w:fldCharType="end"/>
          </w:r>
          <w:r>
            <w:rPr>
              <w:rFonts w:hint="eastAsia" w:ascii="仿宋" w:hAnsi="仿宋" w:eastAsia="仿宋" w:cs="仿宋"/>
              <w:b/>
              <w:bCs/>
              <w:snapToGrid w:val="0"/>
              <w:color w:val="000000"/>
              <w:kern w:val="0"/>
              <w:sz w:val="32"/>
              <w:szCs w:val="32"/>
              <w:lang w:val="en-US" w:eastAsia="zh-CN" w:bidi="ar-SA"/>
            </w:rPr>
            <w:t>4</w:t>
          </w:r>
        </w:p>
        <w:p w14:paraId="50A45C96">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_Toc27472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3"/>
              <w:sz w:val="32"/>
              <w:szCs w:val="32"/>
              <w:highlight w:val="none"/>
              <w:lang w:val="en-US" w:eastAsia="zh-CN"/>
            </w:rPr>
            <w:t>（一）优化部门年度绩效指标设置</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4</w:t>
          </w:r>
        </w:p>
        <w:p w14:paraId="5D02EFE5">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_Toc31557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napToGrid w:val="0"/>
              <w:kern w:val="0"/>
              <w:sz w:val="32"/>
              <w:szCs w:val="32"/>
              <w:lang w:val="en-US" w:eastAsia="zh-CN" w:bidi="ar-SA"/>
            </w:rPr>
            <w:t>（二）</w:t>
          </w:r>
          <w:r>
            <w:rPr>
              <w:rFonts w:hint="eastAsia" w:ascii="仿宋" w:hAnsi="仿宋" w:eastAsia="仿宋" w:cs="仿宋"/>
              <w:snapToGrid w:val="0"/>
              <w:kern w:val="0"/>
              <w:sz w:val="32"/>
              <w:szCs w:val="32"/>
              <w:highlight w:val="none"/>
              <w:lang w:val="en-US" w:eastAsia="zh-CN" w:bidi="ar-SA"/>
            </w:rPr>
            <w:t>完善内部控制制度</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5</w:t>
          </w:r>
        </w:p>
        <w:p w14:paraId="28D488AE">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b/>
              <w:bCs/>
              <w:snapToGrid w:val="0"/>
              <w:color w:val="000000"/>
              <w:kern w:val="0"/>
              <w:sz w:val="32"/>
              <w:szCs w:val="32"/>
              <w:lang w:val="en-US" w:eastAsia="en-US" w:bidi="ar-SA"/>
            </w:rPr>
            <w:fldChar w:fldCharType="begin"/>
          </w:r>
          <w:r>
            <w:rPr>
              <w:rFonts w:hint="eastAsia" w:ascii="仿宋" w:hAnsi="仿宋" w:eastAsia="仿宋" w:cs="仿宋"/>
              <w:b/>
              <w:bCs/>
              <w:snapToGrid w:val="0"/>
              <w:kern w:val="0"/>
              <w:sz w:val="32"/>
              <w:szCs w:val="32"/>
              <w:lang w:val="en-US" w:eastAsia="en-US" w:bidi="ar-SA"/>
            </w:rPr>
            <w:instrText xml:space="preserve"> HYPERLINK \l _Toc31101 </w:instrText>
          </w:r>
          <w:r>
            <w:rPr>
              <w:rFonts w:hint="eastAsia" w:ascii="仿宋" w:hAnsi="仿宋" w:eastAsia="仿宋" w:cs="仿宋"/>
              <w:b/>
              <w:bCs/>
              <w:snapToGrid w:val="0"/>
              <w:kern w:val="0"/>
              <w:sz w:val="32"/>
              <w:szCs w:val="32"/>
              <w:lang w:val="en-US" w:eastAsia="en-US" w:bidi="ar-SA"/>
            </w:rPr>
            <w:fldChar w:fldCharType="separate"/>
          </w:r>
          <w:r>
            <w:rPr>
              <w:rFonts w:hint="eastAsia" w:ascii="仿宋" w:hAnsi="仿宋" w:eastAsia="仿宋" w:cs="仿宋"/>
              <w:b/>
              <w:bCs/>
              <w:spacing w:val="9"/>
              <w:sz w:val="32"/>
              <w:szCs w:val="32"/>
              <w:lang w:val="en-US" w:eastAsia="zh-CN"/>
            </w:rPr>
            <w:t>六、</w:t>
          </w:r>
          <w:r>
            <w:rPr>
              <w:rFonts w:hint="eastAsia" w:ascii="仿宋" w:hAnsi="仿宋" w:eastAsia="仿宋" w:cs="仿宋"/>
              <w:b/>
              <w:bCs/>
              <w:spacing w:val="9"/>
              <w:sz w:val="32"/>
              <w:szCs w:val="32"/>
            </w:rPr>
            <w:t>评价工作开展情况及其他需说明的情况</w:t>
          </w:r>
          <w:r>
            <w:rPr>
              <w:rFonts w:hint="eastAsia" w:ascii="仿宋" w:hAnsi="仿宋" w:eastAsia="仿宋" w:cs="仿宋"/>
              <w:b/>
              <w:bCs/>
              <w:sz w:val="32"/>
              <w:szCs w:val="32"/>
            </w:rPr>
            <w:tab/>
          </w:r>
          <w:r>
            <w:rPr>
              <w:rFonts w:hint="eastAsia" w:ascii="仿宋" w:hAnsi="仿宋" w:eastAsia="仿宋" w:cs="仿宋"/>
              <w:b/>
              <w:bCs/>
              <w:sz w:val="32"/>
              <w:szCs w:val="32"/>
              <w:lang w:val="en-US" w:eastAsia="zh-CN"/>
            </w:rPr>
            <w:t>1</w:t>
          </w:r>
          <w:r>
            <w:rPr>
              <w:rFonts w:hint="eastAsia" w:ascii="仿宋" w:hAnsi="仿宋" w:eastAsia="仿宋" w:cs="仿宋"/>
              <w:b/>
              <w:bCs/>
              <w:snapToGrid w:val="0"/>
              <w:color w:val="000000"/>
              <w:kern w:val="0"/>
              <w:sz w:val="32"/>
              <w:szCs w:val="32"/>
              <w:lang w:val="en-US" w:eastAsia="en-US" w:bidi="ar-SA"/>
            </w:rPr>
            <w:fldChar w:fldCharType="end"/>
          </w:r>
          <w:r>
            <w:rPr>
              <w:rFonts w:hint="eastAsia" w:ascii="仿宋" w:hAnsi="仿宋" w:eastAsia="仿宋" w:cs="仿宋"/>
              <w:b/>
              <w:bCs/>
              <w:snapToGrid w:val="0"/>
              <w:color w:val="000000"/>
              <w:kern w:val="0"/>
              <w:sz w:val="32"/>
              <w:szCs w:val="32"/>
              <w:lang w:val="en-US" w:eastAsia="zh-CN" w:bidi="ar-SA"/>
            </w:rPr>
            <w:t>5</w:t>
          </w:r>
        </w:p>
        <w:p w14:paraId="2DAAECE4">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_Toc20287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8"/>
              <w:sz w:val="32"/>
              <w:szCs w:val="32"/>
            </w:rPr>
            <w:t>（一）绩效评价工作情况</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5</w:t>
          </w:r>
        </w:p>
        <w:p w14:paraId="6EA1921D">
          <w:pPr>
            <w:pStyle w:val="5"/>
            <w:keepNext w:val="0"/>
            <w:keepLines w:val="0"/>
            <w:pageBreakBefore w:val="0"/>
            <w:widowControl/>
            <w:tabs>
              <w:tab w:val="right" w:leader="dot" w:pos="8307"/>
            </w:tabs>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_Toc3239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pacing w:val="8"/>
              <w:sz w:val="32"/>
              <w:szCs w:val="32"/>
              <w:lang w:val="en-US" w:eastAsia="zh-CN"/>
            </w:rPr>
            <w:t>（二）其他需要说明的情况</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napToGrid w:val="0"/>
              <w:color w:val="000000"/>
              <w:kern w:val="0"/>
              <w:sz w:val="32"/>
              <w:szCs w:val="32"/>
              <w:lang w:val="en-US" w:eastAsia="en-US" w:bidi="ar-SA"/>
            </w:rPr>
            <w:fldChar w:fldCharType="end"/>
          </w:r>
          <w:r>
            <w:rPr>
              <w:rFonts w:hint="eastAsia" w:ascii="仿宋" w:hAnsi="仿宋" w:eastAsia="仿宋" w:cs="仿宋"/>
              <w:snapToGrid w:val="0"/>
              <w:color w:val="000000"/>
              <w:kern w:val="0"/>
              <w:sz w:val="32"/>
              <w:szCs w:val="32"/>
              <w:lang w:val="en-US" w:eastAsia="zh-CN" w:bidi="ar-SA"/>
            </w:rPr>
            <w:t>7</w:t>
          </w:r>
        </w:p>
        <w:p w14:paraId="20ADB8D0">
          <w:pPr>
            <w:pStyle w:val="9"/>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outlineLvl w:val="9"/>
            <w:rPr>
              <w:rFonts w:hint="eastAsia" w:ascii="Arial" w:hAnsi="Arial" w:eastAsia="Arial" w:cs="Arial"/>
              <w:snapToGrid w:val="0"/>
              <w:color w:val="000000"/>
              <w:kern w:val="0"/>
              <w:sz w:val="21"/>
              <w:szCs w:val="21"/>
              <w:lang w:val="en-US" w:eastAsia="en-US" w:bidi="ar-SA"/>
            </w:rPr>
          </w:pPr>
          <w:r>
            <w:rPr>
              <w:rFonts w:hint="eastAsia" w:ascii="仿宋" w:hAnsi="仿宋" w:eastAsia="仿宋" w:cs="仿宋"/>
              <w:snapToGrid w:val="0"/>
              <w:color w:val="000000"/>
              <w:kern w:val="0"/>
              <w:sz w:val="32"/>
              <w:szCs w:val="32"/>
              <w:lang w:val="en-US" w:eastAsia="en-US" w:bidi="ar-SA"/>
            </w:rPr>
            <w:fldChar w:fldCharType="end"/>
          </w:r>
        </w:p>
      </w:sdtContent>
    </w:sdt>
    <w:p w14:paraId="48743120">
      <w:pPr>
        <w:pStyle w:val="9"/>
        <w:keepNext w:val="0"/>
        <w:keepLines w:val="0"/>
        <w:pageBreakBefore w:val="0"/>
        <w:wordWrap/>
        <w:overflowPunct/>
        <w:topLinePunct w:val="0"/>
        <w:bidi w:val="0"/>
        <w:spacing w:line="560" w:lineRule="exact"/>
        <w:rPr>
          <w:rFonts w:hint="eastAsia" w:ascii="Arial" w:hAnsi="Arial" w:eastAsia="Arial" w:cs="Arial"/>
          <w:snapToGrid w:val="0"/>
          <w:color w:val="000000"/>
          <w:kern w:val="0"/>
          <w:sz w:val="21"/>
          <w:szCs w:val="21"/>
          <w:lang w:val="en-US" w:eastAsia="en-US" w:bidi="ar-SA"/>
        </w:rPr>
        <w:sectPr>
          <w:footerReference r:id="rId6" w:type="default"/>
          <w:pgSz w:w="11907" w:h="16839"/>
          <w:pgMar w:top="1440" w:right="1800" w:bottom="1440" w:left="1800" w:header="0" w:footer="952" w:gutter="0"/>
          <w:pgNumType w:fmt="decimal"/>
          <w:cols w:space="720" w:num="1"/>
        </w:sectPr>
      </w:pPr>
    </w:p>
    <w:p w14:paraId="1F7F66DA">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方正黑体_GBK" w:hAnsi="方正黑体_GBK" w:eastAsia="方正黑体_GBK" w:cs="方正黑体_GBK"/>
          <w:spacing w:val="9"/>
          <w:sz w:val="32"/>
          <w:szCs w:val="32"/>
        </w:rPr>
      </w:pPr>
      <w:bookmarkStart w:id="0" w:name="_Toc21729"/>
      <w:bookmarkStart w:id="1" w:name="_Toc2690"/>
      <w:r>
        <w:rPr>
          <w:rFonts w:hint="eastAsia" w:ascii="方正黑体_GBK" w:hAnsi="方正黑体_GBK" w:eastAsia="方正黑体_GBK" w:cs="方正黑体_GBK"/>
          <w:spacing w:val="9"/>
          <w:sz w:val="32"/>
          <w:szCs w:val="32"/>
          <w:lang w:val="en-US" w:eastAsia="zh-CN"/>
        </w:rPr>
        <w:t>一、</w:t>
      </w:r>
      <w:r>
        <w:rPr>
          <w:rFonts w:hint="eastAsia" w:ascii="方正黑体_GBK" w:hAnsi="方正黑体_GBK" w:eastAsia="方正黑体_GBK" w:cs="方正黑体_GBK"/>
          <w:spacing w:val="9"/>
          <w:sz w:val="32"/>
          <w:szCs w:val="32"/>
        </w:rPr>
        <w:t>单位概况</w:t>
      </w:r>
      <w:bookmarkEnd w:id="0"/>
      <w:bookmarkEnd w:id="1"/>
    </w:p>
    <w:p w14:paraId="7BFD84B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仿宋" w:hAnsi="仿宋" w:eastAsia="仿宋" w:cs="仿宋"/>
          <w:sz w:val="32"/>
          <w:szCs w:val="32"/>
        </w:rPr>
      </w:pPr>
      <w:bookmarkStart w:id="2" w:name="_Toc4128"/>
      <w:bookmarkStart w:id="3" w:name="_Toc11845"/>
      <w:r>
        <w:rPr>
          <w:rFonts w:hint="eastAsia" w:ascii="方正楷体_GBK" w:hAnsi="方正楷体_GBK" w:eastAsia="方正楷体_GBK" w:cs="方正楷体_GBK"/>
          <w:spacing w:val="9"/>
          <w:sz w:val="32"/>
          <w:szCs w:val="32"/>
        </w:rPr>
        <w:t>（一）单位基本情况</w:t>
      </w:r>
      <w:bookmarkEnd w:id="2"/>
      <w:bookmarkEnd w:id="3"/>
    </w:p>
    <w:p w14:paraId="65B052B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1.单位职能</w:t>
      </w:r>
    </w:p>
    <w:p w14:paraId="2BB79DB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南京市生态环境保护宣传教育中心（南京市生态环境信息服务中心）（以下简称“市宣教中心”）是南京市生态环境局所属全额拨款事业单位，为公益一类事业单位。</w:t>
      </w:r>
    </w:p>
    <w:p w14:paraId="5CAF203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主要职责是：积极开展生态环境保护宣传教育，普及生态环境科学知识，增强公众生态环境意识，引导公众参与生态环境保护，为生态环境保护工作营造良好的舆论氛围。承担信息化建设任务，为全市生态环境系统提供信息服务保障和技术支撑。</w:t>
      </w:r>
    </w:p>
    <w:p w14:paraId="332F16D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2.机构设置</w:t>
      </w:r>
    </w:p>
    <w:p w14:paraId="4759946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市宣教中心内设机构4个，分别是综合科（办公室）、宣传新闻科、教育培训科、信息管理科。</w:t>
      </w:r>
    </w:p>
    <w:p w14:paraId="2E99648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3.人员配置</w:t>
      </w:r>
    </w:p>
    <w:p w14:paraId="392BDD1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市宣教中心核准事业编制</w:t>
      </w:r>
      <w:r>
        <w:rPr>
          <w:rFonts w:hint="default" w:ascii="Times New Roman" w:hAnsi="Times New Roman" w:eastAsia="方正仿宋_GBK" w:cs="Times New Roman"/>
          <w:spacing w:val="11"/>
          <w:sz w:val="32"/>
          <w:szCs w:val="32"/>
          <w:lang w:val="en-US" w:eastAsia="zh-CN"/>
        </w:rPr>
        <w:t>20</w:t>
      </w:r>
      <w:r>
        <w:rPr>
          <w:rFonts w:hint="eastAsia" w:ascii="Times New Roman" w:hAnsi="Times New Roman" w:eastAsia="方正仿宋_GBK" w:cs="Times New Roman"/>
          <w:spacing w:val="11"/>
          <w:sz w:val="32"/>
          <w:szCs w:val="32"/>
          <w:lang w:val="en-US" w:eastAsia="zh-CN"/>
        </w:rPr>
        <w:t>人，编外人员编制14人。截至2025年12月，市宣教中心共有在职人员32人，其中事业编制18人，编外人员14人；退休人员5人。</w:t>
      </w:r>
    </w:p>
    <w:p w14:paraId="1E0F93C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4.单位资产</w:t>
      </w:r>
    </w:p>
    <w:p w14:paraId="5F1672C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截至2025年末，市宣教中心资产总额367.32万元，具体明细如下：</w:t>
      </w:r>
    </w:p>
    <w:p w14:paraId="7D0EF5AF">
      <w:pPr>
        <w:pStyle w:val="12"/>
        <w:keepNext w:val="0"/>
        <w:keepLines w:val="0"/>
        <w:pageBreakBefore w:val="0"/>
        <w:widowControl w:val="0"/>
        <w:kinsoku/>
        <w:wordWrap/>
        <w:overflowPunct/>
        <w:topLinePunct w:val="0"/>
        <w:autoSpaceDE/>
        <w:autoSpaceDN/>
        <w:bidi w:val="0"/>
        <w:adjustRightInd/>
        <w:snapToGrid/>
        <w:spacing w:before="0" w:after="0" w:line="560" w:lineRule="exact"/>
        <w:ind w:right="0"/>
        <w:textAlignment w:val="auto"/>
        <w:rPr>
          <w:rFonts w:ascii="仿宋" w:hAnsi="仿宋"/>
          <w:sz w:val="24"/>
          <w:szCs w:val="24"/>
          <w:highlight w:val="none"/>
        </w:rPr>
      </w:pPr>
      <w:r>
        <w:rPr>
          <w:rFonts w:hint="eastAsia" w:ascii="仿宋" w:hAnsi="仿宋"/>
          <w:sz w:val="24"/>
          <w:szCs w:val="24"/>
          <w:highlight w:val="none"/>
        </w:rPr>
        <w:t>表1</w:t>
      </w:r>
      <w:r>
        <w:rPr>
          <w:rFonts w:ascii="仿宋" w:hAnsi="仿宋"/>
          <w:sz w:val="24"/>
          <w:szCs w:val="24"/>
          <w:highlight w:val="none"/>
        </w:rPr>
        <w:t>-</w:t>
      </w:r>
      <w:r>
        <w:rPr>
          <w:rFonts w:hint="eastAsia" w:ascii="仿宋" w:hAnsi="仿宋"/>
          <w:sz w:val="24"/>
          <w:szCs w:val="24"/>
          <w:highlight w:val="none"/>
          <w:lang w:val="en-US" w:eastAsia="zh-CN"/>
        </w:rPr>
        <w:t>1</w:t>
      </w:r>
      <w:r>
        <w:rPr>
          <w:rFonts w:ascii="仿宋" w:hAnsi="仿宋"/>
          <w:sz w:val="24"/>
          <w:szCs w:val="24"/>
          <w:highlight w:val="none"/>
        </w:rPr>
        <w:t xml:space="preserve">  </w:t>
      </w:r>
      <w:r>
        <w:rPr>
          <w:rFonts w:hint="eastAsia" w:ascii="仿宋" w:hAnsi="仿宋"/>
          <w:sz w:val="24"/>
          <w:szCs w:val="24"/>
          <w:highlight w:val="none"/>
        </w:rPr>
        <w:t>市</w:t>
      </w:r>
      <w:r>
        <w:rPr>
          <w:rFonts w:hint="eastAsia" w:ascii="仿宋" w:hAnsi="仿宋"/>
          <w:sz w:val="24"/>
          <w:szCs w:val="24"/>
          <w:highlight w:val="none"/>
          <w:lang w:val="en-US" w:eastAsia="zh-CN"/>
        </w:rPr>
        <w:t>宣教中心</w:t>
      </w:r>
      <w:r>
        <w:rPr>
          <w:rFonts w:hint="eastAsia" w:ascii="仿宋" w:hAnsi="仿宋"/>
          <w:sz w:val="24"/>
          <w:szCs w:val="24"/>
          <w:highlight w:val="none"/>
          <w:lang w:eastAsia="zh-CN"/>
        </w:rPr>
        <w:t>202</w:t>
      </w:r>
      <w:r>
        <w:rPr>
          <w:rFonts w:hint="eastAsia" w:ascii="仿宋" w:hAnsi="仿宋"/>
          <w:sz w:val="24"/>
          <w:szCs w:val="24"/>
          <w:highlight w:val="none"/>
          <w:lang w:val="en-US" w:eastAsia="zh-CN"/>
        </w:rPr>
        <w:t>5</w:t>
      </w:r>
      <w:r>
        <w:rPr>
          <w:rFonts w:hint="eastAsia" w:ascii="仿宋" w:hAnsi="仿宋"/>
          <w:sz w:val="24"/>
          <w:szCs w:val="24"/>
          <w:highlight w:val="none"/>
        </w:rPr>
        <w:t>年末资产情况</w:t>
      </w:r>
    </w:p>
    <w:p w14:paraId="3084323B">
      <w:pPr>
        <w:pStyle w:val="12"/>
        <w:keepNext w:val="0"/>
        <w:keepLines w:val="0"/>
        <w:pageBreakBefore w:val="0"/>
        <w:widowControl w:val="0"/>
        <w:kinsoku/>
        <w:wordWrap/>
        <w:overflowPunct/>
        <w:topLinePunct w:val="0"/>
        <w:autoSpaceDE/>
        <w:autoSpaceDN/>
        <w:bidi w:val="0"/>
        <w:adjustRightInd/>
        <w:snapToGrid/>
        <w:spacing w:before="0" w:after="0" w:line="560" w:lineRule="exact"/>
        <w:ind w:right="0"/>
        <w:jc w:val="right"/>
        <w:textAlignment w:val="auto"/>
        <w:rPr>
          <w:rFonts w:hint="eastAsia" w:ascii="仿宋" w:hAnsi="仿宋"/>
          <w:b w:val="0"/>
          <w:bCs w:val="0"/>
          <w:sz w:val="24"/>
          <w:szCs w:val="24"/>
          <w:highlight w:val="none"/>
        </w:rPr>
      </w:pPr>
    </w:p>
    <w:p w14:paraId="3F43CE82">
      <w:pPr>
        <w:pStyle w:val="12"/>
        <w:keepNext w:val="0"/>
        <w:keepLines w:val="0"/>
        <w:pageBreakBefore w:val="0"/>
        <w:widowControl w:val="0"/>
        <w:kinsoku/>
        <w:wordWrap/>
        <w:overflowPunct/>
        <w:topLinePunct w:val="0"/>
        <w:autoSpaceDE/>
        <w:autoSpaceDN/>
        <w:bidi w:val="0"/>
        <w:adjustRightInd/>
        <w:snapToGrid/>
        <w:spacing w:before="0" w:after="0" w:line="560" w:lineRule="exact"/>
        <w:ind w:right="0"/>
        <w:jc w:val="right"/>
        <w:textAlignment w:val="auto"/>
        <w:rPr>
          <w:rFonts w:hint="eastAsia" w:ascii="仿宋" w:hAnsi="仿宋"/>
          <w:b w:val="0"/>
          <w:bCs w:val="0"/>
          <w:sz w:val="24"/>
          <w:szCs w:val="24"/>
          <w:highlight w:val="none"/>
        </w:rPr>
      </w:pPr>
      <w:r>
        <w:rPr>
          <w:rFonts w:hint="eastAsia" w:ascii="仿宋" w:hAnsi="仿宋"/>
          <w:b w:val="0"/>
          <w:bCs w:val="0"/>
          <w:sz w:val="24"/>
          <w:szCs w:val="24"/>
          <w:highlight w:val="none"/>
        </w:rPr>
        <w:t>单位：万元</w:t>
      </w:r>
    </w:p>
    <w:tbl>
      <w:tblPr>
        <w:tblStyle w:val="6"/>
        <w:tblW w:w="4999" w:type="pct"/>
        <w:jc w:val="center"/>
        <w:tblLayout w:type="autofit"/>
        <w:tblCellMar>
          <w:top w:w="0" w:type="dxa"/>
          <w:left w:w="108" w:type="dxa"/>
          <w:bottom w:w="0" w:type="dxa"/>
          <w:right w:w="108" w:type="dxa"/>
        </w:tblCellMar>
      </w:tblPr>
      <w:tblGrid>
        <w:gridCol w:w="5180"/>
        <w:gridCol w:w="5220"/>
      </w:tblGrid>
      <w:tr w14:paraId="3B768DD9">
        <w:tblPrEx>
          <w:tblCellMar>
            <w:top w:w="0" w:type="dxa"/>
            <w:left w:w="108" w:type="dxa"/>
            <w:bottom w:w="0" w:type="dxa"/>
            <w:right w:w="108" w:type="dxa"/>
          </w:tblCellMar>
        </w:tblPrEx>
        <w:trPr>
          <w:trHeight w:val="340" w:hRule="atLeast"/>
          <w:tblHeader/>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8D82E">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仿宋"/>
                <w:b w:val="0"/>
                <w:bCs w:val="0"/>
                <w:color w:val="000000"/>
                <w:sz w:val="24"/>
                <w:szCs w:val="24"/>
                <w:highlight w:val="none"/>
              </w:rPr>
            </w:pPr>
            <w:r>
              <w:rPr>
                <w:rFonts w:hint="eastAsia" w:ascii="仿宋" w:hAnsi="仿宋" w:eastAsia="仿宋" w:cs="仿宋"/>
                <w:b w:val="0"/>
                <w:bCs w:val="0"/>
                <w:i w:val="0"/>
                <w:iCs w:val="0"/>
                <w:color w:val="000000"/>
                <w:kern w:val="0"/>
                <w:sz w:val="24"/>
                <w:szCs w:val="24"/>
                <w:highlight w:val="none"/>
                <w:u w:val="none"/>
                <w:lang w:val="en-US" w:eastAsia="zh-CN" w:bidi="ar"/>
              </w:rPr>
              <w:t>项目</w:t>
            </w:r>
          </w:p>
        </w:tc>
        <w:tc>
          <w:tcPr>
            <w:tcW w:w="2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4ADA">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仿宋"/>
                <w:b w:val="0"/>
                <w:bCs w:val="0"/>
                <w:color w:val="000000"/>
                <w:sz w:val="24"/>
                <w:szCs w:val="24"/>
                <w:highlight w:val="none"/>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 金额 </w:t>
            </w:r>
          </w:p>
        </w:tc>
      </w:tr>
      <w:tr w14:paraId="7317F9B2">
        <w:tblPrEx>
          <w:tblCellMar>
            <w:top w:w="0" w:type="dxa"/>
            <w:left w:w="108" w:type="dxa"/>
            <w:bottom w:w="0" w:type="dxa"/>
            <w:right w:w="108" w:type="dxa"/>
          </w:tblCellMar>
        </w:tblPrEx>
        <w:trPr>
          <w:trHeight w:val="340" w:hRule="atLeast"/>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9306">
            <w:pPr>
              <w:keepNext w:val="0"/>
              <w:keepLines w:val="0"/>
              <w:pageBreakBefore w:val="0"/>
              <w:widowControl/>
              <w:suppressLineNumbers w:val="0"/>
              <w:wordWrap/>
              <w:overflowPunct/>
              <w:topLinePunct w:val="0"/>
              <w:bidi w:val="0"/>
              <w:spacing w:line="560" w:lineRule="exact"/>
              <w:jc w:val="left"/>
              <w:textAlignment w:val="center"/>
              <w:rPr>
                <w:rFonts w:ascii="仿宋" w:hAnsi="仿宋" w:eastAsia="仿宋" w:cs="仿宋"/>
                <w:b w:val="0"/>
                <w:bCs w:val="0"/>
                <w:color w:val="000000"/>
                <w:sz w:val="24"/>
                <w:szCs w:val="24"/>
                <w:highlight w:val="none"/>
              </w:rPr>
            </w:pPr>
            <w:r>
              <w:rPr>
                <w:rFonts w:hint="eastAsia" w:ascii="仿宋" w:hAnsi="仿宋" w:eastAsia="仿宋" w:cs="仿宋"/>
                <w:b w:val="0"/>
                <w:bCs w:val="0"/>
                <w:i w:val="0"/>
                <w:iCs w:val="0"/>
                <w:color w:val="000000"/>
                <w:kern w:val="0"/>
                <w:sz w:val="24"/>
                <w:szCs w:val="24"/>
                <w:highlight w:val="none"/>
                <w:u w:val="none"/>
                <w:lang w:val="en-US" w:eastAsia="zh-CN" w:bidi="ar"/>
              </w:rPr>
              <w:t>货币资金</w:t>
            </w:r>
          </w:p>
        </w:tc>
        <w:tc>
          <w:tcPr>
            <w:tcW w:w="4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3B2D">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sz w:val="24"/>
                <w:szCs w:val="24"/>
                <w:highlight w:val="none"/>
                <w:lang w:val="en-US"/>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38.40 </w:t>
            </w:r>
          </w:p>
        </w:tc>
      </w:tr>
      <w:tr w14:paraId="16BC031E">
        <w:tblPrEx>
          <w:tblCellMar>
            <w:top w:w="0" w:type="dxa"/>
            <w:left w:w="108" w:type="dxa"/>
            <w:bottom w:w="0" w:type="dxa"/>
            <w:right w:w="108" w:type="dxa"/>
          </w:tblCellMar>
        </w:tblPrEx>
        <w:trPr>
          <w:trHeight w:val="340" w:hRule="atLeast"/>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D02DC">
            <w:pPr>
              <w:keepNext w:val="0"/>
              <w:keepLines w:val="0"/>
              <w:pageBreakBefore w:val="0"/>
              <w:widowControl/>
              <w:suppressLineNumbers w:val="0"/>
              <w:wordWrap/>
              <w:overflowPunct/>
              <w:topLinePunct w:val="0"/>
              <w:bidi w:val="0"/>
              <w:spacing w:line="560" w:lineRule="exact"/>
              <w:jc w:val="lef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存货</w:t>
            </w:r>
          </w:p>
        </w:tc>
        <w:tc>
          <w:tcPr>
            <w:tcW w:w="4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87F3">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21.41</w:t>
            </w:r>
          </w:p>
        </w:tc>
      </w:tr>
      <w:tr w14:paraId="70E99F25">
        <w:tblPrEx>
          <w:tblCellMar>
            <w:top w:w="0" w:type="dxa"/>
            <w:left w:w="108" w:type="dxa"/>
            <w:bottom w:w="0" w:type="dxa"/>
            <w:right w:w="108" w:type="dxa"/>
          </w:tblCellMar>
        </w:tblPrEx>
        <w:trPr>
          <w:trHeight w:val="340" w:hRule="atLeast"/>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EC21E">
            <w:pPr>
              <w:keepNext w:val="0"/>
              <w:keepLines w:val="0"/>
              <w:pageBreakBefore w:val="0"/>
              <w:widowControl/>
              <w:suppressLineNumbers w:val="0"/>
              <w:wordWrap/>
              <w:overflowPunct/>
              <w:topLinePunct w:val="0"/>
              <w:bidi w:val="0"/>
              <w:spacing w:line="560" w:lineRule="exact"/>
              <w:jc w:val="left"/>
              <w:textAlignment w:val="center"/>
              <w:rPr>
                <w:rFonts w:ascii="仿宋" w:hAnsi="仿宋" w:eastAsia="仿宋" w:cs="仿宋"/>
                <w:b w:val="0"/>
                <w:bCs w:val="0"/>
                <w:color w:val="000000"/>
                <w:sz w:val="24"/>
                <w:szCs w:val="24"/>
                <w:highlight w:val="none"/>
              </w:rPr>
            </w:pPr>
            <w:r>
              <w:rPr>
                <w:rFonts w:hint="eastAsia" w:ascii="仿宋" w:hAnsi="仿宋" w:eastAsia="仿宋" w:cs="仿宋"/>
                <w:b w:val="0"/>
                <w:bCs w:val="0"/>
                <w:i w:val="0"/>
                <w:iCs w:val="0"/>
                <w:color w:val="000000"/>
                <w:kern w:val="0"/>
                <w:sz w:val="24"/>
                <w:szCs w:val="24"/>
                <w:highlight w:val="none"/>
                <w:u w:val="none"/>
                <w:lang w:val="en-US" w:eastAsia="zh-CN" w:bidi="ar"/>
              </w:rPr>
              <w:t>固定资产净值</w:t>
            </w:r>
          </w:p>
        </w:tc>
        <w:tc>
          <w:tcPr>
            <w:tcW w:w="4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DB95">
            <w:pPr>
              <w:keepNext w:val="0"/>
              <w:keepLines w:val="0"/>
              <w:pageBreakBefore w:val="0"/>
              <w:widowControl/>
              <w:suppressLineNumbers w:val="0"/>
              <w:wordWrap/>
              <w:overflowPunct/>
              <w:topLinePunct w:val="0"/>
              <w:bidi w:val="0"/>
              <w:spacing w:line="560" w:lineRule="exact"/>
              <w:jc w:val="right"/>
              <w:textAlignment w:val="center"/>
              <w:rPr>
                <w:rFonts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243.65 </w:t>
            </w:r>
          </w:p>
        </w:tc>
      </w:tr>
      <w:tr w14:paraId="6622FBBE">
        <w:tblPrEx>
          <w:tblCellMar>
            <w:top w:w="0" w:type="dxa"/>
            <w:left w:w="108" w:type="dxa"/>
            <w:bottom w:w="0" w:type="dxa"/>
            <w:right w:w="108" w:type="dxa"/>
          </w:tblCellMar>
        </w:tblPrEx>
        <w:trPr>
          <w:trHeight w:val="340" w:hRule="atLeast"/>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3B3D">
            <w:pPr>
              <w:keepNext w:val="0"/>
              <w:keepLines w:val="0"/>
              <w:pageBreakBefore w:val="0"/>
              <w:widowControl/>
              <w:suppressLineNumbers w:val="0"/>
              <w:wordWrap/>
              <w:overflowPunct/>
              <w:topLinePunct w:val="0"/>
              <w:bidi w:val="0"/>
              <w:spacing w:line="560" w:lineRule="exact"/>
              <w:jc w:val="left"/>
              <w:textAlignment w:val="center"/>
              <w:rPr>
                <w:rFonts w:ascii="仿宋" w:hAnsi="仿宋" w:eastAsia="仿宋" w:cs="仿宋"/>
                <w:b w:val="0"/>
                <w:bCs w:val="0"/>
                <w:color w:val="000000"/>
                <w:sz w:val="24"/>
                <w:szCs w:val="24"/>
                <w:highlight w:val="none"/>
              </w:rPr>
            </w:pPr>
            <w:r>
              <w:rPr>
                <w:rFonts w:hint="eastAsia" w:ascii="仿宋" w:hAnsi="仿宋" w:eastAsia="仿宋" w:cs="仿宋"/>
                <w:b w:val="0"/>
                <w:bCs w:val="0"/>
                <w:i w:val="0"/>
                <w:iCs w:val="0"/>
                <w:color w:val="000000"/>
                <w:kern w:val="0"/>
                <w:sz w:val="24"/>
                <w:szCs w:val="24"/>
                <w:highlight w:val="none"/>
                <w:u w:val="none"/>
                <w:lang w:val="en-US" w:eastAsia="zh-CN" w:bidi="ar"/>
              </w:rPr>
              <w:t>无形资产净值</w:t>
            </w:r>
          </w:p>
        </w:tc>
        <w:tc>
          <w:tcPr>
            <w:tcW w:w="4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631B">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0.00 </w:t>
            </w:r>
          </w:p>
        </w:tc>
      </w:tr>
      <w:tr w14:paraId="7C7455A2">
        <w:tblPrEx>
          <w:tblCellMar>
            <w:top w:w="0" w:type="dxa"/>
            <w:left w:w="108" w:type="dxa"/>
            <w:bottom w:w="0" w:type="dxa"/>
            <w:right w:w="108" w:type="dxa"/>
          </w:tblCellMar>
        </w:tblPrEx>
        <w:trPr>
          <w:trHeight w:val="340" w:hRule="atLeast"/>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6A11">
            <w:pPr>
              <w:keepNext w:val="0"/>
              <w:keepLines w:val="0"/>
              <w:pageBreakBefore w:val="0"/>
              <w:widowControl/>
              <w:suppressLineNumbers w:val="0"/>
              <w:wordWrap/>
              <w:overflowPunct/>
              <w:topLinePunct w:val="0"/>
              <w:bidi w:val="0"/>
              <w:spacing w:line="560" w:lineRule="exact"/>
              <w:jc w:val="lef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长期待摊费用</w:t>
            </w:r>
          </w:p>
        </w:tc>
        <w:tc>
          <w:tcPr>
            <w:tcW w:w="4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528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63.86</w:t>
            </w:r>
          </w:p>
        </w:tc>
      </w:tr>
      <w:tr w14:paraId="6B5212C5">
        <w:tblPrEx>
          <w:tblCellMar>
            <w:top w:w="0" w:type="dxa"/>
            <w:left w:w="108" w:type="dxa"/>
            <w:bottom w:w="0" w:type="dxa"/>
            <w:right w:w="108" w:type="dxa"/>
          </w:tblCellMar>
        </w:tblPrEx>
        <w:trPr>
          <w:trHeight w:val="340" w:hRule="atLeast"/>
          <w:jc w:val="center"/>
        </w:trPr>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8874">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仿宋"/>
                <w:b w:val="0"/>
                <w:bCs w:val="0"/>
                <w:color w:val="000000"/>
                <w:sz w:val="24"/>
                <w:szCs w:val="24"/>
                <w:highlight w:val="none"/>
              </w:rPr>
            </w:pPr>
            <w:r>
              <w:rPr>
                <w:rFonts w:hint="eastAsia" w:ascii="仿宋" w:hAnsi="仿宋" w:eastAsia="仿宋" w:cs="仿宋"/>
                <w:b w:val="0"/>
                <w:bCs w:val="0"/>
                <w:i w:val="0"/>
                <w:iCs w:val="0"/>
                <w:color w:val="000000"/>
                <w:kern w:val="0"/>
                <w:sz w:val="24"/>
                <w:szCs w:val="24"/>
                <w:highlight w:val="none"/>
                <w:u w:val="none"/>
                <w:lang w:val="en-US" w:eastAsia="zh-CN" w:bidi="ar"/>
              </w:rPr>
              <w:t>合计</w:t>
            </w:r>
          </w:p>
        </w:tc>
        <w:tc>
          <w:tcPr>
            <w:tcW w:w="4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C193">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color w:val="000000"/>
                <w:kern w:val="0"/>
                <w:sz w:val="24"/>
                <w:szCs w:val="24"/>
                <w:highlight w:val="none"/>
                <w:lang w:bidi="ar"/>
              </w:rPr>
            </w:pPr>
            <w:r>
              <w:rPr>
                <w:rFonts w:hint="default" w:ascii="仿宋" w:hAnsi="仿宋" w:eastAsia="仿宋" w:cs="仿宋"/>
                <w:b w:val="0"/>
                <w:bCs w:val="0"/>
                <w:color w:val="000000"/>
                <w:kern w:val="0"/>
                <w:sz w:val="24"/>
                <w:szCs w:val="24"/>
                <w:highlight w:val="none"/>
                <w:lang w:bidi="ar"/>
              </w:rPr>
              <w:fldChar w:fldCharType="begin"/>
            </w:r>
            <w:r>
              <w:rPr>
                <w:rFonts w:hint="default" w:ascii="仿宋" w:hAnsi="仿宋" w:eastAsia="仿宋" w:cs="仿宋"/>
                <w:b w:val="0"/>
                <w:bCs w:val="0"/>
                <w:color w:val="000000"/>
                <w:kern w:val="0"/>
                <w:sz w:val="24"/>
                <w:szCs w:val="24"/>
                <w:highlight w:val="none"/>
                <w:lang w:bidi="ar"/>
              </w:rPr>
              <w:instrText xml:space="preserve"> =SUM(ABOVE) \* MERGEFORMAT </w:instrText>
            </w:r>
            <w:r>
              <w:rPr>
                <w:rFonts w:hint="default" w:ascii="仿宋" w:hAnsi="仿宋" w:eastAsia="仿宋" w:cs="仿宋"/>
                <w:b w:val="0"/>
                <w:bCs w:val="0"/>
                <w:color w:val="000000"/>
                <w:kern w:val="0"/>
                <w:sz w:val="24"/>
                <w:szCs w:val="24"/>
                <w:highlight w:val="none"/>
                <w:lang w:bidi="ar"/>
              </w:rPr>
              <w:fldChar w:fldCharType="separate"/>
            </w:r>
            <w:r>
              <w:rPr>
                <w:rFonts w:hint="default" w:ascii="仿宋" w:hAnsi="仿宋" w:eastAsia="仿宋" w:cs="仿宋"/>
                <w:b w:val="0"/>
                <w:bCs w:val="0"/>
                <w:color w:val="000000"/>
                <w:kern w:val="0"/>
                <w:sz w:val="24"/>
                <w:szCs w:val="24"/>
                <w:highlight w:val="none"/>
                <w:lang w:bidi="ar"/>
              </w:rPr>
              <w:t>367.32</w:t>
            </w:r>
            <w:r>
              <w:rPr>
                <w:rFonts w:hint="default" w:ascii="仿宋" w:hAnsi="仿宋" w:eastAsia="仿宋" w:cs="仿宋"/>
                <w:b w:val="0"/>
                <w:bCs w:val="0"/>
                <w:color w:val="000000"/>
                <w:kern w:val="0"/>
                <w:sz w:val="24"/>
                <w:szCs w:val="24"/>
                <w:highlight w:val="none"/>
                <w:lang w:bidi="ar"/>
              </w:rPr>
              <w:fldChar w:fldCharType="end"/>
            </w:r>
          </w:p>
        </w:tc>
      </w:tr>
    </w:tbl>
    <w:p w14:paraId="54AC5F7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（1）货币资金</w:t>
      </w:r>
    </w:p>
    <w:p w14:paraId="62C6B66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截至2025年12月31日，市宣教中心货币资金余额为38.40万元，全部为银行存款余额，其中托收账户余额为26.64万元，财政代管账户余额为11.76万元。</w:t>
      </w:r>
    </w:p>
    <w:p w14:paraId="249F699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（2）存货</w:t>
      </w:r>
    </w:p>
    <w:p w14:paraId="0756368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截至2025年12月31日，市宣教中心存货余额为21.41万元，全部为库存宣传品。</w:t>
      </w:r>
    </w:p>
    <w:p w14:paraId="0A76546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（3）固定资产</w:t>
      </w:r>
    </w:p>
    <w:p w14:paraId="789178D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截至2025年12月31日，市宣教中心固定资产原值728.32万元，累计折旧484.67万元，固定资产净值243.65万元，其明细项目列示如下：</w:t>
      </w:r>
    </w:p>
    <w:p w14:paraId="7FD5C67D">
      <w:pPr>
        <w:pStyle w:val="1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 w:hAnsi="仿宋" w:cs="仿宋"/>
          <w:sz w:val="24"/>
          <w:szCs w:val="24"/>
          <w:highlight w:val="none"/>
        </w:rPr>
      </w:pPr>
      <w:bookmarkStart w:id="4" w:name="_Toc2130"/>
      <w:r>
        <w:rPr>
          <w:rFonts w:hint="eastAsia" w:ascii="仿宋" w:hAnsi="仿宋"/>
          <w:sz w:val="24"/>
          <w:szCs w:val="24"/>
          <w:highlight w:val="none"/>
        </w:rPr>
        <w:t>表1</w:t>
      </w:r>
      <w:r>
        <w:rPr>
          <w:rFonts w:ascii="仿宋" w:hAnsi="仿宋"/>
          <w:sz w:val="24"/>
          <w:szCs w:val="24"/>
          <w:highlight w:val="none"/>
        </w:rPr>
        <w:t>-</w:t>
      </w:r>
      <w:r>
        <w:rPr>
          <w:rFonts w:hint="eastAsia" w:ascii="仿宋" w:hAnsi="仿宋"/>
          <w:sz w:val="24"/>
          <w:szCs w:val="24"/>
          <w:highlight w:val="none"/>
          <w:lang w:val="en-US" w:eastAsia="zh-CN"/>
        </w:rPr>
        <w:t>2</w:t>
      </w:r>
      <w:r>
        <w:rPr>
          <w:rFonts w:ascii="仿宋" w:hAnsi="仿宋"/>
          <w:sz w:val="24"/>
          <w:szCs w:val="24"/>
          <w:highlight w:val="none"/>
        </w:rPr>
        <w:t xml:space="preserve"> </w:t>
      </w:r>
      <w:r>
        <w:rPr>
          <w:rFonts w:hint="eastAsia" w:ascii="仿宋" w:hAnsi="仿宋" w:cs="仿宋"/>
          <w:sz w:val="24"/>
          <w:szCs w:val="24"/>
          <w:highlight w:val="none"/>
        </w:rPr>
        <w:t>市</w:t>
      </w:r>
      <w:r>
        <w:rPr>
          <w:rFonts w:hint="eastAsia" w:ascii="仿宋" w:hAnsi="仿宋" w:cs="仿宋"/>
          <w:sz w:val="24"/>
          <w:szCs w:val="24"/>
          <w:highlight w:val="none"/>
          <w:lang w:eastAsia="zh-CN"/>
        </w:rPr>
        <w:t>宣教中心202</w:t>
      </w:r>
      <w:r>
        <w:rPr>
          <w:rFonts w:hint="eastAsia" w:ascii="仿宋" w:hAnsi="仿宋" w:cs="仿宋"/>
          <w:sz w:val="24"/>
          <w:szCs w:val="24"/>
          <w:highlight w:val="none"/>
          <w:lang w:val="en-US" w:eastAsia="zh-CN"/>
        </w:rPr>
        <w:t>5</w:t>
      </w:r>
      <w:r>
        <w:rPr>
          <w:rFonts w:ascii="仿宋" w:hAnsi="仿宋" w:cs="仿宋"/>
          <w:sz w:val="24"/>
          <w:szCs w:val="24"/>
          <w:highlight w:val="none"/>
        </w:rPr>
        <w:t>年12月31日</w:t>
      </w:r>
      <w:r>
        <w:rPr>
          <w:rFonts w:hint="eastAsia" w:ascii="仿宋" w:hAnsi="仿宋" w:cs="仿宋"/>
          <w:sz w:val="24"/>
          <w:szCs w:val="24"/>
          <w:highlight w:val="none"/>
        </w:rPr>
        <w:t>固定资产情况</w:t>
      </w:r>
      <w:bookmarkEnd w:id="4"/>
    </w:p>
    <w:p w14:paraId="0B490DA0">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pPr>
      <w:r>
        <w:rPr>
          <w:rFonts w:hint="eastAsia" w:ascii="仿宋" w:hAnsi="仿宋" w:eastAsia="仿宋" w:cs="仿宋"/>
          <w:b w:val="0"/>
          <w:bCs w:val="0"/>
          <w:sz w:val="24"/>
          <w:szCs w:val="24"/>
          <w:highlight w:val="none"/>
        </w:rPr>
        <w:t>单位：万元</w:t>
      </w:r>
    </w:p>
    <w:tbl>
      <w:tblPr>
        <w:tblStyle w:val="7"/>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1176"/>
        <w:gridCol w:w="1946"/>
        <w:gridCol w:w="1330"/>
        <w:gridCol w:w="1368"/>
        <w:gridCol w:w="1403"/>
      </w:tblGrid>
      <w:tr w14:paraId="7FA3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693" w:type="dxa"/>
            <w:vAlign w:val="center"/>
          </w:tcPr>
          <w:p w14:paraId="17683E4D">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类别</w:t>
            </w:r>
          </w:p>
        </w:tc>
        <w:tc>
          <w:tcPr>
            <w:tcW w:w="1176" w:type="dxa"/>
            <w:vAlign w:val="center"/>
          </w:tcPr>
          <w:p w14:paraId="152ADA74">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数量</w:t>
            </w:r>
          </w:p>
        </w:tc>
        <w:tc>
          <w:tcPr>
            <w:tcW w:w="1946" w:type="dxa"/>
            <w:vAlign w:val="center"/>
          </w:tcPr>
          <w:p w14:paraId="0C1FCCEE">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数量单位</w:t>
            </w:r>
          </w:p>
        </w:tc>
        <w:tc>
          <w:tcPr>
            <w:tcW w:w="1330" w:type="dxa"/>
            <w:vAlign w:val="center"/>
          </w:tcPr>
          <w:p w14:paraId="280B5CBF">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固定资产原值</w:t>
            </w:r>
          </w:p>
        </w:tc>
        <w:tc>
          <w:tcPr>
            <w:tcW w:w="1368" w:type="dxa"/>
            <w:vAlign w:val="center"/>
          </w:tcPr>
          <w:p w14:paraId="56F1E599">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固定资产累计折旧</w:t>
            </w:r>
          </w:p>
        </w:tc>
        <w:tc>
          <w:tcPr>
            <w:tcW w:w="1403" w:type="dxa"/>
            <w:vAlign w:val="center"/>
          </w:tcPr>
          <w:p w14:paraId="19021319">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固定资产净值</w:t>
            </w:r>
          </w:p>
        </w:tc>
      </w:tr>
      <w:tr w14:paraId="2CF4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vAlign w:val="center"/>
          </w:tcPr>
          <w:p w14:paraId="1EC02D5A">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房屋和构筑物</w:t>
            </w:r>
          </w:p>
        </w:tc>
        <w:tc>
          <w:tcPr>
            <w:tcW w:w="1176" w:type="dxa"/>
            <w:vAlign w:val="center"/>
          </w:tcPr>
          <w:p w14:paraId="1C08353C">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1,839.94</w:t>
            </w:r>
          </w:p>
        </w:tc>
        <w:tc>
          <w:tcPr>
            <w:tcW w:w="1946" w:type="dxa"/>
            <w:vAlign w:val="center"/>
          </w:tcPr>
          <w:p w14:paraId="6C508D55">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平方米</w:t>
            </w:r>
          </w:p>
        </w:tc>
        <w:tc>
          <w:tcPr>
            <w:tcW w:w="1330" w:type="dxa"/>
            <w:vAlign w:val="center"/>
          </w:tcPr>
          <w:p w14:paraId="2174CB6A">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195.22</w:t>
            </w:r>
          </w:p>
        </w:tc>
        <w:tc>
          <w:tcPr>
            <w:tcW w:w="1368" w:type="dxa"/>
            <w:vAlign w:val="center"/>
          </w:tcPr>
          <w:p w14:paraId="0E66E288">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80.36</w:t>
            </w:r>
          </w:p>
        </w:tc>
        <w:tc>
          <w:tcPr>
            <w:tcW w:w="1403" w:type="dxa"/>
            <w:vAlign w:val="center"/>
          </w:tcPr>
          <w:p w14:paraId="51A09790">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114.86</w:t>
            </w:r>
          </w:p>
        </w:tc>
      </w:tr>
      <w:tr w14:paraId="5A4E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vAlign w:val="center"/>
          </w:tcPr>
          <w:p w14:paraId="13C4B25B">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设备</w:t>
            </w:r>
          </w:p>
        </w:tc>
        <w:tc>
          <w:tcPr>
            <w:tcW w:w="1176" w:type="dxa"/>
            <w:vAlign w:val="center"/>
          </w:tcPr>
          <w:p w14:paraId="5543F568">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220</w:t>
            </w:r>
          </w:p>
        </w:tc>
        <w:tc>
          <w:tcPr>
            <w:tcW w:w="1946" w:type="dxa"/>
            <w:vAlign w:val="center"/>
          </w:tcPr>
          <w:p w14:paraId="2A3E6F8C">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台、套、个等</w:t>
            </w:r>
          </w:p>
        </w:tc>
        <w:tc>
          <w:tcPr>
            <w:tcW w:w="1330" w:type="dxa"/>
            <w:vAlign w:val="center"/>
          </w:tcPr>
          <w:p w14:paraId="0CE21D6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490.25</w:t>
            </w:r>
          </w:p>
        </w:tc>
        <w:tc>
          <w:tcPr>
            <w:tcW w:w="1368" w:type="dxa"/>
            <w:vAlign w:val="center"/>
          </w:tcPr>
          <w:p w14:paraId="18D47E29">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392.85</w:t>
            </w:r>
          </w:p>
        </w:tc>
        <w:tc>
          <w:tcPr>
            <w:tcW w:w="1403" w:type="dxa"/>
            <w:vAlign w:val="center"/>
          </w:tcPr>
          <w:p w14:paraId="462925A6">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97.40</w:t>
            </w:r>
          </w:p>
        </w:tc>
      </w:tr>
      <w:tr w14:paraId="65CE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vAlign w:val="center"/>
          </w:tcPr>
          <w:p w14:paraId="5B4B5D2C">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color w:val="000000" w:themeColor="text1"/>
                <w:kern w:val="0"/>
                <w:sz w:val="24"/>
                <w:szCs w:val="24"/>
                <w:highlight w:val="none"/>
                <w:lang w:bidi="ar"/>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家具和用具</w:t>
            </w:r>
          </w:p>
        </w:tc>
        <w:tc>
          <w:tcPr>
            <w:tcW w:w="1176" w:type="dxa"/>
            <w:vAlign w:val="center"/>
          </w:tcPr>
          <w:p w14:paraId="75424203">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宋体"/>
                <w:color w:val="000000"/>
                <w:kern w:val="0"/>
                <w:sz w:val="24"/>
                <w:szCs w:val="24"/>
                <w:highlight w:val="none"/>
                <w:lang w:val="en-US" w:eastAsia="zh-CN" w:bidi="ar"/>
              </w:rPr>
            </w:pPr>
            <w:r>
              <w:rPr>
                <w:rFonts w:hint="eastAsia" w:ascii="仿宋" w:hAnsi="仿宋" w:eastAsia="仿宋" w:cs="宋体"/>
                <w:color w:val="000000"/>
                <w:kern w:val="0"/>
                <w:sz w:val="24"/>
                <w:szCs w:val="24"/>
                <w:highlight w:val="none"/>
                <w:lang w:val="en-US" w:eastAsia="zh-CN" w:bidi="ar"/>
              </w:rPr>
              <w:t>381</w:t>
            </w:r>
          </w:p>
        </w:tc>
        <w:tc>
          <w:tcPr>
            <w:tcW w:w="1946" w:type="dxa"/>
            <w:vAlign w:val="center"/>
          </w:tcPr>
          <w:p w14:paraId="2D7703B0">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套、张、把等</w:t>
            </w:r>
          </w:p>
        </w:tc>
        <w:tc>
          <w:tcPr>
            <w:tcW w:w="1330" w:type="dxa"/>
            <w:vAlign w:val="center"/>
          </w:tcPr>
          <w:p w14:paraId="09EB75EA">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color w:val="000000"/>
                <w:kern w:val="0"/>
                <w:sz w:val="24"/>
                <w:szCs w:val="24"/>
                <w:highlight w:val="none"/>
                <w:lang w:val="en-US" w:eastAsia="zh-CN" w:bidi="ar"/>
              </w:rPr>
            </w:pPr>
            <w:r>
              <w:rPr>
                <w:rFonts w:hint="eastAsia" w:ascii="仿宋" w:hAnsi="仿宋" w:eastAsia="仿宋" w:cs="宋体"/>
                <w:color w:val="000000"/>
                <w:kern w:val="0"/>
                <w:sz w:val="24"/>
                <w:szCs w:val="24"/>
                <w:highlight w:val="none"/>
                <w:lang w:val="en-US" w:eastAsia="zh-CN" w:bidi="ar"/>
              </w:rPr>
              <w:t>42.85</w:t>
            </w:r>
          </w:p>
        </w:tc>
        <w:tc>
          <w:tcPr>
            <w:tcW w:w="1368" w:type="dxa"/>
            <w:vAlign w:val="center"/>
          </w:tcPr>
          <w:p w14:paraId="29173932">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color w:val="000000"/>
                <w:kern w:val="0"/>
                <w:sz w:val="24"/>
                <w:szCs w:val="24"/>
                <w:highlight w:val="none"/>
                <w:lang w:val="en-US" w:eastAsia="zh-CN" w:bidi="ar"/>
              </w:rPr>
            </w:pPr>
            <w:r>
              <w:rPr>
                <w:rFonts w:hint="eastAsia" w:ascii="仿宋" w:hAnsi="仿宋" w:eastAsia="仿宋" w:cs="宋体"/>
                <w:color w:val="000000"/>
                <w:kern w:val="0"/>
                <w:sz w:val="24"/>
                <w:szCs w:val="24"/>
                <w:highlight w:val="none"/>
                <w:lang w:val="en-US" w:eastAsia="zh-CN" w:bidi="ar"/>
              </w:rPr>
              <w:t>11.46</w:t>
            </w:r>
          </w:p>
        </w:tc>
        <w:tc>
          <w:tcPr>
            <w:tcW w:w="1403" w:type="dxa"/>
            <w:vAlign w:val="center"/>
          </w:tcPr>
          <w:p w14:paraId="7AFA0CED">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color w:val="000000"/>
                <w:kern w:val="0"/>
                <w:sz w:val="24"/>
                <w:szCs w:val="24"/>
                <w:highlight w:val="none"/>
                <w:lang w:val="en-US" w:eastAsia="zh-CN" w:bidi="ar"/>
              </w:rPr>
            </w:pPr>
            <w:r>
              <w:rPr>
                <w:rFonts w:hint="eastAsia" w:ascii="仿宋" w:hAnsi="仿宋" w:eastAsia="仿宋" w:cs="宋体"/>
                <w:color w:val="000000"/>
                <w:kern w:val="0"/>
                <w:sz w:val="24"/>
                <w:szCs w:val="24"/>
                <w:highlight w:val="none"/>
                <w:lang w:val="en-US" w:eastAsia="zh-CN" w:bidi="ar"/>
              </w:rPr>
              <w:t>31.39</w:t>
            </w:r>
          </w:p>
        </w:tc>
      </w:tr>
      <w:tr w14:paraId="414D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15" w:type="dxa"/>
            <w:gridSpan w:val="3"/>
            <w:vAlign w:val="center"/>
          </w:tcPr>
          <w:p w14:paraId="25290CA2">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合计</w:t>
            </w:r>
          </w:p>
        </w:tc>
        <w:tc>
          <w:tcPr>
            <w:tcW w:w="1330" w:type="dxa"/>
            <w:vAlign w:val="center"/>
          </w:tcPr>
          <w:p w14:paraId="41F9E609">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728.32</w:t>
            </w:r>
          </w:p>
        </w:tc>
        <w:tc>
          <w:tcPr>
            <w:tcW w:w="1368" w:type="dxa"/>
            <w:vAlign w:val="center"/>
          </w:tcPr>
          <w:p w14:paraId="2AFAC83A">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484.67</w:t>
            </w:r>
          </w:p>
        </w:tc>
        <w:tc>
          <w:tcPr>
            <w:tcW w:w="1403" w:type="dxa"/>
            <w:vAlign w:val="center"/>
          </w:tcPr>
          <w:p w14:paraId="71E0348E">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243.65</w:t>
            </w:r>
          </w:p>
        </w:tc>
      </w:tr>
    </w:tbl>
    <w:p w14:paraId="0E02E6D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（4）无形资产</w:t>
      </w:r>
    </w:p>
    <w:p w14:paraId="2DF59E4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仿宋" w:hAnsi="仿宋" w:eastAsia="仿宋" w:cs="宋体"/>
          <w:color w:val="000000"/>
          <w:kern w:val="0"/>
          <w:sz w:val="30"/>
          <w:szCs w:val="30"/>
          <w:highlight w:val="none"/>
        </w:rPr>
      </w:pPr>
      <w:r>
        <w:rPr>
          <w:rFonts w:hint="eastAsia" w:ascii="Times New Roman" w:hAnsi="Times New Roman" w:eastAsia="方正仿宋_GBK" w:cs="Times New Roman"/>
          <w:spacing w:val="11"/>
          <w:sz w:val="32"/>
          <w:szCs w:val="32"/>
          <w:lang w:val="en-US" w:eastAsia="zh-CN"/>
        </w:rPr>
        <w:t>截至2025年12月31日，市宣教中心无形资产原值19.48万元，累计摊销19.48万元，无形资产净值0.00万元</w:t>
      </w:r>
      <w:bookmarkStart w:id="5" w:name="_Toc23619"/>
      <w:r>
        <w:rPr>
          <w:rFonts w:hint="eastAsia" w:ascii="Times New Roman" w:hAnsi="Times New Roman" w:eastAsia="方正仿宋_GBK" w:cs="Times New Roman"/>
          <w:spacing w:val="11"/>
          <w:sz w:val="32"/>
          <w:szCs w:val="32"/>
          <w:lang w:val="en-US" w:eastAsia="zh-CN"/>
        </w:rPr>
        <w:t>，其明细项目列示如下：</w:t>
      </w:r>
    </w:p>
    <w:p w14:paraId="58A868CD">
      <w:pPr>
        <w:pStyle w:val="1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 w:hAnsi="仿宋" w:cs="仿宋"/>
          <w:sz w:val="24"/>
          <w:szCs w:val="24"/>
          <w:highlight w:val="none"/>
        </w:rPr>
      </w:pPr>
      <w:r>
        <w:rPr>
          <w:rFonts w:hint="eastAsia" w:ascii="仿宋" w:hAnsi="仿宋"/>
          <w:sz w:val="24"/>
          <w:szCs w:val="24"/>
          <w:highlight w:val="none"/>
        </w:rPr>
        <w:t>表1</w:t>
      </w:r>
      <w:r>
        <w:rPr>
          <w:rFonts w:ascii="仿宋" w:hAnsi="仿宋"/>
          <w:sz w:val="24"/>
          <w:szCs w:val="24"/>
          <w:highlight w:val="none"/>
        </w:rPr>
        <w:t>-</w:t>
      </w:r>
      <w:r>
        <w:rPr>
          <w:rFonts w:hint="eastAsia" w:ascii="仿宋" w:hAnsi="仿宋"/>
          <w:sz w:val="24"/>
          <w:szCs w:val="24"/>
          <w:highlight w:val="none"/>
          <w:lang w:val="en-US" w:eastAsia="zh-CN"/>
        </w:rPr>
        <w:t>3</w:t>
      </w:r>
      <w:r>
        <w:rPr>
          <w:rFonts w:ascii="仿宋" w:hAnsi="仿宋"/>
          <w:sz w:val="24"/>
          <w:szCs w:val="24"/>
          <w:highlight w:val="none"/>
        </w:rPr>
        <w:t xml:space="preserve"> </w:t>
      </w:r>
      <w:r>
        <w:rPr>
          <w:rFonts w:hint="eastAsia" w:ascii="仿宋" w:hAnsi="仿宋" w:cs="仿宋"/>
          <w:sz w:val="24"/>
          <w:szCs w:val="24"/>
          <w:highlight w:val="none"/>
        </w:rPr>
        <w:t>市</w:t>
      </w:r>
      <w:r>
        <w:rPr>
          <w:rFonts w:hint="eastAsia" w:ascii="仿宋" w:hAnsi="仿宋" w:cs="仿宋"/>
          <w:sz w:val="24"/>
          <w:szCs w:val="24"/>
          <w:highlight w:val="none"/>
          <w:lang w:eastAsia="zh-CN"/>
        </w:rPr>
        <w:t>宣教中心202</w:t>
      </w:r>
      <w:r>
        <w:rPr>
          <w:rFonts w:hint="eastAsia" w:ascii="仿宋" w:hAnsi="仿宋" w:cs="仿宋"/>
          <w:sz w:val="24"/>
          <w:szCs w:val="24"/>
          <w:highlight w:val="none"/>
          <w:lang w:val="en-US" w:eastAsia="zh-CN"/>
        </w:rPr>
        <w:t>5</w:t>
      </w:r>
      <w:r>
        <w:rPr>
          <w:rFonts w:ascii="仿宋" w:hAnsi="仿宋" w:cs="仿宋"/>
          <w:sz w:val="24"/>
          <w:szCs w:val="24"/>
          <w:highlight w:val="none"/>
        </w:rPr>
        <w:t>年12月31日</w:t>
      </w:r>
      <w:r>
        <w:rPr>
          <w:rFonts w:hint="eastAsia" w:ascii="仿宋" w:hAnsi="仿宋" w:cs="仿宋"/>
          <w:sz w:val="24"/>
          <w:szCs w:val="24"/>
          <w:highlight w:val="none"/>
          <w:lang w:val="en-US" w:eastAsia="zh-CN"/>
        </w:rPr>
        <w:t>无形</w:t>
      </w:r>
      <w:r>
        <w:rPr>
          <w:rFonts w:hint="eastAsia" w:ascii="仿宋" w:hAnsi="仿宋" w:cs="仿宋"/>
          <w:sz w:val="24"/>
          <w:szCs w:val="24"/>
          <w:highlight w:val="none"/>
        </w:rPr>
        <w:t>资产情况</w:t>
      </w:r>
    </w:p>
    <w:p w14:paraId="4E82D7DA">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单位：万元</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8"/>
        <w:gridCol w:w="1375"/>
        <w:gridCol w:w="1629"/>
        <w:gridCol w:w="1881"/>
        <w:gridCol w:w="1881"/>
        <w:gridCol w:w="1664"/>
      </w:tblGrid>
      <w:tr w14:paraId="6184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946" w:type="pct"/>
            <w:vAlign w:val="center"/>
          </w:tcPr>
          <w:p w14:paraId="150D0397">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类别</w:t>
            </w:r>
          </w:p>
        </w:tc>
        <w:tc>
          <w:tcPr>
            <w:tcW w:w="661" w:type="pct"/>
            <w:vAlign w:val="center"/>
          </w:tcPr>
          <w:p w14:paraId="249D621A">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 数量 </w:t>
            </w:r>
          </w:p>
        </w:tc>
        <w:tc>
          <w:tcPr>
            <w:tcW w:w="782" w:type="pct"/>
            <w:vAlign w:val="center"/>
          </w:tcPr>
          <w:p w14:paraId="1049A90B">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数量单位</w:t>
            </w:r>
          </w:p>
        </w:tc>
        <w:tc>
          <w:tcPr>
            <w:tcW w:w="904" w:type="pct"/>
            <w:vAlign w:val="center"/>
          </w:tcPr>
          <w:p w14:paraId="6FA758A2">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无形资产原值 </w:t>
            </w:r>
          </w:p>
        </w:tc>
        <w:tc>
          <w:tcPr>
            <w:tcW w:w="904" w:type="pct"/>
            <w:vAlign w:val="center"/>
          </w:tcPr>
          <w:p w14:paraId="1A7E9C38">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无形资产累计摊销 </w:t>
            </w:r>
          </w:p>
        </w:tc>
        <w:tc>
          <w:tcPr>
            <w:tcW w:w="800" w:type="pct"/>
            <w:vAlign w:val="center"/>
          </w:tcPr>
          <w:p w14:paraId="150544A1">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无形资产净值 </w:t>
            </w:r>
          </w:p>
        </w:tc>
      </w:tr>
      <w:tr w14:paraId="2E7B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6" w:type="pct"/>
            <w:vAlign w:val="center"/>
          </w:tcPr>
          <w:p w14:paraId="2F5879DD">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信息数据类</w:t>
            </w:r>
          </w:p>
        </w:tc>
        <w:tc>
          <w:tcPr>
            <w:tcW w:w="661" w:type="pct"/>
            <w:vAlign w:val="center"/>
          </w:tcPr>
          <w:p w14:paraId="7DACB033">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w:t>
            </w:r>
          </w:p>
        </w:tc>
        <w:tc>
          <w:tcPr>
            <w:tcW w:w="782" w:type="pct"/>
            <w:vAlign w:val="center"/>
          </w:tcPr>
          <w:p w14:paraId="7902BCB9">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个</w:t>
            </w:r>
          </w:p>
        </w:tc>
        <w:tc>
          <w:tcPr>
            <w:tcW w:w="904" w:type="pct"/>
            <w:vAlign w:val="center"/>
          </w:tcPr>
          <w:p w14:paraId="4E698C09">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19.48</w:t>
            </w:r>
          </w:p>
        </w:tc>
        <w:tc>
          <w:tcPr>
            <w:tcW w:w="904" w:type="pct"/>
            <w:vAlign w:val="center"/>
          </w:tcPr>
          <w:p w14:paraId="23F40BA5">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19.48</w:t>
            </w:r>
          </w:p>
        </w:tc>
        <w:tc>
          <w:tcPr>
            <w:tcW w:w="800" w:type="pct"/>
            <w:vAlign w:val="center"/>
          </w:tcPr>
          <w:p w14:paraId="7EAE1F12">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p>
        </w:tc>
      </w:tr>
      <w:tr w14:paraId="741A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6" w:type="pct"/>
            <w:vAlign w:val="center"/>
          </w:tcPr>
          <w:p w14:paraId="718E7035">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资源资质类</w:t>
            </w:r>
          </w:p>
        </w:tc>
        <w:tc>
          <w:tcPr>
            <w:tcW w:w="661" w:type="pct"/>
            <w:vAlign w:val="center"/>
          </w:tcPr>
          <w:p w14:paraId="2E45E9FD">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w:t>
            </w:r>
          </w:p>
        </w:tc>
        <w:tc>
          <w:tcPr>
            <w:tcW w:w="782" w:type="pct"/>
            <w:vAlign w:val="center"/>
          </w:tcPr>
          <w:p w14:paraId="48A47DF6">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个</w:t>
            </w:r>
          </w:p>
        </w:tc>
        <w:tc>
          <w:tcPr>
            <w:tcW w:w="904" w:type="pct"/>
            <w:vAlign w:val="center"/>
          </w:tcPr>
          <w:p w14:paraId="16A105E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904" w:type="pct"/>
            <w:vAlign w:val="center"/>
          </w:tcPr>
          <w:p w14:paraId="4D3C8FE7">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800" w:type="pct"/>
            <w:vAlign w:val="center"/>
          </w:tcPr>
          <w:p w14:paraId="54A75109">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r>
      <w:tr w14:paraId="1C3E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90" w:type="pct"/>
            <w:gridSpan w:val="3"/>
            <w:vAlign w:val="center"/>
          </w:tcPr>
          <w:p w14:paraId="731180BE">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合计</w:t>
            </w:r>
          </w:p>
        </w:tc>
        <w:tc>
          <w:tcPr>
            <w:tcW w:w="904" w:type="pct"/>
            <w:vAlign w:val="center"/>
          </w:tcPr>
          <w:p w14:paraId="238DFFBE">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19.48</w:t>
            </w:r>
          </w:p>
        </w:tc>
        <w:tc>
          <w:tcPr>
            <w:tcW w:w="904" w:type="pct"/>
            <w:vAlign w:val="center"/>
          </w:tcPr>
          <w:p w14:paraId="6EA8C358">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19.48</w:t>
            </w:r>
          </w:p>
        </w:tc>
        <w:tc>
          <w:tcPr>
            <w:tcW w:w="800" w:type="pct"/>
            <w:vAlign w:val="center"/>
          </w:tcPr>
          <w:p w14:paraId="1DE04829">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宋体"/>
                <w:b w:val="0"/>
                <w:bCs w:val="0"/>
                <w:color w:val="000000"/>
                <w:kern w:val="0"/>
                <w:sz w:val="24"/>
                <w:szCs w:val="24"/>
                <w:highlight w:val="none"/>
                <w:lang w:val="en-US" w:eastAsia="zh-CN" w:bidi="ar"/>
              </w:rPr>
            </w:pPr>
          </w:p>
        </w:tc>
      </w:tr>
      <w:bookmarkEnd w:id="5"/>
    </w:tbl>
    <w:p w14:paraId="55205056">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方正楷体_GBK" w:hAnsi="方正楷体_GBK" w:eastAsia="方正楷体_GBK" w:cs="方正楷体_GBK"/>
          <w:spacing w:val="9"/>
          <w:sz w:val="32"/>
          <w:szCs w:val="32"/>
        </w:rPr>
      </w:pPr>
      <w:bookmarkStart w:id="6" w:name="_Toc467"/>
      <w:bookmarkStart w:id="7" w:name="_Toc20241"/>
      <w:r>
        <w:rPr>
          <w:rFonts w:hint="eastAsia" w:ascii="方正楷体_GBK" w:hAnsi="方正楷体_GBK" w:eastAsia="方正楷体_GBK" w:cs="方正楷体_GBK"/>
          <w:spacing w:val="9"/>
          <w:sz w:val="32"/>
          <w:szCs w:val="32"/>
        </w:rPr>
        <w:t>（二）单位资金情况</w:t>
      </w:r>
      <w:bookmarkEnd w:id="6"/>
      <w:bookmarkEnd w:id="7"/>
    </w:p>
    <w:p w14:paraId="53BD02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1.单位收支情况</w:t>
      </w:r>
    </w:p>
    <w:p w14:paraId="6BEADF3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市宣教中心2025年收入年初预算1,180.21万元，调整后预算1,234.86万元，决算数1,183.53万元，全部为财政拨款收入。</w:t>
      </w:r>
    </w:p>
    <w:p w14:paraId="4895E64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市宣教中心2025年支出年初预算1,180.21万元，其中：基本支出769.37万元，项目支出410.84万元。调整后预算1,234.86万元，其中：基本支出838.24万元，调增68.87万元，主要原因是追加人员经费；项目支出396.62万元，调减14.22万元，主要原因是压缩环保专项资金。</w:t>
      </w:r>
    </w:p>
    <w:p w14:paraId="1B75423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2025年市宣教中心实际支出1,183.53万元，预算执行率95.84%。其中：基本支出786.96万元，预算执行率93.88%；项目支出396.57万元，预算执行率99.99%。详情见表1-4。</w:t>
      </w:r>
    </w:p>
    <w:p w14:paraId="14602C2C">
      <w:pPr>
        <w:pStyle w:val="1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 w:hAnsi="仿宋" w:cs="仿宋"/>
          <w:sz w:val="24"/>
          <w:szCs w:val="24"/>
          <w:highlight w:val="none"/>
        </w:rPr>
      </w:pPr>
      <w:r>
        <w:rPr>
          <w:rFonts w:hint="eastAsia" w:ascii="仿宋" w:hAnsi="仿宋"/>
          <w:sz w:val="24"/>
          <w:szCs w:val="24"/>
          <w:highlight w:val="none"/>
        </w:rPr>
        <w:t>表</w:t>
      </w:r>
      <w:r>
        <w:rPr>
          <w:rFonts w:hint="eastAsia" w:ascii="仿宋" w:hAnsi="仿宋"/>
          <w:sz w:val="24"/>
          <w:szCs w:val="24"/>
          <w:highlight w:val="none"/>
          <w:lang w:val="en-US" w:eastAsia="zh-CN"/>
        </w:rPr>
        <w:t>1-4</w:t>
      </w:r>
      <w:r>
        <w:rPr>
          <w:rFonts w:ascii="仿宋" w:hAnsi="仿宋"/>
          <w:sz w:val="24"/>
          <w:szCs w:val="24"/>
          <w:highlight w:val="none"/>
        </w:rPr>
        <w:t xml:space="preserve"> </w:t>
      </w:r>
      <w:r>
        <w:rPr>
          <w:rFonts w:hint="eastAsia" w:ascii="仿宋" w:hAnsi="仿宋" w:cs="仿宋"/>
          <w:sz w:val="24"/>
          <w:szCs w:val="24"/>
          <w:highlight w:val="none"/>
        </w:rPr>
        <w:t>市</w:t>
      </w:r>
      <w:r>
        <w:rPr>
          <w:rFonts w:hint="eastAsia" w:ascii="仿宋" w:hAnsi="仿宋" w:cs="仿宋"/>
          <w:sz w:val="24"/>
          <w:szCs w:val="24"/>
          <w:highlight w:val="none"/>
          <w:lang w:eastAsia="zh-CN"/>
        </w:rPr>
        <w:t>宣教中心202</w:t>
      </w:r>
      <w:r>
        <w:rPr>
          <w:rFonts w:hint="eastAsia" w:ascii="仿宋" w:hAnsi="仿宋" w:cs="仿宋"/>
          <w:sz w:val="24"/>
          <w:szCs w:val="24"/>
          <w:highlight w:val="none"/>
          <w:lang w:val="en-US" w:eastAsia="zh-CN"/>
        </w:rPr>
        <w:t>5</w:t>
      </w:r>
      <w:r>
        <w:rPr>
          <w:rFonts w:ascii="仿宋" w:hAnsi="仿宋" w:cs="仿宋"/>
          <w:sz w:val="24"/>
          <w:szCs w:val="24"/>
          <w:highlight w:val="none"/>
        </w:rPr>
        <w:t>年</w:t>
      </w:r>
      <w:r>
        <w:rPr>
          <w:rFonts w:hint="eastAsia" w:ascii="仿宋" w:hAnsi="仿宋" w:cs="仿宋"/>
          <w:sz w:val="24"/>
          <w:szCs w:val="24"/>
          <w:highlight w:val="none"/>
        </w:rPr>
        <w:t>部门预算安排与支出情况</w:t>
      </w:r>
    </w:p>
    <w:p w14:paraId="563CE941">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单位：万元</w:t>
      </w:r>
    </w:p>
    <w:tbl>
      <w:tblPr>
        <w:tblStyle w:val="7"/>
        <w:tblW w:w="54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2"/>
        <w:gridCol w:w="1561"/>
        <w:gridCol w:w="2077"/>
        <w:gridCol w:w="1729"/>
        <w:gridCol w:w="1806"/>
      </w:tblGrid>
      <w:tr w14:paraId="1CA8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841" w:type="pct"/>
            <w:vAlign w:val="center"/>
          </w:tcPr>
          <w:p w14:paraId="3F14F6D4">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支出类别</w:t>
            </w:r>
          </w:p>
        </w:tc>
        <w:tc>
          <w:tcPr>
            <w:tcW w:w="687" w:type="pct"/>
            <w:vAlign w:val="center"/>
          </w:tcPr>
          <w:p w14:paraId="0EA01971">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 年初预算数 </w:t>
            </w:r>
          </w:p>
        </w:tc>
        <w:tc>
          <w:tcPr>
            <w:tcW w:w="914" w:type="pct"/>
            <w:vAlign w:val="center"/>
          </w:tcPr>
          <w:p w14:paraId="38B5F71F">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调整后预算数</w:t>
            </w:r>
          </w:p>
        </w:tc>
        <w:tc>
          <w:tcPr>
            <w:tcW w:w="761" w:type="pct"/>
            <w:vAlign w:val="center"/>
          </w:tcPr>
          <w:p w14:paraId="17B13F67">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实际支出数 </w:t>
            </w:r>
          </w:p>
        </w:tc>
        <w:tc>
          <w:tcPr>
            <w:tcW w:w="795" w:type="pct"/>
            <w:vAlign w:val="center"/>
          </w:tcPr>
          <w:p w14:paraId="6017D60A">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val="en-US" w:bidi="ar"/>
              </w:rPr>
            </w:pPr>
            <w:r>
              <w:rPr>
                <w:rFonts w:hint="eastAsia" w:ascii="仿宋" w:hAnsi="仿宋" w:eastAsia="仿宋" w:cs="仿宋"/>
                <w:b w:val="0"/>
                <w:bCs w:val="0"/>
                <w:i w:val="0"/>
                <w:iCs w:val="0"/>
                <w:color w:val="000000"/>
                <w:kern w:val="0"/>
                <w:sz w:val="24"/>
                <w:szCs w:val="24"/>
                <w:highlight w:val="none"/>
                <w:u w:val="none"/>
                <w:lang w:val="en-US" w:eastAsia="zh-CN" w:bidi="ar"/>
              </w:rPr>
              <w:t>预算执行率</w:t>
            </w:r>
          </w:p>
        </w:tc>
      </w:tr>
      <w:tr w14:paraId="5799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2691F388">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一、基本支出</w:t>
            </w:r>
          </w:p>
        </w:tc>
        <w:tc>
          <w:tcPr>
            <w:tcW w:w="687" w:type="pct"/>
            <w:vAlign w:val="center"/>
          </w:tcPr>
          <w:p w14:paraId="494F8F2F">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769.37 </w:t>
            </w:r>
          </w:p>
        </w:tc>
        <w:tc>
          <w:tcPr>
            <w:tcW w:w="914" w:type="pct"/>
            <w:vAlign w:val="center"/>
          </w:tcPr>
          <w:p w14:paraId="4DC38857">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838.24 </w:t>
            </w:r>
          </w:p>
        </w:tc>
        <w:tc>
          <w:tcPr>
            <w:tcW w:w="761" w:type="pct"/>
            <w:vAlign w:val="center"/>
          </w:tcPr>
          <w:p w14:paraId="70E12545">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786.96 </w:t>
            </w:r>
          </w:p>
        </w:tc>
        <w:tc>
          <w:tcPr>
            <w:tcW w:w="795" w:type="pct"/>
            <w:shd w:val="clear" w:color="auto" w:fill="auto"/>
            <w:vAlign w:val="center"/>
          </w:tcPr>
          <w:p w14:paraId="76CE92C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SA"/>
              </w:rPr>
            </w:pPr>
            <w:r>
              <w:rPr>
                <w:rFonts w:hint="eastAsia" w:ascii="仿宋" w:hAnsi="仿宋" w:eastAsia="仿宋" w:cs="仿宋"/>
                <w:b/>
                <w:bCs/>
                <w:i w:val="0"/>
                <w:iCs w:val="0"/>
                <w:snapToGrid w:val="0"/>
                <w:color w:val="000000"/>
                <w:kern w:val="0"/>
                <w:sz w:val="24"/>
                <w:szCs w:val="24"/>
                <w:u w:val="none"/>
                <w:lang w:val="en-US" w:eastAsia="zh-CN" w:bidi="ar"/>
              </w:rPr>
              <w:t>93.88%</w:t>
            </w:r>
          </w:p>
        </w:tc>
      </w:tr>
      <w:tr w14:paraId="7062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674793B7">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1.人员经费</w:t>
            </w:r>
          </w:p>
        </w:tc>
        <w:tc>
          <w:tcPr>
            <w:tcW w:w="687" w:type="pct"/>
            <w:vAlign w:val="center"/>
          </w:tcPr>
          <w:p w14:paraId="0733B1AC">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648.60 </w:t>
            </w:r>
          </w:p>
        </w:tc>
        <w:tc>
          <w:tcPr>
            <w:tcW w:w="914" w:type="pct"/>
            <w:vAlign w:val="center"/>
          </w:tcPr>
          <w:p w14:paraId="2B752B8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717.47 </w:t>
            </w:r>
          </w:p>
        </w:tc>
        <w:tc>
          <w:tcPr>
            <w:tcW w:w="761" w:type="pct"/>
            <w:vAlign w:val="center"/>
          </w:tcPr>
          <w:p w14:paraId="53FA6B3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707.34 </w:t>
            </w:r>
          </w:p>
        </w:tc>
        <w:tc>
          <w:tcPr>
            <w:tcW w:w="795" w:type="pct"/>
            <w:vAlign w:val="center"/>
          </w:tcPr>
          <w:p w14:paraId="476413AC">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98.59%</w:t>
            </w:r>
          </w:p>
        </w:tc>
      </w:tr>
      <w:tr w14:paraId="4837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777E42CA">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2.公用经费</w:t>
            </w:r>
          </w:p>
        </w:tc>
        <w:tc>
          <w:tcPr>
            <w:tcW w:w="687" w:type="pct"/>
            <w:vAlign w:val="center"/>
          </w:tcPr>
          <w:p w14:paraId="10F9982A">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120.77 </w:t>
            </w:r>
          </w:p>
        </w:tc>
        <w:tc>
          <w:tcPr>
            <w:tcW w:w="914" w:type="pct"/>
            <w:vAlign w:val="center"/>
          </w:tcPr>
          <w:p w14:paraId="667B4E5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120.77 </w:t>
            </w:r>
          </w:p>
        </w:tc>
        <w:tc>
          <w:tcPr>
            <w:tcW w:w="761" w:type="pct"/>
            <w:vAlign w:val="center"/>
          </w:tcPr>
          <w:p w14:paraId="18108B05">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79.62 </w:t>
            </w:r>
          </w:p>
        </w:tc>
        <w:tc>
          <w:tcPr>
            <w:tcW w:w="795" w:type="pct"/>
            <w:vAlign w:val="center"/>
          </w:tcPr>
          <w:p w14:paraId="46342673">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65.93%</w:t>
            </w:r>
          </w:p>
        </w:tc>
      </w:tr>
      <w:tr w14:paraId="2017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7FC50A6C">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二、项目支出：</w:t>
            </w:r>
          </w:p>
        </w:tc>
        <w:tc>
          <w:tcPr>
            <w:tcW w:w="687" w:type="pct"/>
            <w:vAlign w:val="center"/>
          </w:tcPr>
          <w:p w14:paraId="7C9EC291">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410.84 </w:t>
            </w:r>
          </w:p>
        </w:tc>
        <w:tc>
          <w:tcPr>
            <w:tcW w:w="914" w:type="pct"/>
            <w:vAlign w:val="center"/>
          </w:tcPr>
          <w:p w14:paraId="3D448DCA">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396.62 </w:t>
            </w:r>
          </w:p>
        </w:tc>
        <w:tc>
          <w:tcPr>
            <w:tcW w:w="761" w:type="pct"/>
            <w:vAlign w:val="center"/>
          </w:tcPr>
          <w:p w14:paraId="7527B8FA">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396.57 </w:t>
            </w:r>
          </w:p>
        </w:tc>
        <w:tc>
          <w:tcPr>
            <w:tcW w:w="795" w:type="pct"/>
            <w:shd w:val="clear" w:color="auto" w:fill="auto"/>
            <w:vAlign w:val="center"/>
          </w:tcPr>
          <w:p w14:paraId="76FA044B">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highlight w:val="none"/>
                <w:u w:val="none"/>
                <w:lang w:val="en-US" w:eastAsia="zh-CN" w:bidi="ar-SA"/>
              </w:rPr>
            </w:pPr>
            <w:r>
              <w:rPr>
                <w:rFonts w:hint="eastAsia" w:ascii="仿宋" w:hAnsi="仿宋" w:eastAsia="仿宋" w:cs="仿宋"/>
                <w:b/>
                <w:bCs/>
                <w:i w:val="0"/>
                <w:iCs w:val="0"/>
                <w:snapToGrid w:val="0"/>
                <w:color w:val="000000"/>
                <w:kern w:val="0"/>
                <w:sz w:val="24"/>
                <w:szCs w:val="24"/>
                <w:highlight w:val="none"/>
                <w:u w:val="none"/>
                <w:lang w:val="en-US" w:eastAsia="zh-CN" w:bidi="ar"/>
              </w:rPr>
              <w:t>99.99%</w:t>
            </w:r>
          </w:p>
        </w:tc>
      </w:tr>
      <w:tr w14:paraId="7B4F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067A110F">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bCs/>
                <w:i w:val="0"/>
                <w:iCs w:val="0"/>
                <w:snapToGrid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（一）部门预算项目</w:t>
            </w:r>
          </w:p>
        </w:tc>
        <w:tc>
          <w:tcPr>
            <w:tcW w:w="687" w:type="pct"/>
            <w:vAlign w:val="center"/>
          </w:tcPr>
          <w:p w14:paraId="0451CBB4">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339.76 </w:t>
            </w:r>
          </w:p>
        </w:tc>
        <w:tc>
          <w:tcPr>
            <w:tcW w:w="914" w:type="pct"/>
            <w:vAlign w:val="center"/>
          </w:tcPr>
          <w:p w14:paraId="551D19CC">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339.76 </w:t>
            </w:r>
          </w:p>
        </w:tc>
        <w:tc>
          <w:tcPr>
            <w:tcW w:w="761" w:type="pct"/>
            <w:vAlign w:val="center"/>
          </w:tcPr>
          <w:p w14:paraId="3D4ECEF6">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339.71 </w:t>
            </w:r>
          </w:p>
        </w:tc>
        <w:tc>
          <w:tcPr>
            <w:tcW w:w="795" w:type="pct"/>
            <w:shd w:val="clear" w:color="auto" w:fill="auto"/>
            <w:vAlign w:val="center"/>
          </w:tcPr>
          <w:p w14:paraId="1F1506B1">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highlight w:val="none"/>
                <w:u w:val="none"/>
                <w:lang w:val="en-US" w:eastAsia="zh-CN" w:bidi="ar-SA"/>
              </w:rPr>
            </w:pPr>
            <w:r>
              <w:rPr>
                <w:rFonts w:hint="eastAsia" w:ascii="仿宋" w:hAnsi="仿宋" w:eastAsia="仿宋" w:cs="仿宋"/>
                <w:b/>
                <w:bCs/>
                <w:i w:val="0"/>
                <w:iCs w:val="0"/>
                <w:snapToGrid w:val="0"/>
                <w:color w:val="000000"/>
                <w:kern w:val="0"/>
                <w:sz w:val="24"/>
                <w:szCs w:val="24"/>
                <w:highlight w:val="none"/>
                <w:u w:val="none"/>
                <w:lang w:val="en-US" w:eastAsia="zh-CN" w:bidi="ar"/>
              </w:rPr>
              <w:t>99.99%</w:t>
            </w:r>
          </w:p>
        </w:tc>
      </w:tr>
      <w:tr w14:paraId="55D7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0E680531">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i w:val="0"/>
                <w:iCs w:val="0"/>
                <w:snapToGrid w:val="0"/>
                <w:color w:val="000000"/>
                <w:kern w:val="0"/>
                <w:sz w:val="24"/>
                <w:szCs w:val="24"/>
                <w:highlight w:val="none"/>
                <w:u w:val="none"/>
                <w:lang w:val="en-US" w:eastAsia="zh-CN" w:bidi="ar"/>
              </w:rPr>
              <w:t>1.办公设备购置2025</w:t>
            </w:r>
          </w:p>
        </w:tc>
        <w:tc>
          <w:tcPr>
            <w:tcW w:w="687" w:type="pct"/>
            <w:vAlign w:val="center"/>
          </w:tcPr>
          <w:p w14:paraId="2031952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3.50 </w:t>
            </w:r>
          </w:p>
        </w:tc>
        <w:tc>
          <w:tcPr>
            <w:tcW w:w="914" w:type="pct"/>
            <w:vAlign w:val="center"/>
          </w:tcPr>
          <w:p w14:paraId="481ED21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3.50 </w:t>
            </w:r>
          </w:p>
        </w:tc>
        <w:tc>
          <w:tcPr>
            <w:tcW w:w="761" w:type="pct"/>
            <w:vAlign w:val="center"/>
          </w:tcPr>
          <w:p w14:paraId="60C121C6">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3.50 </w:t>
            </w:r>
          </w:p>
        </w:tc>
        <w:tc>
          <w:tcPr>
            <w:tcW w:w="795" w:type="pct"/>
            <w:vAlign w:val="center"/>
          </w:tcPr>
          <w:p w14:paraId="5BF16AE5">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100.00%</w:t>
            </w:r>
          </w:p>
        </w:tc>
      </w:tr>
      <w:tr w14:paraId="2D4F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57F9C1F4">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2.习近平生态文明思想公众宣传</w:t>
            </w:r>
          </w:p>
        </w:tc>
        <w:tc>
          <w:tcPr>
            <w:tcW w:w="687" w:type="pct"/>
            <w:vAlign w:val="center"/>
          </w:tcPr>
          <w:p w14:paraId="007C23A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36.58 </w:t>
            </w:r>
          </w:p>
        </w:tc>
        <w:tc>
          <w:tcPr>
            <w:tcW w:w="914" w:type="pct"/>
            <w:vAlign w:val="center"/>
          </w:tcPr>
          <w:p w14:paraId="5F9AF012">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36.58 </w:t>
            </w:r>
          </w:p>
        </w:tc>
        <w:tc>
          <w:tcPr>
            <w:tcW w:w="761" w:type="pct"/>
            <w:vAlign w:val="center"/>
          </w:tcPr>
          <w:p w14:paraId="02905604">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36.58 </w:t>
            </w:r>
          </w:p>
        </w:tc>
        <w:tc>
          <w:tcPr>
            <w:tcW w:w="795" w:type="pct"/>
            <w:vAlign w:val="center"/>
          </w:tcPr>
          <w:p w14:paraId="5139643A">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100.00%</w:t>
            </w:r>
          </w:p>
        </w:tc>
      </w:tr>
      <w:tr w14:paraId="78D6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52C10692">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3.法律服务与审计委托</w:t>
            </w:r>
          </w:p>
        </w:tc>
        <w:tc>
          <w:tcPr>
            <w:tcW w:w="687" w:type="pct"/>
            <w:vAlign w:val="center"/>
          </w:tcPr>
          <w:p w14:paraId="7ED5CD91">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3.40 </w:t>
            </w:r>
          </w:p>
        </w:tc>
        <w:tc>
          <w:tcPr>
            <w:tcW w:w="914" w:type="pct"/>
            <w:vAlign w:val="center"/>
          </w:tcPr>
          <w:p w14:paraId="10E73197">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3.40 </w:t>
            </w:r>
          </w:p>
        </w:tc>
        <w:tc>
          <w:tcPr>
            <w:tcW w:w="761" w:type="pct"/>
            <w:vAlign w:val="center"/>
          </w:tcPr>
          <w:p w14:paraId="081471B1">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3.40 </w:t>
            </w:r>
          </w:p>
        </w:tc>
        <w:tc>
          <w:tcPr>
            <w:tcW w:w="795" w:type="pct"/>
            <w:vAlign w:val="center"/>
          </w:tcPr>
          <w:p w14:paraId="73A3B039">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100.00%</w:t>
            </w:r>
          </w:p>
        </w:tc>
      </w:tr>
      <w:tr w14:paraId="19F2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41DDE71E">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4.信息化保障与服务1</w:t>
            </w:r>
          </w:p>
        </w:tc>
        <w:tc>
          <w:tcPr>
            <w:tcW w:w="687" w:type="pct"/>
            <w:vAlign w:val="center"/>
          </w:tcPr>
          <w:p w14:paraId="1B0AD46C">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77.64 </w:t>
            </w:r>
          </w:p>
        </w:tc>
        <w:tc>
          <w:tcPr>
            <w:tcW w:w="914" w:type="pct"/>
            <w:vAlign w:val="center"/>
          </w:tcPr>
          <w:p w14:paraId="1AE5BC4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77.64 </w:t>
            </w:r>
          </w:p>
        </w:tc>
        <w:tc>
          <w:tcPr>
            <w:tcW w:w="761" w:type="pct"/>
            <w:vAlign w:val="center"/>
          </w:tcPr>
          <w:p w14:paraId="5B2F2411">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77.60 </w:t>
            </w:r>
          </w:p>
        </w:tc>
        <w:tc>
          <w:tcPr>
            <w:tcW w:w="795" w:type="pct"/>
            <w:vAlign w:val="center"/>
          </w:tcPr>
          <w:p w14:paraId="47D1CC3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99.95%</w:t>
            </w:r>
          </w:p>
        </w:tc>
      </w:tr>
      <w:tr w14:paraId="5048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442E26F3">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i w:val="0"/>
                <w:iCs w:val="0"/>
                <w:snapToGrid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5.生态文明教育培训1</w:t>
            </w:r>
          </w:p>
        </w:tc>
        <w:tc>
          <w:tcPr>
            <w:tcW w:w="687" w:type="pct"/>
            <w:vAlign w:val="center"/>
          </w:tcPr>
          <w:p w14:paraId="0AC731F2">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63.60 </w:t>
            </w:r>
          </w:p>
        </w:tc>
        <w:tc>
          <w:tcPr>
            <w:tcW w:w="914" w:type="pct"/>
            <w:vAlign w:val="center"/>
          </w:tcPr>
          <w:p w14:paraId="59C4E912">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63.60 </w:t>
            </w:r>
          </w:p>
        </w:tc>
        <w:tc>
          <w:tcPr>
            <w:tcW w:w="761" w:type="pct"/>
            <w:vAlign w:val="center"/>
          </w:tcPr>
          <w:p w14:paraId="2DFE0F82">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63.60 </w:t>
            </w:r>
          </w:p>
        </w:tc>
        <w:tc>
          <w:tcPr>
            <w:tcW w:w="795" w:type="pct"/>
            <w:vAlign w:val="center"/>
          </w:tcPr>
          <w:p w14:paraId="62F71924">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99.99%</w:t>
            </w:r>
          </w:p>
        </w:tc>
      </w:tr>
      <w:tr w14:paraId="766F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0D489102">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i w:val="0"/>
                <w:iCs w:val="0"/>
                <w:snapToGrid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6.新闻宣传及舆论引导</w:t>
            </w:r>
          </w:p>
        </w:tc>
        <w:tc>
          <w:tcPr>
            <w:tcW w:w="687" w:type="pct"/>
            <w:vAlign w:val="center"/>
          </w:tcPr>
          <w:p w14:paraId="5E9E13B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155.04 </w:t>
            </w:r>
          </w:p>
        </w:tc>
        <w:tc>
          <w:tcPr>
            <w:tcW w:w="914" w:type="pct"/>
            <w:vAlign w:val="center"/>
          </w:tcPr>
          <w:p w14:paraId="2F3C058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155.04 </w:t>
            </w:r>
          </w:p>
        </w:tc>
        <w:tc>
          <w:tcPr>
            <w:tcW w:w="761" w:type="pct"/>
            <w:vAlign w:val="center"/>
          </w:tcPr>
          <w:p w14:paraId="070BCBEC">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155.03 </w:t>
            </w:r>
          </w:p>
        </w:tc>
        <w:tc>
          <w:tcPr>
            <w:tcW w:w="795" w:type="pct"/>
            <w:vAlign w:val="center"/>
          </w:tcPr>
          <w:p w14:paraId="560586B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100.00%</w:t>
            </w:r>
          </w:p>
        </w:tc>
      </w:tr>
      <w:tr w14:paraId="337E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0322C95C">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bCs/>
                <w:i w:val="0"/>
                <w:iCs w:val="0"/>
                <w:snapToGrid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（二）生态环境保护专项</w:t>
            </w:r>
          </w:p>
        </w:tc>
        <w:tc>
          <w:tcPr>
            <w:tcW w:w="687" w:type="pct"/>
            <w:vAlign w:val="center"/>
          </w:tcPr>
          <w:p w14:paraId="013FC67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71.08 </w:t>
            </w:r>
          </w:p>
        </w:tc>
        <w:tc>
          <w:tcPr>
            <w:tcW w:w="914" w:type="pct"/>
            <w:vAlign w:val="center"/>
          </w:tcPr>
          <w:p w14:paraId="09C7D4A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56.86 </w:t>
            </w:r>
          </w:p>
        </w:tc>
        <w:tc>
          <w:tcPr>
            <w:tcW w:w="761" w:type="pct"/>
            <w:vAlign w:val="center"/>
          </w:tcPr>
          <w:p w14:paraId="0F3F73E3">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56.86 </w:t>
            </w:r>
          </w:p>
        </w:tc>
        <w:tc>
          <w:tcPr>
            <w:tcW w:w="795" w:type="pct"/>
            <w:shd w:val="clear" w:color="auto" w:fill="auto"/>
            <w:vAlign w:val="center"/>
          </w:tcPr>
          <w:p w14:paraId="69360713">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highlight w:val="none"/>
                <w:u w:val="none"/>
                <w:lang w:val="en-US" w:eastAsia="zh-CN" w:bidi="ar-SA"/>
              </w:rPr>
            </w:pPr>
            <w:r>
              <w:rPr>
                <w:rFonts w:hint="eastAsia" w:ascii="仿宋" w:hAnsi="仿宋" w:eastAsia="仿宋" w:cs="仿宋"/>
                <w:b/>
                <w:bCs/>
                <w:i w:val="0"/>
                <w:iCs w:val="0"/>
                <w:snapToGrid w:val="0"/>
                <w:color w:val="000000"/>
                <w:kern w:val="0"/>
                <w:sz w:val="24"/>
                <w:szCs w:val="24"/>
                <w:highlight w:val="none"/>
                <w:u w:val="none"/>
                <w:lang w:val="en-US" w:eastAsia="zh-CN" w:bidi="ar"/>
              </w:rPr>
              <w:t>100.00%</w:t>
            </w:r>
          </w:p>
        </w:tc>
      </w:tr>
      <w:tr w14:paraId="7567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5B0FA1CF">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1.习近平生态文明思想宣传推广2025</w:t>
            </w:r>
          </w:p>
        </w:tc>
        <w:tc>
          <w:tcPr>
            <w:tcW w:w="687" w:type="pct"/>
            <w:vAlign w:val="center"/>
          </w:tcPr>
          <w:p w14:paraId="0623DAF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71.08 </w:t>
            </w:r>
          </w:p>
        </w:tc>
        <w:tc>
          <w:tcPr>
            <w:tcW w:w="914" w:type="pct"/>
            <w:vAlign w:val="center"/>
          </w:tcPr>
          <w:p w14:paraId="22B74C72">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56.86 </w:t>
            </w:r>
          </w:p>
        </w:tc>
        <w:tc>
          <w:tcPr>
            <w:tcW w:w="761" w:type="pct"/>
            <w:vAlign w:val="center"/>
          </w:tcPr>
          <w:p w14:paraId="3A4C28A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highlight w:val="none"/>
                <w:u w:val="none"/>
                <w:lang w:val="en-US" w:eastAsia="zh-CN" w:bidi="ar"/>
              </w:rPr>
              <w:t xml:space="preserve"> 56.86 </w:t>
            </w:r>
          </w:p>
        </w:tc>
        <w:tc>
          <w:tcPr>
            <w:tcW w:w="795" w:type="pct"/>
            <w:shd w:val="clear" w:color="auto" w:fill="auto"/>
            <w:vAlign w:val="center"/>
          </w:tcPr>
          <w:p w14:paraId="27E2AF5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i w:val="0"/>
                <w:iCs w:val="0"/>
                <w:snapToGrid w:val="0"/>
                <w:color w:val="000000"/>
                <w:kern w:val="0"/>
                <w:sz w:val="24"/>
                <w:szCs w:val="24"/>
                <w:highlight w:val="none"/>
                <w:u w:val="none"/>
                <w:lang w:val="en-US" w:eastAsia="zh-CN" w:bidi="ar-SA"/>
              </w:rPr>
            </w:pPr>
            <w:r>
              <w:rPr>
                <w:rFonts w:hint="eastAsia" w:ascii="仿宋" w:hAnsi="仿宋" w:eastAsia="仿宋" w:cs="仿宋"/>
                <w:i w:val="0"/>
                <w:iCs w:val="0"/>
                <w:snapToGrid w:val="0"/>
                <w:color w:val="000000"/>
                <w:kern w:val="0"/>
                <w:sz w:val="24"/>
                <w:szCs w:val="24"/>
                <w:highlight w:val="none"/>
                <w:u w:val="none"/>
                <w:lang w:val="en-US" w:eastAsia="zh-CN" w:bidi="ar"/>
              </w:rPr>
              <w:t>100.00%</w:t>
            </w:r>
          </w:p>
        </w:tc>
      </w:tr>
      <w:tr w14:paraId="3C04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1" w:type="pct"/>
            <w:vAlign w:val="center"/>
          </w:tcPr>
          <w:p w14:paraId="506AE487">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bCs/>
                <w:i w:val="0"/>
                <w:iCs w:val="0"/>
                <w:snapToGrid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合计</w:t>
            </w:r>
          </w:p>
        </w:tc>
        <w:tc>
          <w:tcPr>
            <w:tcW w:w="687" w:type="pct"/>
            <w:vAlign w:val="center"/>
          </w:tcPr>
          <w:p w14:paraId="0A0C3589">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1,180.21 </w:t>
            </w:r>
          </w:p>
        </w:tc>
        <w:tc>
          <w:tcPr>
            <w:tcW w:w="914" w:type="pct"/>
            <w:vAlign w:val="center"/>
          </w:tcPr>
          <w:p w14:paraId="0EDB948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1,234.86 </w:t>
            </w:r>
          </w:p>
        </w:tc>
        <w:tc>
          <w:tcPr>
            <w:tcW w:w="761" w:type="pct"/>
            <w:vAlign w:val="center"/>
          </w:tcPr>
          <w:p w14:paraId="078956A9">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highlight w:val="none"/>
                <w:u w:val="none"/>
                <w:lang w:val="en-US" w:eastAsia="zh-CN" w:bidi="ar"/>
              </w:rPr>
              <w:t xml:space="preserve"> 1,183.53 </w:t>
            </w:r>
          </w:p>
        </w:tc>
        <w:tc>
          <w:tcPr>
            <w:tcW w:w="795" w:type="pct"/>
            <w:shd w:val="clear" w:color="auto" w:fill="auto"/>
            <w:vAlign w:val="center"/>
          </w:tcPr>
          <w:p w14:paraId="0C6A72B5">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SA"/>
              </w:rPr>
            </w:pPr>
            <w:r>
              <w:rPr>
                <w:rFonts w:hint="eastAsia" w:ascii="仿宋" w:hAnsi="仿宋" w:eastAsia="仿宋" w:cs="仿宋"/>
                <w:b/>
                <w:bCs/>
                <w:i w:val="0"/>
                <w:iCs w:val="0"/>
                <w:snapToGrid w:val="0"/>
                <w:color w:val="000000"/>
                <w:kern w:val="0"/>
                <w:sz w:val="24"/>
                <w:szCs w:val="24"/>
                <w:u w:val="none"/>
                <w:lang w:val="en-US" w:eastAsia="zh-CN" w:bidi="ar"/>
              </w:rPr>
              <w:t>95.84%</w:t>
            </w:r>
          </w:p>
        </w:tc>
      </w:tr>
    </w:tbl>
    <w:p w14:paraId="0F87229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2.“三公”情况</w:t>
      </w:r>
    </w:p>
    <w:p w14:paraId="10A99A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2025年度市宣教中心“三公”经费、会议费、培训费年初预算数4.24万元，调整后预算数4.24万元，决算数0.98万元。具体明细详见下表：</w:t>
      </w:r>
    </w:p>
    <w:p w14:paraId="75C3E117">
      <w:pPr>
        <w:pStyle w:val="1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 w:hAnsi="仿宋" w:cs="仿宋"/>
          <w:sz w:val="24"/>
          <w:szCs w:val="24"/>
          <w:highlight w:val="none"/>
        </w:rPr>
      </w:pPr>
      <w:r>
        <w:rPr>
          <w:rFonts w:hint="eastAsia" w:ascii="仿宋" w:hAnsi="仿宋"/>
          <w:sz w:val="24"/>
          <w:szCs w:val="24"/>
          <w:highlight w:val="none"/>
        </w:rPr>
        <w:t>表</w:t>
      </w:r>
      <w:r>
        <w:rPr>
          <w:rFonts w:hint="eastAsia" w:ascii="仿宋" w:hAnsi="仿宋"/>
          <w:sz w:val="24"/>
          <w:szCs w:val="24"/>
          <w:highlight w:val="none"/>
          <w:lang w:val="en-US" w:eastAsia="zh-CN"/>
        </w:rPr>
        <w:t>1-5</w:t>
      </w:r>
      <w:r>
        <w:rPr>
          <w:rFonts w:ascii="仿宋" w:hAnsi="仿宋"/>
          <w:sz w:val="24"/>
          <w:szCs w:val="24"/>
          <w:highlight w:val="none"/>
        </w:rPr>
        <w:t xml:space="preserve"> </w:t>
      </w:r>
      <w:r>
        <w:rPr>
          <w:rFonts w:hint="eastAsia" w:ascii="仿宋" w:hAnsi="仿宋" w:cs="仿宋"/>
          <w:sz w:val="24"/>
          <w:szCs w:val="24"/>
          <w:highlight w:val="none"/>
        </w:rPr>
        <w:t>市</w:t>
      </w:r>
      <w:r>
        <w:rPr>
          <w:rFonts w:hint="eastAsia" w:ascii="仿宋" w:hAnsi="仿宋" w:cs="仿宋"/>
          <w:sz w:val="24"/>
          <w:szCs w:val="24"/>
          <w:highlight w:val="none"/>
          <w:lang w:eastAsia="zh-CN"/>
        </w:rPr>
        <w:t>宣教中心2025年“三公”经费、会议费、培训费预算执行情况</w:t>
      </w:r>
    </w:p>
    <w:p w14:paraId="2F1AB9DA">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单位：万元</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4128"/>
        <w:gridCol w:w="1887"/>
        <w:gridCol w:w="2208"/>
        <w:gridCol w:w="1247"/>
      </w:tblGrid>
      <w:tr w14:paraId="7DC9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46" w:type="pct"/>
            <w:vAlign w:val="center"/>
          </w:tcPr>
          <w:p w14:paraId="5AA2CEC4">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val="en-US" w:bidi="ar"/>
              </w:rPr>
            </w:pPr>
            <w:r>
              <w:rPr>
                <w:rFonts w:hint="eastAsia" w:ascii="仿宋" w:hAnsi="仿宋" w:eastAsia="仿宋" w:cs="仿宋"/>
                <w:b w:val="0"/>
                <w:bCs w:val="0"/>
                <w:i w:val="0"/>
                <w:iCs w:val="0"/>
                <w:color w:val="000000"/>
                <w:kern w:val="0"/>
                <w:sz w:val="24"/>
                <w:szCs w:val="24"/>
                <w:highlight w:val="none"/>
                <w:u w:val="none"/>
                <w:lang w:val="en-US" w:eastAsia="zh-CN" w:bidi="ar"/>
              </w:rPr>
              <w:t>序号</w:t>
            </w:r>
          </w:p>
        </w:tc>
        <w:tc>
          <w:tcPr>
            <w:tcW w:w="1984" w:type="pct"/>
            <w:vAlign w:val="center"/>
          </w:tcPr>
          <w:p w14:paraId="5F8D7E11">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项目</w:t>
            </w:r>
          </w:p>
        </w:tc>
        <w:tc>
          <w:tcPr>
            <w:tcW w:w="907" w:type="pct"/>
            <w:vAlign w:val="center"/>
          </w:tcPr>
          <w:p w14:paraId="643C39AD">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val="en-US"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年初预算数 </w:t>
            </w:r>
          </w:p>
        </w:tc>
        <w:tc>
          <w:tcPr>
            <w:tcW w:w="1061" w:type="pct"/>
            <w:vAlign w:val="center"/>
          </w:tcPr>
          <w:p w14:paraId="2ED63F8D">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调整后预算数</w:t>
            </w:r>
          </w:p>
        </w:tc>
        <w:tc>
          <w:tcPr>
            <w:tcW w:w="599" w:type="pct"/>
            <w:vAlign w:val="center"/>
          </w:tcPr>
          <w:p w14:paraId="5471802F">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val="en-US" w:bidi="ar"/>
              </w:rPr>
            </w:pPr>
            <w:r>
              <w:rPr>
                <w:rFonts w:hint="eastAsia" w:ascii="仿宋" w:hAnsi="仿宋" w:eastAsia="仿宋" w:cs="仿宋"/>
                <w:b w:val="0"/>
                <w:bCs w:val="0"/>
                <w:i w:val="0"/>
                <w:iCs w:val="0"/>
                <w:color w:val="000000"/>
                <w:kern w:val="0"/>
                <w:sz w:val="24"/>
                <w:szCs w:val="24"/>
                <w:highlight w:val="none"/>
                <w:u w:val="none"/>
                <w:lang w:val="en-US" w:eastAsia="zh-CN" w:bidi="ar"/>
              </w:rPr>
              <w:t>决算数</w:t>
            </w:r>
          </w:p>
        </w:tc>
      </w:tr>
      <w:tr w14:paraId="5408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pct"/>
            <w:vAlign w:val="center"/>
          </w:tcPr>
          <w:p w14:paraId="70B83097">
            <w:pPr>
              <w:pStyle w:val="9"/>
              <w:keepNext w:val="0"/>
              <w:keepLines w:val="0"/>
              <w:pageBreakBefore w:val="0"/>
              <w:wordWrap/>
              <w:overflowPunct/>
              <w:topLinePunct w:val="0"/>
              <w:bidi w:val="0"/>
              <w:spacing w:line="56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w:t>
            </w:r>
          </w:p>
        </w:tc>
        <w:tc>
          <w:tcPr>
            <w:tcW w:w="1984" w:type="pct"/>
            <w:vAlign w:val="center"/>
          </w:tcPr>
          <w:p w14:paraId="58A7934C">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“三公”经费</w:t>
            </w:r>
          </w:p>
        </w:tc>
        <w:tc>
          <w:tcPr>
            <w:tcW w:w="907" w:type="pct"/>
            <w:vAlign w:val="center"/>
          </w:tcPr>
          <w:p w14:paraId="38B584C4">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3.24</w:t>
            </w:r>
          </w:p>
        </w:tc>
        <w:tc>
          <w:tcPr>
            <w:tcW w:w="1809" w:type="dxa"/>
            <w:vAlign w:val="center"/>
          </w:tcPr>
          <w:p w14:paraId="7EA90040">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3.24</w:t>
            </w:r>
          </w:p>
        </w:tc>
        <w:tc>
          <w:tcPr>
            <w:tcW w:w="599" w:type="pct"/>
            <w:vAlign w:val="center"/>
          </w:tcPr>
          <w:p w14:paraId="4E2D8A34">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0.98</w:t>
            </w:r>
          </w:p>
        </w:tc>
      </w:tr>
      <w:tr w14:paraId="39F8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pct"/>
            <w:vAlign w:val="center"/>
          </w:tcPr>
          <w:p w14:paraId="7FB75693">
            <w:pPr>
              <w:pStyle w:val="9"/>
              <w:keepNext w:val="0"/>
              <w:keepLines w:val="0"/>
              <w:pageBreakBefore w:val="0"/>
              <w:wordWrap/>
              <w:overflowPunct/>
              <w:topLinePunct w:val="0"/>
              <w:bidi w:val="0"/>
              <w:spacing w:line="56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984" w:type="pct"/>
            <w:vAlign w:val="center"/>
          </w:tcPr>
          <w:p w14:paraId="6CE90007">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因公出国（境）费</w:t>
            </w:r>
          </w:p>
        </w:tc>
        <w:tc>
          <w:tcPr>
            <w:tcW w:w="907" w:type="pct"/>
            <w:vAlign w:val="center"/>
          </w:tcPr>
          <w:p w14:paraId="0E1B64D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809" w:type="dxa"/>
            <w:vAlign w:val="center"/>
          </w:tcPr>
          <w:p w14:paraId="40C240F3">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p>
        </w:tc>
        <w:tc>
          <w:tcPr>
            <w:tcW w:w="599" w:type="pct"/>
            <w:vAlign w:val="center"/>
          </w:tcPr>
          <w:p w14:paraId="6A73CC8C">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r>
      <w:tr w14:paraId="74D4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pct"/>
            <w:vAlign w:val="center"/>
          </w:tcPr>
          <w:p w14:paraId="60085A0F">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w:t>
            </w:r>
          </w:p>
        </w:tc>
        <w:tc>
          <w:tcPr>
            <w:tcW w:w="1984" w:type="pct"/>
            <w:vAlign w:val="center"/>
          </w:tcPr>
          <w:p w14:paraId="26A1EAF6">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公务用车购置及运行维护费</w:t>
            </w:r>
          </w:p>
        </w:tc>
        <w:tc>
          <w:tcPr>
            <w:tcW w:w="907" w:type="pct"/>
            <w:vAlign w:val="center"/>
          </w:tcPr>
          <w:p w14:paraId="438CD8A8">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2.24</w:t>
            </w:r>
          </w:p>
        </w:tc>
        <w:tc>
          <w:tcPr>
            <w:tcW w:w="1809" w:type="dxa"/>
            <w:vAlign w:val="center"/>
          </w:tcPr>
          <w:p w14:paraId="285EA5D5">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2.24</w:t>
            </w:r>
          </w:p>
        </w:tc>
        <w:tc>
          <w:tcPr>
            <w:tcW w:w="599" w:type="pct"/>
            <w:vAlign w:val="center"/>
          </w:tcPr>
          <w:p w14:paraId="4C26E1D2">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0.79</w:t>
            </w:r>
          </w:p>
        </w:tc>
      </w:tr>
      <w:tr w14:paraId="76D4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pct"/>
            <w:vAlign w:val="center"/>
          </w:tcPr>
          <w:p w14:paraId="57B30337">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w:t>
            </w:r>
          </w:p>
        </w:tc>
        <w:tc>
          <w:tcPr>
            <w:tcW w:w="1984" w:type="pct"/>
            <w:vAlign w:val="center"/>
          </w:tcPr>
          <w:p w14:paraId="22E0EF47">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公务接待费</w:t>
            </w:r>
          </w:p>
        </w:tc>
        <w:tc>
          <w:tcPr>
            <w:tcW w:w="907" w:type="pct"/>
            <w:vAlign w:val="center"/>
          </w:tcPr>
          <w:p w14:paraId="2E3E8A28">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1.00</w:t>
            </w:r>
          </w:p>
        </w:tc>
        <w:tc>
          <w:tcPr>
            <w:tcW w:w="1809" w:type="dxa"/>
            <w:vAlign w:val="center"/>
          </w:tcPr>
          <w:p w14:paraId="4F490087">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1.00</w:t>
            </w:r>
          </w:p>
        </w:tc>
        <w:tc>
          <w:tcPr>
            <w:tcW w:w="599" w:type="pct"/>
            <w:vAlign w:val="center"/>
          </w:tcPr>
          <w:p w14:paraId="6B4E1C1C">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0.18</w:t>
            </w:r>
          </w:p>
        </w:tc>
      </w:tr>
      <w:tr w14:paraId="6BF0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pct"/>
            <w:vAlign w:val="center"/>
          </w:tcPr>
          <w:p w14:paraId="450BF881">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二</w:t>
            </w:r>
          </w:p>
        </w:tc>
        <w:tc>
          <w:tcPr>
            <w:tcW w:w="1984" w:type="pct"/>
            <w:vAlign w:val="center"/>
          </w:tcPr>
          <w:p w14:paraId="74DAB03E">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会议费</w:t>
            </w:r>
          </w:p>
        </w:tc>
        <w:tc>
          <w:tcPr>
            <w:tcW w:w="907" w:type="pct"/>
            <w:shd w:val="clear" w:color="auto" w:fill="auto"/>
            <w:vAlign w:val="center"/>
          </w:tcPr>
          <w:p w14:paraId="64BED3A1">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0.50</w:t>
            </w:r>
          </w:p>
        </w:tc>
        <w:tc>
          <w:tcPr>
            <w:tcW w:w="1809" w:type="dxa"/>
            <w:shd w:val="clear" w:color="auto" w:fill="auto"/>
            <w:vAlign w:val="center"/>
          </w:tcPr>
          <w:p w14:paraId="5BFAEFDA">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0.50</w:t>
            </w:r>
          </w:p>
        </w:tc>
        <w:tc>
          <w:tcPr>
            <w:tcW w:w="599" w:type="pct"/>
            <w:vAlign w:val="center"/>
          </w:tcPr>
          <w:p w14:paraId="15DE82B5">
            <w:pPr>
              <w:keepNext w:val="0"/>
              <w:keepLines w:val="0"/>
              <w:pageBreakBefore w:val="0"/>
              <w:widowControl/>
              <w:suppressLineNumbers w:val="0"/>
              <w:wordWrap/>
              <w:overflowPunct/>
              <w:topLinePunct w:val="0"/>
              <w:bidi w:val="0"/>
              <w:spacing w:line="560" w:lineRule="exact"/>
              <w:jc w:val="right"/>
              <w:textAlignment w:val="center"/>
              <w:rPr>
                <w:rFonts w:hint="default"/>
                <w:lang w:val="en-US" w:eastAsia="zh-CN"/>
              </w:rPr>
            </w:pPr>
          </w:p>
        </w:tc>
      </w:tr>
      <w:tr w14:paraId="5AF3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pct"/>
            <w:vAlign w:val="center"/>
          </w:tcPr>
          <w:p w14:paraId="088B86EC">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三</w:t>
            </w:r>
          </w:p>
        </w:tc>
        <w:tc>
          <w:tcPr>
            <w:tcW w:w="1984" w:type="pct"/>
            <w:vAlign w:val="center"/>
          </w:tcPr>
          <w:p w14:paraId="339FDF26">
            <w:pPr>
              <w:keepNext w:val="0"/>
              <w:keepLines w:val="0"/>
              <w:pageBreakBefore w:val="0"/>
              <w:widowControl/>
              <w:suppressLineNumbers w:val="0"/>
              <w:wordWrap/>
              <w:overflowPunct/>
              <w:topLinePunct w:val="0"/>
              <w:bidi w:val="0"/>
              <w:spacing w:line="560" w:lineRule="exact"/>
              <w:jc w:val="both"/>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培训费</w:t>
            </w:r>
          </w:p>
        </w:tc>
        <w:tc>
          <w:tcPr>
            <w:tcW w:w="907" w:type="pct"/>
            <w:vAlign w:val="center"/>
          </w:tcPr>
          <w:p w14:paraId="770911C1">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0.50</w:t>
            </w:r>
          </w:p>
        </w:tc>
        <w:tc>
          <w:tcPr>
            <w:tcW w:w="1809" w:type="dxa"/>
            <w:vAlign w:val="center"/>
          </w:tcPr>
          <w:p w14:paraId="7401D24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0.50</w:t>
            </w:r>
          </w:p>
        </w:tc>
        <w:tc>
          <w:tcPr>
            <w:tcW w:w="599" w:type="pct"/>
            <w:vAlign w:val="center"/>
          </w:tcPr>
          <w:p w14:paraId="11044C72">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p>
        </w:tc>
      </w:tr>
      <w:tr w14:paraId="375A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0" w:type="pct"/>
            <w:gridSpan w:val="2"/>
            <w:vAlign w:val="center"/>
          </w:tcPr>
          <w:p w14:paraId="3730893C">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合计</w:t>
            </w:r>
          </w:p>
        </w:tc>
        <w:tc>
          <w:tcPr>
            <w:tcW w:w="907" w:type="pct"/>
            <w:vAlign w:val="center"/>
          </w:tcPr>
          <w:p w14:paraId="3FEF2B84">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4.24</w:t>
            </w:r>
          </w:p>
        </w:tc>
        <w:tc>
          <w:tcPr>
            <w:tcW w:w="1809" w:type="dxa"/>
            <w:vAlign w:val="center"/>
          </w:tcPr>
          <w:p w14:paraId="544F0450">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4.24</w:t>
            </w:r>
          </w:p>
        </w:tc>
        <w:tc>
          <w:tcPr>
            <w:tcW w:w="599" w:type="pct"/>
            <w:vAlign w:val="center"/>
          </w:tcPr>
          <w:p w14:paraId="67F6D00F">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val="0"/>
                <w:bCs w:val="0"/>
                <w:i w:val="0"/>
                <w:iCs w:val="0"/>
                <w:color w:val="000000"/>
                <w:kern w:val="0"/>
                <w:sz w:val="24"/>
                <w:szCs w:val="24"/>
                <w:highlight w:val="none"/>
                <w:u w:val="none"/>
                <w:lang w:val="en-US" w:eastAsia="zh-CN" w:bidi="ar"/>
              </w:rPr>
            </w:pPr>
          </w:p>
        </w:tc>
      </w:tr>
    </w:tbl>
    <w:p w14:paraId="00843A6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3.专项资金情况</w:t>
      </w:r>
    </w:p>
    <w:p w14:paraId="7287B07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2025年，市宣教中心预算共涉及6个专项资金项目，年初预算安排71.08万元，预算调减14.22万元，调整后预算数56.86万元，实际支出56.86万元，预算执行率100.00%。详见表1-6。</w:t>
      </w:r>
    </w:p>
    <w:p w14:paraId="11FFDD85">
      <w:pPr>
        <w:pStyle w:val="12"/>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rPr>
          <w:rFonts w:ascii="仿宋" w:hAnsi="仿宋" w:cs="仿宋"/>
          <w:sz w:val="24"/>
          <w:szCs w:val="24"/>
          <w:highlight w:val="none"/>
        </w:rPr>
      </w:pPr>
      <w:r>
        <w:rPr>
          <w:rFonts w:hint="eastAsia" w:ascii="仿宋" w:hAnsi="仿宋"/>
          <w:sz w:val="24"/>
          <w:szCs w:val="24"/>
          <w:highlight w:val="none"/>
        </w:rPr>
        <w:t>表</w:t>
      </w:r>
      <w:r>
        <w:rPr>
          <w:rFonts w:hint="eastAsia" w:ascii="仿宋" w:hAnsi="仿宋"/>
          <w:sz w:val="24"/>
          <w:szCs w:val="24"/>
          <w:highlight w:val="none"/>
          <w:lang w:val="en-US" w:eastAsia="zh-CN"/>
        </w:rPr>
        <w:t>1-6</w:t>
      </w:r>
      <w:r>
        <w:rPr>
          <w:rFonts w:hint="eastAsia" w:ascii="仿宋" w:hAnsi="仿宋" w:cs="仿宋"/>
          <w:sz w:val="24"/>
          <w:szCs w:val="24"/>
          <w:highlight w:val="none"/>
        </w:rPr>
        <w:t>市</w:t>
      </w:r>
      <w:r>
        <w:rPr>
          <w:rFonts w:hint="eastAsia" w:ascii="仿宋" w:hAnsi="仿宋" w:cs="仿宋"/>
          <w:sz w:val="24"/>
          <w:szCs w:val="24"/>
          <w:highlight w:val="none"/>
          <w:lang w:eastAsia="zh-CN"/>
        </w:rPr>
        <w:t>宣教中心202</w:t>
      </w:r>
      <w:r>
        <w:rPr>
          <w:rFonts w:hint="eastAsia" w:ascii="仿宋" w:hAnsi="仿宋" w:cs="仿宋"/>
          <w:sz w:val="24"/>
          <w:szCs w:val="24"/>
          <w:highlight w:val="none"/>
          <w:lang w:val="en-US" w:eastAsia="zh-CN"/>
        </w:rPr>
        <w:t>5</w:t>
      </w:r>
      <w:r>
        <w:rPr>
          <w:rFonts w:ascii="仿宋" w:hAnsi="仿宋" w:cs="仿宋"/>
          <w:sz w:val="24"/>
          <w:szCs w:val="24"/>
          <w:highlight w:val="none"/>
        </w:rPr>
        <w:t>年</w:t>
      </w:r>
      <w:r>
        <w:rPr>
          <w:rFonts w:hint="eastAsia" w:ascii="仿宋" w:hAnsi="仿宋" w:cs="仿宋"/>
          <w:sz w:val="24"/>
          <w:szCs w:val="24"/>
          <w:highlight w:val="none"/>
          <w:lang w:val="en-US" w:eastAsia="zh-CN"/>
        </w:rPr>
        <w:t>专项资金</w:t>
      </w:r>
      <w:r>
        <w:rPr>
          <w:rFonts w:hint="eastAsia" w:ascii="仿宋" w:hAnsi="仿宋" w:cs="仿宋"/>
          <w:sz w:val="24"/>
          <w:szCs w:val="24"/>
          <w:highlight w:val="none"/>
        </w:rPr>
        <w:t>情况</w:t>
      </w:r>
    </w:p>
    <w:p w14:paraId="60D3EF35">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单位：万元</w:t>
      </w:r>
    </w:p>
    <w:tbl>
      <w:tblPr>
        <w:tblStyle w:val="7"/>
        <w:tblW w:w="10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4379"/>
        <w:gridCol w:w="1246"/>
        <w:gridCol w:w="1303"/>
        <w:gridCol w:w="1303"/>
        <w:gridCol w:w="1085"/>
      </w:tblGrid>
      <w:tr w14:paraId="44B9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23" w:type="dxa"/>
            <w:vAlign w:val="center"/>
          </w:tcPr>
          <w:p w14:paraId="30196723">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sz w:val="24"/>
                <w:szCs w:val="24"/>
                <w:lang w:val="en-US" w:eastAsia="zh-CN"/>
              </w:rPr>
            </w:pPr>
            <w:r>
              <w:rPr>
                <w:rFonts w:hint="eastAsia" w:ascii="仿宋" w:hAnsi="仿宋" w:eastAsia="仿宋" w:cs="仿宋"/>
                <w:b w:val="0"/>
                <w:bCs w:val="0"/>
                <w:i w:val="0"/>
                <w:iCs w:val="0"/>
                <w:color w:val="000000"/>
                <w:kern w:val="0"/>
                <w:sz w:val="24"/>
                <w:szCs w:val="24"/>
                <w:highlight w:val="none"/>
                <w:u w:val="none"/>
                <w:lang w:val="en-US" w:eastAsia="zh-CN" w:bidi="ar"/>
              </w:rPr>
              <w:t>序号</w:t>
            </w:r>
          </w:p>
        </w:tc>
        <w:tc>
          <w:tcPr>
            <w:tcW w:w="4384" w:type="dxa"/>
            <w:vAlign w:val="center"/>
          </w:tcPr>
          <w:p w14:paraId="6B2B59BF">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专项项目</w:t>
            </w:r>
          </w:p>
        </w:tc>
        <w:tc>
          <w:tcPr>
            <w:tcW w:w="1247" w:type="dxa"/>
            <w:vAlign w:val="center"/>
          </w:tcPr>
          <w:p w14:paraId="0232CB25">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年初预算数</w:t>
            </w:r>
          </w:p>
        </w:tc>
        <w:tc>
          <w:tcPr>
            <w:tcW w:w="1304" w:type="dxa"/>
            <w:vAlign w:val="center"/>
          </w:tcPr>
          <w:p w14:paraId="27DE5EA1">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调整后预算数</w:t>
            </w:r>
          </w:p>
        </w:tc>
        <w:tc>
          <w:tcPr>
            <w:tcW w:w="1304" w:type="dxa"/>
            <w:vAlign w:val="center"/>
          </w:tcPr>
          <w:p w14:paraId="22CEF38D">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i w:val="0"/>
                <w:iCs w:val="0"/>
                <w:color w:val="000000"/>
                <w:kern w:val="0"/>
                <w:sz w:val="24"/>
                <w:szCs w:val="24"/>
                <w:highlight w:val="none"/>
                <w:u w:val="none"/>
                <w:lang w:val="en-US" w:eastAsia="zh-CN" w:bidi="ar"/>
              </w:rPr>
              <w:t>实际支出数</w:t>
            </w:r>
          </w:p>
        </w:tc>
        <w:tc>
          <w:tcPr>
            <w:tcW w:w="1077" w:type="dxa"/>
            <w:vAlign w:val="center"/>
          </w:tcPr>
          <w:p w14:paraId="1C53B3FA">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val="0"/>
                <w:bCs w:val="0"/>
                <w:color w:val="000000"/>
                <w:kern w:val="0"/>
                <w:sz w:val="24"/>
                <w:szCs w:val="24"/>
                <w:highlight w:val="none"/>
                <w:lang w:val="en-US" w:bidi="ar"/>
              </w:rPr>
            </w:pPr>
            <w:r>
              <w:rPr>
                <w:rFonts w:hint="eastAsia" w:ascii="仿宋" w:hAnsi="仿宋" w:eastAsia="仿宋" w:cs="仿宋"/>
                <w:b w:val="0"/>
                <w:bCs w:val="0"/>
                <w:i w:val="0"/>
                <w:iCs w:val="0"/>
                <w:color w:val="000000"/>
                <w:kern w:val="0"/>
                <w:sz w:val="24"/>
                <w:szCs w:val="24"/>
                <w:highlight w:val="none"/>
                <w:u w:val="none"/>
                <w:lang w:val="en-US" w:eastAsia="zh-CN" w:bidi="ar"/>
              </w:rPr>
              <w:t>预算执行率</w:t>
            </w:r>
          </w:p>
        </w:tc>
      </w:tr>
      <w:tr w14:paraId="0EA5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3" w:type="dxa"/>
            <w:vAlign w:val="center"/>
          </w:tcPr>
          <w:p w14:paraId="3F6E03B3">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sz w:val="24"/>
                <w:szCs w:val="24"/>
                <w:lang w:val="en-US" w:eastAsia="zh-CN"/>
              </w:rPr>
            </w:pPr>
            <w:r>
              <w:rPr>
                <w:rStyle w:val="14"/>
                <w:rFonts w:hint="eastAsia" w:ascii="仿宋" w:hAnsi="仿宋" w:eastAsia="仿宋" w:cs="仿宋"/>
                <w:snapToGrid w:val="0"/>
                <w:color w:val="000000"/>
                <w:sz w:val="24"/>
                <w:szCs w:val="24"/>
                <w:lang w:val="en-US" w:eastAsia="zh-CN" w:bidi="ar"/>
              </w:rPr>
              <w:t>1</w:t>
            </w:r>
          </w:p>
        </w:tc>
        <w:tc>
          <w:tcPr>
            <w:tcW w:w="4384" w:type="dxa"/>
            <w:vAlign w:val="center"/>
          </w:tcPr>
          <w:p w14:paraId="6DB4CC0A">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Style w:val="14"/>
                <w:rFonts w:hint="eastAsia" w:ascii="仿宋" w:hAnsi="仿宋" w:eastAsia="仿宋" w:cs="仿宋"/>
                <w:snapToGrid w:val="0"/>
                <w:color w:val="000000"/>
                <w:sz w:val="24"/>
                <w:szCs w:val="24"/>
                <w:lang w:val="en-US" w:eastAsia="zh-CN" w:bidi="ar"/>
              </w:rPr>
              <w:t>2024年</w:t>
            </w:r>
            <w:r>
              <w:rPr>
                <w:rStyle w:val="15"/>
                <w:rFonts w:hint="eastAsia" w:ascii="仿宋" w:hAnsi="仿宋" w:eastAsia="仿宋" w:cs="仿宋"/>
                <w:snapToGrid w:val="0"/>
                <w:color w:val="000000"/>
                <w:sz w:val="24"/>
                <w:szCs w:val="24"/>
                <w:lang w:val="en-US" w:eastAsia="zh-CN" w:bidi="ar"/>
              </w:rPr>
              <w:t>南京生态环境系统生态文明视觉化素材库项目（三年计划）尾款</w:t>
            </w:r>
          </w:p>
        </w:tc>
        <w:tc>
          <w:tcPr>
            <w:tcW w:w="1247" w:type="dxa"/>
            <w:vAlign w:val="center"/>
          </w:tcPr>
          <w:p w14:paraId="04B533B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6.88</w:t>
            </w:r>
          </w:p>
        </w:tc>
        <w:tc>
          <w:tcPr>
            <w:tcW w:w="1304" w:type="dxa"/>
            <w:vAlign w:val="center"/>
          </w:tcPr>
          <w:p w14:paraId="244CDAEE">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6.88</w:t>
            </w:r>
          </w:p>
        </w:tc>
        <w:tc>
          <w:tcPr>
            <w:tcW w:w="1304" w:type="dxa"/>
            <w:vAlign w:val="center"/>
          </w:tcPr>
          <w:p w14:paraId="12C9800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6.88</w:t>
            </w:r>
          </w:p>
        </w:tc>
        <w:tc>
          <w:tcPr>
            <w:tcW w:w="1077" w:type="dxa"/>
            <w:vAlign w:val="center"/>
          </w:tcPr>
          <w:p w14:paraId="6FD95EF2">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spacing w:val="4"/>
                <w:sz w:val="24"/>
                <w:szCs w:val="24"/>
                <w:lang w:val="en-US" w:eastAsia="zh-CN"/>
              </w:rPr>
              <w:t>100.00%</w:t>
            </w:r>
          </w:p>
        </w:tc>
      </w:tr>
      <w:tr w14:paraId="2814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3" w:type="dxa"/>
            <w:vAlign w:val="center"/>
          </w:tcPr>
          <w:p w14:paraId="060E5EC3">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2</w:t>
            </w:r>
          </w:p>
        </w:tc>
        <w:tc>
          <w:tcPr>
            <w:tcW w:w="4384" w:type="dxa"/>
            <w:vAlign w:val="center"/>
          </w:tcPr>
          <w:p w14:paraId="64B04580">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环保人物故事</w:t>
            </w:r>
          </w:p>
        </w:tc>
        <w:tc>
          <w:tcPr>
            <w:tcW w:w="1247" w:type="dxa"/>
            <w:vAlign w:val="center"/>
          </w:tcPr>
          <w:p w14:paraId="105BB841">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9.98</w:t>
            </w:r>
          </w:p>
        </w:tc>
        <w:tc>
          <w:tcPr>
            <w:tcW w:w="1304" w:type="dxa"/>
            <w:vAlign w:val="center"/>
          </w:tcPr>
          <w:p w14:paraId="75DFF16B">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7.58</w:t>
            </w:r>
          </w:p>
        </w:tc>
        <w:tc>
          <w:tcPr>
            <w:tcW w:w="1304" w:type="dxa"/>
            <w:vAlign w:val="center"/>
          </w:tcPr>
          <w:p w14:paraId="3B8EEB26">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7.58</w:t>
            </w:r>
          </w:p>
        </w:tc>
        <w:tc>
          <w:tcPr>
            <w:tcW w:w="1077" w:type="dxa"/>
            <w:vAlign w:val="center"/>
          </w:tcPr>
          <w:p w14:paraId="628F1415">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spacing w:val="4"/>
                <w:sz w:val="24"/>
                <w:szCs w:val="24"/>
                <w:lang w:val="en-US" w:eastAsia="zh-CN"/>
              </w:rPr>
              <w:t>100.00%</w:t>
            </w:r>
          </w:p>
        </w:tc>
      </w:tr>
      <w:tr w14:paraId="30A3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3" w:type="dxa"/>
            <w:vAlign w:val="center"/>
          </w:tcPr>
          <w:p w14:paraId="5EB9D52D">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3</w:t>
            </w:r>
          </w:p>
        </w:tc>
        <w:tc>
          <w:tcPr>
            <w:tcW w:w="4384" w:type="dxa"/>
            <w:vAlign w:val="center"/>
          </w:tcPr>
          <w:p w14:paraId="1FC33F71">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南京生态环境系统生态文明视觉化素材库项目（三年计划）</w:t>
            </w:r>
          </w:p>
        </w:tc>
        <w:tc>
          <w:tcPr>
            <w:tcW w:w="1247" w:type="dxa"/>
            <w:vAlign w:val="center"/>
          </w:tcPr>
          <w:p w14:paraId="4B30B7B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1.52</w:t>
            </w:r>
          </w:p>
        </w:tc>
        <w:tc>
          <w:tcPr>
            <w:tcW w:w="1304" w:type="dxa"/>
            <w:vAlign w:val="center"/>
          </w:tcPr>
          <w:p w14:paraId="1DCC7446">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0.00</w:t>
            </w:r>
          </w:p>
        </w:tc>
        <w:tc>
          <w:tcPr>
            <w:tcW w:w="1304" w:type="dxa"/>
            <w:vAlign w:val="center"/>
          </w:tcPr>
          <w:p w14:paraId="57801E56">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0.00</w:t>
            </w:r>
          </w:p>
        </w:tc>
        <w:tc>
          <w:tcPr>
            <w:tcW w:w="1077" w:type="dxa"/>
            <w:vAlign w:val="center"/>
          </w:tcPr>
          <w:p w14:paraId="624A3D0B">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p>
        </w:tc>
      </w:tr>
      <w:tr w14:paraId="01E7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3" w:type="dxa"/>
            <w:vAlign w:val="center"/>
          </w:tcPr>
          <w:p w14:paraId="7DD75696">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4</w:t>
            </w:r>
          </w:p>
        </w:tc>
        <w:tc>
          <w:tcPr>
            <w:tcW w:w="4384" w:type="dxa"/>
            <w:vAlign w:val="center"/>
          </w:tcPr>
          <w:p w14:paraId="66EDD4C6">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5.22生物多样性日主题宣传活动</w:t>
            </w:r>
          </w:p>
        </w:tc>
        <w:tc>
          <w:tcPr>
            <w:tcW w:w="1247" w:type="dxa"/>
            <w:vAlign w:val="center"/>
          </w:tcPr>
          <w:p w14:paraId="4A0D14D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10.50</w:t>
            </w:r>
          </w:p>
        </w:tc>
        <w:tc>
          <w:tcPr>
            <w:tcW w:w="1304" w:type="dxa"/>
            <w:vAlign w:val="center"/>
          </w:tcPr>
          <w:p w14:paraId="2E0906B9">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5.00</w:t>
            </w:r>
          </w:p>
        </w:tc>
        <w:tc>
          <w:tcPr>
            <w:tcW w:w="1304" w:type="dxa"/>
            <w:vAlign w:val="center"/>
          </w:tcPr>
          <w:p w14:paraId="00082212">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5.00</w:t>
            </w:r>
          </w:p>
        </w:tc>
        <w:tc>
          <w:tcPr>
            <w:tcW w:w="1077" w:type="dxa"/>
            <w:vAlign w:val="center"/>
          </w:tcPr>
          <w:p w14:paraId="39B9F4F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spacing w:val="4"/>
                <w:sz w:val="24"/>
                <w:szCs w:val="24"/>
                <w:lang w:val="en-US" w:eastAsia="zh-CN"/>
              </w:rPr>
              <w:t>100.00%</w:t>
            </w:r>
          </w:p>
        </w:tc>
      </w:tr>
      <w:tr w14:paraId="0A20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3" w:type="dxa"/>
            <w:vAlign w:val="center"/>
          </w:tcPr>
          <w:p w14:paraId="183597DB">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w:t>
            </w:r>
          </w:p>
        </w:tc>
        <w:tc>
          <w:tcPr>
            <w:tcW w:w="4384" w:type="dxa"/>
            <w:vAlign w:val="center"/>
          </w:tcPr>
          <w:p w14:paraId="1FE87E45">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南京市生态环境在线教育系统更新运维</w:t>
            </w:r>
          </w:p>
        </w:tc>
        <w:tc>
          <w:tcPr>
            <w:tcW w:w="1247" w:type="dxa"/>
            <w:vAlign w:val="center"/>
          </w:tcPr>
          <w:p w14:paraId="6128522D">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4.20</w:t>
            </w:r>
          </w:p>
        </w:tc>
        <w:tc>
          <w:tcPr>
            <w:tcW w:w="1304" w:type="dxa"/>
            <w:vAlign w:val="center"/>
          </w:tcPr>
          <w:p w14:paraId="4C044D03">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b w:val="0"/>
                <w:bCs w:val="0"/>
                <w:i w:val="0"/>
                <w:iCs w:val="0"/>
                <w:snapToGrid w:val="0"/>
                <w:color w:val="000000"/>
                <w:kern w:val="0"/>
                <w:sz w:val="24"/>
                <w:szCs w:val="24"/>
                <w:u w:val="none"/>
                <w:lang w:val="en-US" w:eastAsia="zh-CN" w:bidi="ar"/>
              </w:rPr>
              <w:t>4.20</w:t>
            </w:r>
          </w:p>
        </w:tc>
        <w:tc>
          <w:tcPr>
            <w:tcW w:w="1304" w:type="dxa"/>
            <w:vAlign w:val="center"/>
          </w:tcPr>
          <w:p w14:paraId="176B8D7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b w:val="0"/>
                <w:bCs w:val="0"/>
                <w:i w:val="0"/>
                <w:iCs w:val="0"/>
                <w:snapToGrid w:val="0"/>
                <w:color w:val="000000"/>
                <w:kern w:val="0"/>
                <w:sz w:val="24"/>
                <w:szCs w:val="24"/>
                <w:u w:val="none"/>
                <w:lang w:val="en-US" w:eastAsia="zh-CN" w:bidi="ar"/>
              </w:rPr>
              <w:t>4.20</w:t>
            </w:r>
          </w:p>
        </w:tc>
        <w:tc>
          <w:tcPr>
            <w:tcW w:w="1077" w:type="dxa"/>
            <w:vAlign w:val="center"/>
          </w:tcPr>
          <w:p w14:paraId="07D711D4">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val="0"/>
                <w:bCs w:val="0"/>
                <w:i w:val="0"/>
                <w:iCs w:val="0"/>
                <w:snapToGrid w:val="0"/>
                <w:color w:val="000000"/>
                <w:kern w:val="0"/>
                <w:sz w:val="24"/>
                <w:szCs w:val="24"/>
                <w:u w:val="none"/>
                <w:lang w:val="en-US" w:eastAsia="zh-CN" w:bidi="ar"/>
              </w:rPr>
            </w:pPr>
            <w:r>
              <w:rPr>
                <w:rFonts w:hint="eastAsia" w:ascii="仿宋" w:hAnsi="仿宋" w:eastAsia="仿宋" w:cs="仿宋"/>
                <w:spacing w:val="4"/>
                <w:sz w:val="24"/>
                <w:szCs w:val="24"/>
                <w:lang w:val="en-US" w:eastAsia="zh-CN"/>
              </w:rPr>
              <w:t>100.00%</w:t>
            </w:r>
          </w:p>
        </w:tc>
      </w:tr>
      <w:tr w14:paraId="327A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3" w:type="dxa"/>
            <w:vAlign w:val="center"/>
          </w:tcPr>
          <w:p w14:paraId="55A3DBF2">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6</w:t>
            </w:r>
          </w:p>
        </w:tc>
        <w:tc>
          <w:tcPr>
            <w:tcW w:w="4384" w:type="dxa"/>
            <w:vAlign w:val="center"/>
          </w:tcPr>
          <w:p w14:paraId="4A254F27">
            <w:pPr>
              <w:keepNext w:val="0"/>
              <w:keepLines w:val="0"/>
              <w:pageBreakBefore w:val="0"/>
              <w:widowControl/>
              <w:suppressLineNumbers w:val="0"/>
              <w:wordWrap/>
              <w:overflowPunct/>
              <w:topLinePunct w:val="0"/>
              <w:bidi w:val="0"/>
              <w:spacing w:line="560" w:lineRule="exact"/>
              <w:jc w:val="left"/>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南京市生态文明教育馆展陈布置及运维</w:t>
            </w:r>
          </w:p>
        </w:tc>
        <w:tc>
          <w:tcPr>
            <w:tcW w:w="1247" w:type="dxa"/>
            <w:vAlign w:val="center"/>
          </w:tcPr>
          <w:p w14:paraId="107532A5">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38.00</w:t>
            </w:r>
          </w:p>
        </w:tc>
        <w:tc>
          <w:tcPr>
            <w:tcW w:w="1304" w:type="dxa"/>
            <w:vAlign w:val="center"/>
          </w:tcPr>
          <w:p w14:paraId="49CEC3C3">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33.20</w:t>
            </w:r>
          </w:p>
        </w:tc>
        <w:tc>
          <w:tcPr>
            <w:tcW w:w="1304" w:type="dxa"/>
            <w:vAlign w:val="center"/>
          </w:tcPr>
          <w:p w14:paraId="0B07E010">
            <w:pPr>
              <w:keepNext w:val="0"/>
              <w:keepLines w:val="0"/>
              <w:pageBreakBefore w:val="0"/>
              <w:widowControl/>
              <w:suppressLineNumbers w:val="0"/>
              <w:wordWrap/>
              <w:overflowPunct/>
              <w:topLinePunct w:val="0"/>
              <w:bidi w:val="0"/>
              <w:spacing w:line="560" w:lineRule="exact"/>
              <w:jc w:val="right"/>
              <w:textAlignment w:val="center"/>
              <w:rPr>
                <w:rFonts w:hint="default"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33.20</w:t>
            </w:r>
          </w:p>
        </w:tc>
        <w:tc>
          <w:tcPr>
            <w:tcW w:w="1077" w:type="dxa"/>
            <w:vAlign w:val="center"/>
          </w:tcPr>
          <w:p w14:paraId="184DE248">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spacing w:val="4"/>
                <w:sz w:val="24"/>
                <w:szCs w:val="24"/>
                <w:lang w:val="en-US" w:eastAsia="zh-CN"/>
              </w:rPr>
              <w:t>100.00%</w:t>
            </w:r>
          </w:p>
        </w:tc>
      </w:tr>
      <w:tr w14:paraId="1E51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7" w:type="dxa"/>
            <w:gridSpan w:val="2"/>
            <w:vAlign w:val="center"/>
          </w:tcPr>
          <w:p w14:paraId="1D444AC9">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仿宋"/>
                <w:b/>
                <w:bCs/>
                <w:i w:val="0"/>
                <w:iCs w:val="0"/>
                <w:snapToGrid w:val="0"/>
                <w:color w:val="000000"/>
                <w:kern w:val="0"/>
                <w:sz w:val="24"/>
                <w:szCs w:val="24"/>
                <w:u w:val="none"/>
                <w:lang w:val="en-US" w:eastAsia="zh-CN" w:bidi="ar"/>
              </w:rPr>
            </w:pPr>
            <w:r>
              <w:rPr>
                <w:rFonts w:hint="eastAsia" w:ascii="仿宋" w:hAnsi="仿宋" w:eastAsia="仿宋" w:cs="仿宋"/>
                <w:b/>
                <w:bCs/>
                <w:i w:val="0"/>
                <w:iCs w:val="0"/>
                <w:snapToGrid w:val="0"/>
                <w:color w:val="000000"/>
                <w:kern w:val="0"/>
                <w:sz w:val="24"/>
                <w:szCs w:val="24"/>
                <w:u w:val="none"/>
                <w:lang w:val="en-US" w:eastAsia="zh-CN" w:bidi="ar"/>
              </w:rPr>
              <w:t>合计</w:t>
            </w:r>
          </w:p>
        </w:tc>
        <w:tc>
          <w:tcPr>
            <w:tcW w:w="1247" w:type="dxa"/>
            <w:vAlign w:val="center"/>
          </w:tcPr>
          <w:p w14:paraId="485DF084">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u w:val="none"/>
                <w:lang w:val="en-US" w:eastAsia="zh-CN" w:bidi="ar"/>
              </w:rPr>
              <w:t>71.08</w:t>
            </w:r>
          </w:p>
        </w:tc>
        <w:tc>
          <w:tcPr>
            <w:tcW w:w="1304" w:type="dxa"/>
            <w:vAlign w:val="center"/>
          </w:tcPr>
          <w:p w14:paraId="05855380">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u w:val="none"/>
                <w:lang w:val="en-US" w:eastAsia="zh-CN" w:bidi="ar"/>
              </w:rPr>
              <w:t>56.86</w:t>
            </w:r>
          </w:p>
        </w:tc>
        <w:tc>
          <w:tcPr>
            <w:tcW w:w="1304" w:type="dxa"/>
            <w:vAlign w:val="center"/>
          </w:tcPr>
          <w:p w14:paraId="0D074437">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snapToGrid w:val="0"/>
                <w:color w:val="000000"/>
                <w:kern w:val="0"/>
                <w:sz w:val="24"/>
                <w:szCs w:val="24"/>
                <w:u w:val="none"/>
                <w:lang w:val="en-US" w:eastAsia="zh-CN" w:bidi="ar"/>
              </w:rPr>
              <w:t>56.86</w:t>
            </w:r>
          </w:p>
        </w:tc>
        <w:tc>
          <w:tcPr>
            <w:tcW w:w="1077" w:type="dxa"/>
            <w:vAlign w:val="center"/>
          </w:tcPr>
          <w:p w14:paraId="76CAC1D6">
            <w:pPr>
              <w:keepNext w:val="0"/>
              <w:keepLines w:val="0"/>
              <w:pageBreakBefore w:val="0"/>
              <w:widowControl/>
              <w:suppressLineNumbers w:val="0"/>
              <w:wordWrap/>
              <w:overflowPunct/>
              <w:topLinePunct w:val="0"/>
              <w:bidi w:val="0"/>
              <w:spacing w:line="560" w:lineRule="exact"/>
              <w:jc w:val="right"/>
              <w:textAlignment w:val="center"/>
              <w:rPr>
                <w:rFonts w:hint="eastAsia" w:ascii="仿宋" w:hAnsi="仿宋" w:eastAsia="仿宋" w:cs="仿宋"/>
                <w:b/>
                <w:bCs/>
                <w:i w:val="0"/>
                <w:iCs w:val="0"/>
                <w:color w:val="000000"/>
                <w:kern w:val="0"/>
                <w:sz w:val="24"/>
                <w:szCs w:val="24"/>
                <w:highlight w:val="none"/>
                <w:u w:val="none"/>
                <w:lang w:val="en-US" w:eastAsia="zh-CN" w:bidi="ar"/>
              </w:rPr>
            </w:pPr>
          </w:p>
        </w:tc>
      </w:tr>
    </w:tbl>
    <w:p w14:paraId="74109CC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76" w:firstLineChars="200"/>
        <w:jc w:val="both"/>
        <w:textAlignment w:val="baseline"/>
        <w:outlineLvl w:val="0"/>
        <w:rPr>
          <w:rFonts w:hint="eastAsia" w:ascii="方正楷体_GBK" w:hAnsi="方正楷体_GBK" w:eastAsia="方正楷体_GBK" w:cs="方正楷体_GBK"/>
          <w:spacing w:val="9"/>
          <w:sz w:val="32"/>
          <w:szCs w:val="32"/>
        </w:rPr>
      </w:pPr>
      <w:bookmarkStart w:id="8" w:name="_Toc2484"/>
      <w:bookmarkStart w:id="9" w:name="_Toc1733"/>
      <w:r>
        <w:rPr>
          <w:rFonts w:hint="eastAsia" w:ascii="方正楷体_GBK" w:hAnsi="方正楷体_GBK" w:eastAsia="方正楷体_GBK" w:cs="方正楷体_GBK"/>
          <w:spacing w:val="9"/>
          <w:sz w:val="32"/>
          <w:szCs w:val="32"/>
          <w:lang w:eastAsia="zh-CN"/>
        </w:rPr>
        <w:t>（</w:t>
      </w:r>
      <w:r>
        <w:rPr>
          <w:rFonts w:hint="eastAsia" w:ascii="方正楷体_GBK" w:hAnsi="方正楷体_GBK" w:eastAsia="方正楷体_GBK" w:cs="方正楷体_GBK"/>
          <w:spacing w:val="9"/>
          <w:sz w:val="32"/>
          <w:szCs w:val="32"/>
          <w:lang w:val="en-US" w:eastAsia="zh-CN"/>
        </w:rPr>
        <w:t>三</w:t>
      </w:r>
      <w:r>
        <w:rPr>
          <w:rFonts w:hint="eastAsia" w:ascii="方正楷体_GBK" w:hAnsi="方正楷体_GBK" w:eastAsia="方正楷体_GBK" w:cs="方正楷体_GBK"/>
          <w:spacing w:val="9"/>
          <w:sz w:val="32"/>
          <w:szCs w:val="32"/>
          <w:lang w:eastAsia="zh-CN"/>
        </w:rPr>
        <w:t>）</w:t>
      </w:r>
      <w:r>
        <w:rPr>
          <w:rFonts w:hint="eastAsia" w:ascii="方正楷体_GBK" w:hAnsi="方正楷体_GBK" w:eastAsia="方正楷体_GBK" w:cs="方正楷体_GBK"/>
          <w:spacing w:val="9"/>
          <w:sz w:val="32"/>
          <w:szCs w:val="32"/>
        </w:rPr>
        <w:t>单位绩效目标</w:t>
      </w:r>
      <w:bookmarkEnd w:id="8"/>
      <w:bookmarkEnd w:id="9"/>
    </w:p>
    <w:p w14:paraId="70FD416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1.中长期目标</w:t>
      </w:r>
    </w:p>
    <w:p w14:paraId="4DE61C5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坚持以习近平新时代中国特色社会主义思想为指导，全面贯彻党的二十大精神，牢牢把握深入打好污染防治攻坚战的奋斗目标，立足大局、服务全局，充分发挥党建引领作用，紧紧围绕生态文明建设、服务高质量发展大局，坚守生态环境领域舆论阵地，广泛深入开展生态文明教育活动，强化保障支撑提升信息化建设，推动构建生态环境治理全民行动体系。</w:t>
      </w:r>
    </w:p>
    <w:p w14:paraId="19CE4C9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2.年度绩效目标</w:t>
      </w:r>
    </w:p>
    <w:p w14:paraId="16775A4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bookmarkStart w:id="10" w:name="_Toc1217"/>
      <w:r>
        <w:rPr>
          <w:rFonts w:hint="eastAsia" w:ascii="Times New Roman" w:hAnsi="Times New Roman" w:eastAsia="方正仿宋_GBK" w:cs="Times New Roman"/>
          <w:spacing w:val="11"/>
          <w:sz w:val="32"/>
          <w:szCs w:val="32"/>
          <w:lang w:val="en-US" w:eastAsia="zh-CN"/>
        </w:rPr>
        <w:t>坚持以习近平新时代中国特色社会主义思想为指引，主动担当、积极发声，持续发出好声音、凝聚正能量，加快推进美丽南京建设。</w:t>
      </w:r>
    </w:p>
    <w:p w14:paraId="12C5557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一是加强正面引导。以广泛传播习近平生态文明思想为核心任务，立足美丽南京建设，组织国际生物多样性日、环境日、全国低碳日、全国生态日等主题宣传活动。坚守舆论宣传主阵地，讲好南京生态环保故事。提升政务新媒体传播力和管理效能，制作一批内容丰富、形式新颖的新媒体产品，生动展示治污攻坚和美丽南京建设成果。</w:t>
      </w:r>
    </w:p>
    <w:p w14:paraId="3A5E5B7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二是深化公众参与。加强生态文明教育基地建设，推进新四类环保设施向公众开放，通过线下参观、直播、VR技术等丰富讲解和互动内容，发挥基地、开放企业宣传教育和社会服务功能。优化南京生态环境在线教育学习平台，上线多样化环境教育内容，让环境教育在线可学。完成南京生态文明教育馆搬迁布展并对外开放。</w:t>
      </w:r>
    </w:p>
    <w:p w14:paraId="5DB22AF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三是创新环境教育。继续开展“我是环保小局长”“南京环境小记者”“生态文明第一课”“生态向学”等教育品牌活动，招募组建南京生态环境小志愿者，开展丰富多彩的实践活动。加大对环保社会组织的引导、支持和培育力度，推进生态环境志愿服务体系建设。推出新一批</w:t>
      </w:r>
      <w:bookmarkStart w:id="31" w:name="_GoBack"/>
      <w:r>
        <w:rPr>
          <w:rFonts w:hint="eastAsia" w:ascii="Times New Roman" w:hAnsi="Times New Roman" w:eastAsia="方正仿宋_GBK" w:cs="Times New Roman"/>
          <w:spacing w:val="11"/>
          <w:sz w:val="32"/>
          <w:szCs w:val="32"/>
          <w:lang w:val="en-US" w:eastAsia="zh-CN"/>
        </w:rPr>
        <w:t>生态文化</w:t>
      </w:r>
      <w:bookmarkEnd w:id="31"/>
      <w:r>
        <w:rPr>
          <w:rFonts w:hint="eastAsia" w:ascii="Times New Roman" w:hAnsi="Times New Roman" w:eastAsia="方正仿宋_GBK" w:cs="Times New Roman"/>
          <w:spacing w:val="11"/>
          <w:sz w:val="32"/>
          <w:szCs w:val="32"/>
          <w:lang w:val="en-US" w:eastAsia="zh-CN"/>
        </w:rPr>
        <w:t>产品，培育弘扬本土生态文化。</w:t>
      </w:r>
    </w:p>
    <w:p w14:paraId="780F14E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四是提升信息化技术保障水平。围绕全局中心工作，做好项目建设、数据管理、网络数据安全、信创替代、官网运维、移动办公终端等技术支撑保障，做好全局视频会议、网络、电子基础设施等运维工作。</w:t>
      </w:r>
    </w:p>
    <w:p w14:paraId="0AE5769E">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方正黑体_GBK" w:hAnsi="方正黑体_GBK" w:eastAsia="方正黑体_GBK" w:cs="方正黑体_GBK"/>
          <w:spacing w:val="9"/>
          <w:sz w:val="32"/>
          <w:szCs w:val="32"/>
        </w:rPr>
      </w:pPr>
      <w:bookmarkStart w:id="11" w:name="_Toc22245"/>
      <w:r>
        <w:rPr>
          <w:rFonts w:hint="eastAsia" w:ascii="方正黑体_GBK" w:hAnsi="方正黑体_GBK" w:eastAsia="方正黑体_GBK" w:cs="方正黑体_GBK"/>
          <w:spacing w:val="9"/>
          <w:sz w:val="32"/>
          <w:szCs w:val="32"/>
          <w:lang w:val="en-US" w:eastAsia="zh-CN"/>
        </w:rPr>
        <w:t>二、</w:t>
      </w:r>
      <w:r>
        <w:rPr>
          <w:rFonts w:hint="eastAsia" w:ascii="方正黑体_GBK" w:hAnsi="方正黑体_GBK" w:eastAsia="方正黑体_GBK" w:cs="方正黑体_GBK"/>
          <w:spacing w:val="9"/>
          <w:sz w:val="32"/>
          <w:szCs w:val="32"/>
        </w:rPr>
        <w:t>评价结论</w:t>
      </w:r>
      <w:bookmarkEnd w:id="10"/>
      <w:bookmarkEnd w:id="11"/>
    </w:p>
    <w:p w14:paraId="5CCFCE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52" w:firstLineChars="200"/>
        <w:jc w:val="both"/>
        <w:textAlignment w:val="baseline"/>
        <w:outlineLvl w:val="0"/>
        <w:rPr>
          <w:rFonts w:hint="eastAsia" w:ascii="方正楷体_GBK" w:hAnsi="方正楷体_GBK" w:eastAsia="方正楷体_GBK" w:cs="方正楷体_GBK"/>
          <w:spacing w:val="3"/>
          <w:sz w:val="32"/>
          <w:szCs w:val="32"/>
          <w:lang w:eastAsia="zh-CN"/>
        </w:rPr>
      </w:pPr>
      <w:bookmarkStart w:id="12" w:name="_Toc15219"/>
      <w:bookmarkStart w:id="13" w:name="_Toc21383"/>
      <w:r>
        <w:rPr>
          <w:rFonts w:hint="eastAsia" w:ascii="方正楷体_GBK" w:hAnsi="方正楷体_GBK" w:eastAsia="方正楷体_GBK" w:cs="方正楷体_GBK"/>
          <w:spacing w:val="3"/>
          <w:sz w:val="32"/>
          <w:szCs w:val="32"/>
          <w:lang w:eastAsia="zh-CN"/>
        </w:rPr>
        <w:t>（一）评价对象与范围</w:t>
      </w:r>
      <w:bookmarkEnd w:id="12"/>
      <w:bookmarkEnd w:id="13"/>
    </w:p>
    <w:p w14:paraId="3309819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本次评价对象为市宣教中心部门整体预算，调整后预算数1,234.86万元，包括基本支出和项目支出，评价时段为2025年1月1日至12月31日。</w:t>
      </w:r>
    </w:p>
    <w:p w14:paraId="6A5FB99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52" w:firstLineChars="200"/>
        <w:jc w:val="both"/>
        <w:textAlignment w:val="baseline"/>
        <w:outlineLvl w:val="0"/>
        <w:rPr>
          <w:rFonts w:hint="eastAsia" w:ascii="方正楷体_GBK" w:hAnsi="方正楷体_GBK" w:eastAsia="方正楷体_GBK" w:cs="方正楷体_GBK"/>
          <w:spacing w:val="3"/>
          <w:sz w:val="32"/>
          <w:szCs w:val="32"/>
          <w:lang w:eastAsia="zh-CN"/>
        </w:rPr>
      </w:pPr>
      <w:bookmarkStart w:id="14" w:name="_Toc32630"/>
      <w:bookmarkStart w:id="15" w:name="_Toc7957"/>
      <w:r>
        <w:rPr>
          <w:rFonts w:hint="eastAsia" w:ascii="方正楷体_GBK" w:hAnsi="方正楷体_GBK" w:eastAsia="方正楷体_GBK" w:cs="方正楷体_GBK"/>
          <w:spacing w:val="3"/>
          <w:sz w:val="32"/>
          <w:szCs w:val="32"/>
          <w:lang w:eastAsia="zh-CN"/>
        </w:rPr>
        <w:t>（二）绩效评价结论</w:t>
      </w:r>
      <w:bookmarkEnd w:id="14"/>
      <w:bookmarkEnd w:id="15"/>
    </w:p>
    <w:p w14:paraId="457B164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pacing w:val="11"/>
          <w:sz w:val="32"/>
          <w:szCs w:val="32"/>
          <w:lang w:val="en-US" w:eastAsia="zh-CN"/>
        </w:rPr>
        <w:t>经综合评价，2025年度市宣教中心整体绩效评价得分97分，等级为“优”。各部分权重和分值如表2-1所示，具体评分情况见附件。</w:t>
      </w:r>
    </w:p>
    <w:p w14:paraId="6184FE30">
      <w:pPr>
        <w:pStyle w:val="1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 w:hAnsi="仿宋" w:cs="仿宋"/>
          <w:sz w:val="24"/>
          <w:szCs w:val="24"/>
          <w:highlight w:val="none"/>
        </w:rPr>
      </w:pPr>
      <w:r>
        <w:rPr>
          <w:rFonts w:hint="eastAsia" w:ascii="仿宋" w:hAnsi="仿宋"/>
          <w:sz w:val="24"/>
          <w:szCs w:val="24"/>
          <w:highlight w:val="none"/>
        </w:rPr>
        <w:t>表</w:t>
      </w:r>
      <w:r>
        <w:rPr>
          <w:rFonts w:hint="eastAsia" w:ascii="仿宋" w:hAnsi="仿宋"/>
          <w:sz w:val="24"/>
          <w:szCs w:val="24"/>
          <w:highlight w:val="none"/>
          <w:lang w:val="en-US" w:eastAsia="zh-CN"/>
        </w:rPr>
        <w:t>2-1</w:t>
      </w:r>
      <w:r>
        <w:rPr>
          <w:rFonts w:hint="eastAsia" w:ascii="仿宋" w:hAnsi="仿宋" w:cs="仿宋"/>
          <w:sz w:val="24"/>
          <w:szCs w:val="24"/>
          <w:highlight w:val="none"/>
        </w:rPr>
        <w:t>市</w:t>
      </w:r>
      <w:r>
        <w:rPr>
          <w:rFonts w:hint="eastAsia" w:ascii="仿宋" w:hAnsi="仿宋" w:cs="仿宋"/>
          <w:sz w:val="24"/>
          <w:szCs w:val="24"/>
          <w:highlight w:val="none"/>
          <w:lang w:eastAsia="zh-CN"/>
        </w:rPr>
        <w:t>宣教中心</w:t>
      </w:r>
      <w:r>
        <w:rPr>
          <w:rFonts w:hint="eastAsia" w:ascii="仿宋" w:hAnsi="仿宋" w:cs="仿宋"/>
          <w:sz w:val="24"/>
          <w:szCs w:val="24"/>
          <w:highlight w:val="none"/>
        </w:rPr>
        <w:t>整体支出绩效评价得分情况表</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9"/>
        <w:gridCol w:w="1860"/>
        <w:gridCol w:w="1860"/>
        <w:gridCol w:w="1860"/>
        <w:gridCol w:w="1861"/>
        <w:gridCol w:w="1480"/>
      </w:tblGrid>
      <w:tr w14:paraId="30C6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jc w:val="center"/>
        </w:trPr>
        <w:tc>
          <w:tcPr>
            <w:tcW w:w="711" w:type="pct"/>
            <w:vAlign w:val="center"/>
          </w:tcPr>
          <w:p w14:paraId="4AE1BEAE">
            <w:pPr>
              <w:keepNext w:val="0"/>
              <w:keepLines w:val="0"/>
              <w:pageBreakBefore w:val="0"/>
              <w:widowControl/>
              <w:suppressLineNumbers w:val="0"/>
              <w:wordWrap/>
              <w:overflowPunct/>
              <w:topLinePunct w:val="0"/>
              <w:bidi w:val="0"/>
              <w:spacing w:line="560" w:lineRule="exact"/>
              <w:jc w:val="center"/>
              <w:textAlignment w:val="center"/>
              <w:rPr>
                <w:rFonts w:ascii="仿宋" w:hAnsi="仿宋" w:eastAsia="仿宋" w:cs="宋体"/>
                <w:b w:val="0"/>
                <w:bCs w:val="0"/>
                <w:color w:val="000000"/>
                <w:kern w:val="0"/>
                <w:sz w:val="24"/>
                <w:szCs w:val="24"/>
                <w:highlight w:val="none"/>
                <w:lang w:bidi="ar"/>
              </w:rPr>
            </w:pPr>
            <w:r>
              <w:rPr>
                <w:rFonts w:hint="eastAsia" w:ascii="仿宋" w:hAnsi="仿宋" w:eastAsia="仿宋" w:cs="宋体"/>
                <w:b w:val="0"/>
                <w:bCs w:val="0"/>
                <w:color w:val="000000"/>
                <w:kern w:val="0"/>
                <w:sz w:val="24"/>
                <w:szCs w:val="24"/>
                <w:highlight w:val="none"/>
                <w:lang w:bidi="ar"/>
              </w:rPr>
              <w:t>指标</w:t>
            </w:r>
          </w:p>
        </w:tc>
        <w:tc>
          <w:tcPr>
            <w:tcW w:w="894" w:type="pct"/>
            <w:vAlign w:val="center"/>
          </w:tcPr>
          <w:p w14:paraId="2885A1E8">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部门决策</w:t>
            </w:r>
          </w:p>
        </w:tc>
        <w:tc>
          <w:tcPr>
            <w:tcW w:w="894" w:type="pct"/>
            <w:vAlign w:val="center"/>
          </w:tcPr>
          <w:p w14:paraId="6CFD179E">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部门过程</w:t>
            </w:r>
          </w:p>
        </w:tc>
        <w:tc>
          <w:tcPr>
            <w:tcW w:w="894" w:type="pct"/>
            <w:vAlign w:val="center"/>
          </w:tcPr>
          <w:p w14:paraId="58F37783">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部门履职</w:t>
            </w:r>
          </w:p>
        </w:tc>
        <w:tc>
          <w:tcPr>
            <w:tcW w:w="894" w:type="pct"/>
            <w:vAlign w:val="center"/>
          </w:tcPr>
          <w:p w14:paraId="558AA83A">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履职效益</w:t>
            </w:r>
          </w:p>
        </w:tc>
        <w:tc>
          <w:tcPr>
            <w:tcW w:w="711" w:type="pct"/>
            <w:vAlign w:val="center"/>
          </w:tcPr>
          <w:p w14:paraId="1935489F">
            <w:pPr>
              <w:keepNext w:val="0"/>
              <w:keepLines w:val="0"/>
              <w:pageBreakBefore w:val="0"/>
              <w:widowControl/>
              <w:suppressLineNumbers w:val="0"/>
              <w:wordWrap/>
              <w:overflowPunct/>
              <w:topLinePunct w:val="0"/>
              <w:bidi w:val="0"/>
              <w:spacing w:line="560" w:lineRule="exact"/>
              <w:jc w:val="center"/>
              <w:textAlignment w:val="center"/>
              <w:rPr>
                <w:rFonts w:hint="eastAsia" w:ascii="仿宋" w:hAnsi="仿宋" w:eastAsia="仿宋" w:cs="宋体"/>
                <w:b w:val="0"/>
                <w:bCs w:val="0"/>
                <w:color w:val="000000"/>
                <w:kern w:val="0"/>
                <w:sz w:val="24"/>
                <w:szCs w:val="24"/>
                <w:highlight w:val="none"/>
                <w:lang w:val="en-US" w:eastAsia="zh-CN" w:bidi="ar"/>
              </w:rPr>
            </w:pPr>
            <w:r>
              <w:rPr>
                <w:rFonts w:hint="eastAsia" w:ascii="仿宋" w:hAnsi="仿宋" w:eastAsia="仿宋" w:cs="宋体"/>
                <w:b w:val="0"/>
                <w:bCs w:val="0"/>
                <w:color w:val="000000"/>
                <w:kern w:val="0"/>
                <w:sz w:val="24"/>
                <w:szCs w:val="24"/>
                <w:highlight w:val="none"/>
                <w:lang w:val="en-US" w:eastAsia="zh-CN" w:bidi="ar"/>
              </w:rPr>
              <w:t>合计</w:t>
            </w:r>
          </w:p>
        </w:tc>
      </w:tr>
      <w:tr w14:paraId="00A2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pct"/>
            <w:vAlign w:val="center"/>
          </w:tcPr>
          <w:p w14:paraId="7847CCA4">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权重</w:t>
            </w:r>
          </w:p>
        </w:tc>
        <w:tc>
          <w:tcPr>
            <w:tcW w:w="894" w:type="pct"/>
            <w:vAlign w:val="center"/>
          </w:tcPr>
          <w:p w14:paraId="5B04A2F3">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6</w:t>
            </w:r>
          </w:p>
        </w:tc>
        <w:tc>
          <w:tcPr>
            <w:tcW w:w="894" w:type="pct"/>
            <w:vAlign w:val="center"/>
          </w:tcPr>
          <w:p w14:paraId="1DE40370">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26</w:t>
            </w:r>
          </w:p>
        </w:tc>
        <w:tc>
          <w:tcPr>
            <w:tcW w:w="894" w:type="pct"/>
            <w:vAlign w:val="center"/>
          </w:tcPr>
          <w:p w14:paraId="5A47E142">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34</w:t>
            </w:r>
          </w:p>
        </w:tc>
        <w:tc>
          <w:tcPr>
            <w:tcW w:w="894" w:type="pct"/>
            <w:vAlign w:val="center"/>
          </w:tcPr>
          <w:p w14:paraId="6F5D494E">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34</w:t>
            </w:r>
          </w:p>
        </w:tc>
        <w:tc>
          <w:tcPr>
            <w:tcW w:w="711" w:type="pct"/>
            <w:vAlign w:val="center"/>
          </w:tcPr>
          <w:p w14:paraId="1FDE6DAA">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100</w:t>
            </w:r>
          </w:p>
        </w:tc>
      </w:tr>
      <w:tr w14:paraId="21AC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pct"/>
            <w:vAlign w:val="center"/>
          </w:tcPr>
          <w:p w14:paraId="3AC576C9">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得分</w:t>
            </w:r>
          </w:p>
        </w:tc>
        <w:tc>
          <w:tcPr>
            <w:tcW w:w="894" w:type="pct"/>
            <w:vAlign w:val="center"/>
          </w:tcPr>
          <w:p w14:paraId="7C71BEF6">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5.5</w:t>
            </w:r>
          </w:p>
        </w:tc>
        <w:tc>
          <w:tcPr>
            <w:tcW w:w="894" w:type="pct"/>
            <w:vAlign w:val="center"/>
          </w:tcPr>
          <w:p w14:paraId="5635C7BD">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24</w:t>
            </w:r>
          </w:p>
        </w:tc>
        <w:tc>
          <w:tcPr>
            <w:tcW w:w="894" w:type="pct"/>
            <w:vAlign w:val="center"/>
          </w:tcPr>
          <w:p w14:paraId="16CABD54">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34</w:t>
            </w:r>
          </w:p>
        </w:tc>
        <w:tc>
          <w:tcPr>
            <w:tcW w:w="894" w:type="pct"/>
            <w:vAlign w:val="center"/>
          </w:tcPr>
          <w:p w14:paraId="3678542B">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33.5</w:t>
            </w:r>
          </w:p>
        </w:tc>
        <w:tc>
          <w:tcPr>
            <w:tcW w:w="711" w:type="pct"/>
            <w:vAlign w:val="center"/>
          </w:tcPr>
          <w:p w14:paraId="142A0599">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97</w:t>
            </w:r>
          </w:p>
        </w:tc>
      </w:tr>
      <w:tr w14:paraId="1383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pct"/>
            <w:vAlign w:val="center"/>
          </w:tcPr>
          <w:p w14:paraId="034BBB28">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得分率</w:t>
            </w:r>
          </w:p>
        </w:tc>
        <w:tc>
          <w:tcPr>
            <w:tcW w:w="894" w:type="pct"/>
            <w:vAlign w:val="center"/>
          </w:tcPr>
          <w:p w14:paraId="2D2588C0">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91.67%</w:t>
            </w:r>
          </w:p>
        </w:tc>
        <w:tc>
          <w:tcPr>
            <w:tcW w:w="894" w:type="pct"/>
            <w:vAlign w:val="center"/>
          </w:tcPr>
          <w:p w14:paraId="30F8899C">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92.31%</w:t>
            </w:r>
          </w:p>
        </w:tc>
        <w:tc>
          <w:tcPr>
            <w:tcW w:w="894" w:type="pct"/>
            <w:vAlign w:val="center"/>
          </w:tcPr>
          <w:p w14:paraId="59A95ACA">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100.00%</w:t>
            </w:r>
          </w:p>
        </w:tc>
        <w:tc>
          <w:tcPr>
            <w:tcW w:w="894" w:type="pct"/>
            <w:vAlign w:val="center"/>
          </w:tcPr>
          <w:p w14:paraId="0F6C3CAD">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98.53%</w:t>
            </w:r>
          </w:p>
        </w:tc>
        <w:tc>
          <w:tcPr>
            <w:tcW w:w="711" w:type="pct"/>
            <w:vAlign w:val="center"/>
          </w:tcPr>
          <w:p w14:paraId="122BE2F2">
            <w:pPr>
              <w:keepNext w:val="0"/>
              <w:keepLines w:val="0"/>
              <w:pageBreakBefore w:val="0"/>
              <w:widowControl/>
              <w:suppressLineNumbers w:val="0"/>
              <w:wordWrap/>
              <w:overflowPunct/>
              <w:topLinePunct w:val="0"/>
              <w:bidi w:val="0"/>
              <w:spacing w:line="56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97%</w:t>
            </w:r>
          </w:p>
        </w:tc>
      </w:tr>
    </w:tbl>
    <w:p w14:paraId="1EC0A08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84" w:firstLineChars="200"/>
        <w:jc w:val="both"/>
        <w:textAlignment w:val="baseline"/>
        <w:outlineLvl w:val="9"/>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整体而言，市宣教中心在局党组的坚强领导下，坚持以习近平生态文明思想为指导，紧紧围绕全市生态文明建设、服务高质量发展大局，主动引导并积极回应公众关切，推动凝聚社会共识，全力保障全局信息化设施稳定运行，但在绩效指标设置、内控制度建设方面有待加强，拟进一步优化设置年度绩效指标、健全内控制度。</w:t>
      </w:r>
    </w:p>
    <w:p w14:paraId="7AEAED6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firstLine="676" w:firstLineChars="200"/>
        <w:jc w:val="both"/>
        <w:textAlignment w:val="baseline"/>
        <w:outlineLvl w:val="0"/>
        <w:rPr>
          <w:rFonts w:hint="eastAsia" w:ascii="黑体" w:hAnsi="黑体" w:eastAsia="黑体" w:cs="黑体"/>
          <w:spacing w:val="9"/>
          <w:sz w:val="32"/>
          <w:szCs w:val="32"/>
          <w:highlight w:val="none"/>
        </w:rPr>
      </w:pPr>
      <w:bookmarkStart w:id="16" w:name="_Toc7997"/>
      <w:bookmarkStart w:id="17" w:name="_Toc7058"/>
      <w:r>
        <w:rPr>
          <w:rFonts w:hint="eastAsia" w:ascii="黑体" w:hAnsi="黑体" w:eastAsia="黑体" w:cs="黑体"/>
          <w:spacing w:val="9"/>
          <w:sz w:val="32"/>
          <w:szCs w:val="32"/>
          <w:highlight w:val="none"/>
          <w:lang w:val="en-US" w:eastAsia="zh-CN"/>
        </w:rPr>
        <w:t>三、</w:t>
      </w:r>
      <w:r>
        <w:rPr>
          <w:rFonts w:hint="eastAsia" w:ascii="黑体" w:hAnsi="黑体" w:eastAsia="黑体" w:cs="黑体"/>
          <w:spacing w:val="9"/>
          <w:sz w:val="32"/>
          <w:szCs w:val="32"/>
          <w:highlight w:val="none"/>
        </w:rPr>
        <w:t>部门履职成效</w:t>
      </w:r>
      <w:bookmarkEnd w:id="16"/>
      <w:bookmarkEnd w:id="17"/>
    </w:p>
    <w:p w14:paraId="7B860976">
      <w:pPr>
        <w:pStyle w:val="2"/>
        <w:spacing w:line="360" w:lineRule="auto"/>
        <w:ind w:left="420" w:leftChars="200" w:right="481" w:rightChars="229" w:firstLine="658"/>
        <w:jc w:val="both"/>
        <w:rPr>
          <w:rFonts w:hint="eastAsia" w:ascii="仿宋" w:hAnsi="仿宋" w:eastAsia="仿宋" w:cs="仿宋"/>
          <w:lang w:val="en-US"/>
        </w:rPr>
      </w:pPr>
      <w:bookmarkStart w:id="18" w:name="_Toc28021"/>
      <w:bookmarkStart w:id="19" w:name="_Toc940"/>
      <w:r>
        <w:rPr>
          <w:rFonts w:ascii="仿宋" w:hAnsi="仿宋" w:eastAsia="仿宋" w:cs="仿宋"/>
          <w:u w:color="auto"/>
        </w:rPr>
        <w:t>（一）聚焦重大主题，建好守好宣传阵地</w:t>
      </w:r>
    </w:p>
    <w:p w14:paraId="32781894">
      <w:pPr>
        <w:pStyle w:val="2"/>
        <w:spacing w:line="360" w:lineRule="auto"/>
        <w:ind w:left="420" w:leftChars="200" w:right="481" w:rightChars="229" w:firstLine="658"/>
        <w:jc w:val="both"/>
        <w:rPr>
          <w:rFonts w:hint="eastAsia" w:ascii="仿宋" w:hAnsi="仿宋" w:eastAsia="仿宋" w:cs="仿宋"/>
          <w:u w:color="auto"/>
        </w:rPr>
      </w:pPr>
      <w:r>
        <w:rPr>
          <w:rFonts w:hint="eastAsia" w:ascii="仿宋" w:hAnsi="仿宋" w:eastAsia="仿宋" w:cs="仿宋"/>
          <w:u w:color="auto"/>
        </w:rPr>
        <w:t>1.加强媒体合作，引导主流舆论。全年共组织新闻发布、集中采访26次，《中国环境报》及其客户端刊登南京相关信息稿件197篇，中央电视台、《人民日报》、新华社等中央媒体多次宣传南京绿色转型发展以及生态建设典型案例；南京日报4次在头版头条介绍南京科技治污、智慧监管以及践行“两山”理念生动实践。在长三角地区主要领导座谈会、2025长江文化南京论坛期间，积极推荐并展示南京生态文明建设工作成效。</w:t>
      </w:r>
    </w:p>
    <w:p w14:paraId="1271F6FC">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2.加强新媒体宣传矩阵建设。围绕春节、长江保护法实施、全国低碳日、生态日等节点策划主题宣传，开展直播和短视频传播，提升“宁好生态”传播效果。《宁聚万物》宣传片和生物多样性主题海报获全国生态环境优秀科普作品，《从这里看见美丽中国·南京》获“美丽中国”讲解员大赛优秀宣传片。结合首个非遗春节与南京非物质文化遗产，推出“非遗里的金陵年味”全媒体宣传；围绕《中华人民共和国长江保护法》实施四周年，发布主题海报并开展“我的长江记忆”线上互动；聚焦“绿水青山就是金山银山”理念提出20周年，开展“两山回响看南京”全媒体宣传；做好建军节、国庆节等重要节点宣传，展现南京生态环保队伍风采。联合上级生态环境部门和武汉等城市开展主题直播、跨区域联动直播，围绕循环经济、生态文明建设示范区等主题加强内容传播。推出“南京生态文化精品体验路线”“新春走基层”“AI绘节气”等系列短视频，相关作品获省内外政务新媒体转载，累计点击量破百万，推动生态文化创新传播。</w:t>
      </w:r>
    </w:p>
    <w:p w14:paraId="68369F04">
      <w:pPr>
        <w:pStyle w:val="2"/>
        <w:spacing w:line="360" w:lineRule="auto"/>
        <w:ind w:left="420" w:leftChars="200" w:right="481" w:rightChars="229" w:firstLine="658"/>
        <w:jc w:val="both"/>
        <w:rPr>
          <w:rFonts w:hint="eastAsia" w:ascii="仿宋" w:hAnsi="仿宋" w:eastAsia="仿宋" w:cs="仿宋"/>
          <w:u w:color="auto"/>
        </w:rPr>
      </w:pPr>
      <w:r>
        <w:rPr>
          <w:rFonts w:hint="eastAsia" w:ascii="仿宋" w:hAnsi="仿宋" w:eastAsia="仿宋" w:cs="仿宋"/>
          <w:u w:color="auto"/>
        </w:rPr>
        <w:t>3.讲好南京生态环境故事。联合市委宣传部、团市委举办2025年“习近平生态文明思想宣讲大赛”，来自全市不同行业、不同年龄的选手生动讲述绿色发展的南京实践。在全省“习近平生态文明思想宣讲大赛”活动中，中心推荐的选手获评“全省优秀讲解员”；连续五年推荐选手参加生态环境部“我是美丽中国讲解员”大赛并获优秀讲解员，在全市“机关名嘴”风采展示活动中荣获一等奖。举办国际生物多样性日主题宣传活动，邀请多位生物多样性保护方面的专家学者分享交流成果，在景区及商场等人流量集中场所开展“美丽南京多彩生命”主题展。以“美丽中国我先行”为主题，举办南京市2025年六五环境日宣传活动暨“环保人物故事”分享大会，活动通过环保人故事分享、习近平生态文明思想主题宣讲等环节，展现环保铁军风采。创新生态文化传播场景，将生态宣传与文旅活动有机融合，在音乐节现场循环播放生态宣传片，开设环保集市，通过环保文创展示、科普知识问答等形式，向现场观众普及生态保护理念，让本土生态文化以更鲜活、更具感染力的方式触达公众。</w:t>
      </w:r>
    </w:p>
    <w:p w14:paraId="49C7581B">
      <w:pPr>
        <w:pStyle w:val="2"/>
        <w:spacing w:line="360" w:lineRule="auto"/>
        <w:ind w:left="420" w:leftChars="200" w:right="481" w:rightChars="229" w:firstLine="658"/>
        <w:jc w:val="both"/>
        <w:rPr>
          <w:rFonts w:hint="eastAsia" w:ascii="仿宋" w:hAnsi="仿宋" w:eastAsia="仿宋" w:cs="仿宋"/>
          <w:u w:color="auto"/>
          <w:lang w:val="en-US"/>
        </w:rPr>
      </w:pPr>
      <w:r>
        <w:rPr>
          <w:rFonts w:ascii="仿宋" w:hAnsi="仿宋" w:eastAsia="仿宋" w:cs="仿宋"/>
          <w:u w:color="auto"/>
        </w:rPr>
        <w:t>（二）深化品牌建设，拓宽公众参与渠道</w:t>
      </w:r>
    </w:p>
    <w:p w14:paraId="12375937">
      <w:pPr>
        <w:pStyle w:val="2"/>
        <w:spacing w:line="360" w:lineRule="auto"/>
        <w:ind w:left="420" w:leftChars="200" w:right="481" w:rightChars="229" w:firstLine="658"/>
        <w:jc w:val="both"/>
        <w:rPr>
          <w:rFonts w:hint="eastAsia" w:ascii="仿宋" w:hAnsi="仿宋" w:eastAsia="仿宋" w:cs="仿宋"/>
          <w:u w:color="auto"/>
          <w:lang w:eastAsia="zh-CN"/>
        </w:rPr>
      </w:pPr>
      <w:r>
        <w:rPr>
          <w:rFonts w:ascii="仿宋" w:hAnsi="仿宋" w:eastAsia="仿宋" w:cs="仿宋"/>
          <w:u w:color="auto"/>
        </w:rPr>
        <w:t>1.</w:t>
      </w:r>
      <w:r>
        <w:rPr>
          <w:rFonts w:hint="eastAsia" w:ascii="仿宋" w:hAnsi="仿宋" w:eastAsia="仿宋" w:cs="仿宋"/>
          <w:u w:color="auto"/>
          <w:lang w:val="en-US" w:eastAsia="zh-CN"/>
        </w:rPr>
        <w:t>深耕内容供给，夯实生态教育根基。聚焦生态文明教育提质增效，持续丰富科普内容体系、优化教育供给模式，筑牢全民生态教育基础。</w:t>
      </w:r>
      <w:r>
        <w:rPr>
          <w:rFonts w:ascii="仿宋" w:hAnsi="仿宋" w:eastAsia="仿宋" w:cs="仿宋"/>
          <w:u w:color="auto"/>
        </w:rPr>
        <w:t>一是</w:t>
      </w:r>
      <w:r>
        <w:rPr>
          <w:rFonts w:hint="eastAsia" w:ascii="仿宋" w:hAnsi="仿宋" w:eastAsia="仿宋" w:cs="仿宋"/>
          <w:u w:color="auto"/>
          <w:lang w:val="en-US" w:eastAsia="zh-CN"/>
        </w:rPr>
        <w:t>丰富本土内容供给</w:t>
      </w:r>
      <w:r>
        <w:rPr>
          <w:rFonts w:hint="eastAsia" w:ascii="仿宋" w:hAnsi="仿宋" w:eastAsia="仿宋" w:cs="仿宋"/>
          <w:u w:color="auto"/>
          <w:lang w:eastAsia="zh-CN"/>
        </w:rPr>
        <w:t>。</w:t>
      </w:r>
      <w:r>
        <w:rPr>
          <w:rFonts w:ascii="仿宋" w:hAnsi="仿宋" w:eastAsia="仿宋" w:cs="仿宋"/>
          <w:u w:color="auto"/>
        </w:rPr>
        <w:t>联合出版《发现身边的自然》《有生命的宝石》</w:t>
      </w:r>
      <w:r>
        <w:rPr>
          <w:rFonts w:hint="eastAsia" w:ascii="仿宋" w:hAnsi="仿宋" w:eastAsia="仿宋" w:cs="仿宋"/>
          <w:u w:color="auto"/>
          <w:lang w:val="en-US" w:eastAsia="zh-CN"/>
        </w:rPr>
        <w:t>科普读物</w:t>
      </w:r>
      <w:r>
        <w:rPr>
          <w:rFonts w:ascii="仿宋" w:hAnsi="仿宋" w:eastAsia="仿宋" w:cs="仿宋"/>
          <w:u w:color="auto"/>
        </w:rPr>
        <w:t>。二是师资课程双向赋能</w:t>
      </w:r>
      <w:r>
        <w:rPr>
          <w:rFonts w:hint="eastAsia" w:ascii="仿宋" w:hAnsi="仿宋" w:eastAsia="仿宋" w:cs="仿宋"/>
          <w:u w:color="auto"/>
          <w:lang w:eastAsia="zh-CN"/>
        </w:rPr>
        <w:t>。</w:t>
      </w:r>
      <w:r>
        <w:rPr>
          <w:rFonts w:ascii="仿宋" w:hAnsi="仿宋" w:eastAsia="仿宋" w:cs="仿宋"/>
          <w:u w:color="auto"/>
        </w:rPr>
        <w:t>整合生态</w:t>
      </w:r>
      <w:r>
        <w:rPr>
          <w:rFonts w:hint="eastAsia" w:ascii="仿宋" w:hAnsi="仿宋" w:eastAsia="仿宋" w:cs="仿宋"/>
          <w:u w:color="auto"/>
          <w:lang w:val="en-US" w:eastAsia="zh-CN"/>
        </w:rPr>
        <w:t>文明</w:t>
      </w:r>
      <w:r>
        <w:rPr>
          <w:rFonts w:ascii="仿宋" w:hAnsi="仿宋" w:eastAsia="仿宋" w:cs="仿宋"/>
          <w:u w:color="auto"/>
        </w:rPr>
        <w:t>教育基地、环保</w:t>
      </w:r>
      <w:r>
        <w:rPr>
          <w:rFonts w:hint="eastAsia" w:ascii="仿宋" w:hAnsi="仿宋" w:eastAsia="仿宋" w:cs="仿宋"/>
          <w:u w:color="auto"/>
          <w:lang w:val="en-US" w:eastAsia="zh-CN"/>
        </w:rPr>
        <w:t>设施</w:t>
      </w:r>
      <w:r>
        <w:rPr>
          <w:rFonts w:ascii="仿宋" w:hAnsi="仿宋" w:eastAsia="仿宋" w:cs="仿宋"/>
          <w:u w:color="auto"/>
        </w:rPr>
        <w:t>开放单位及</w:t>
      </w:r>
      <w:r>
        <w:rPr>
          <w:rFonts w:hint="eastAsia" w:ascii="仿宋" w:hAnsi="仿宋" w:eastAsia="仿宋" w:cs="仿宋"/>
          <w:u w:color="auto"/>
          <w:lang w:val="en-US" w:eastAsia="zh-CN"/>
        </w:rPr>
        <w:t>社会</w:t>
      </w:r>
      <w:r>
        <w:rPr>
          <w:rFonts w:ascii="仿宋" w:hAnsi="仿宋" w:eastAsia="仿宋" w:cs="仿宋"/>
          <w:u w:color="auto"/>
        </w:rPr>
        <w:t>专家资源，扩充生态文明公益讲师团，依托南京市中小学生课后服务资源管理平台，</w:t>
      </w:r>
      <w:r>
        <w:rPr>
          <w:rFonts w:hint="eastAsia" w:ascii="仿宋" w:hAnsi="仿宋" w:eastAsia="仿宋" w:cs="仿宋"/>
          <w:u w:color="auto"/>
        </w:rPr>
        <w:t>推动生态文明教育进校园、生态科普知识进课堂</w:t>
      </w:r>
      <w:r>
        <w:rPr>
          <w:rFonts w:ascii="仿宋" w:hAnsi="仿宋" w:eastAsia="仿宋" w:cs="仿宋"/>
          <w:u w:color="auto"/>
        </w:rPr>
        <w:t>。三是线上内容精准破圈</w:t>
      </w:r>
      <w:r>
        <w:rPr>
          <w:rFonts w:hint="eastAsia" w:ascii="仿宋" w:hAnsi="仿宋" w:eastAsia="仿宋" w:cs="仿宋"/>
          <w:u w:color="auto"/>
          <w:lang w:eastAsia="zh-CN"/>
        </w:rPr>
        <w:t>。打造“跟着课本读自然”“生态+文化（非遗篇）”“外来入侵物种”</w:t>
      </w:r>
      <w:r>
        <w:rPr>
          <w:rFonts w:hint="eastAsia" w:ascii="仿宋" w:hAnsi="仿宋" w:eastAsia="仿宋" w:cs="仿宋"/>
          <w:u w:color="auto"/>
          <w:lang w:val="en-US" w:eastAsia="zh-CN"/>
        </w:rPr>
        <w:t>系列</w:t>
      </w:r>
      <w:r>
        <w:rPr>
          <w:rFonts w:hint="eastAsia" w:ascii="仿宋" w:hAnsi="仿宋" w:eastAsia="仿宋" w:cs="仿宋"/>
          <w:u w:color="auto"/>
          <w:lang w:eastAsia="zh-CN"/>
        </w:rPr>
        <w:t>短视频，推动生态教育与学校教学、本土文化深度融合，强化公众生态安全意识。</w:t>
      </w:r>
    </w:p>
    <w:p w14:paraId="442C4A94">
      <w:pPr>
        <w:pStyle w:val="2"/>
        <w:spacing w:line="360" w:lineRule="auto"/>
        <w:ind w:left="420" w:leftChars="200" w:right="481" w:rightChars="229" w:firstLine="658"/>
        <w:jc w:val="both"/>
        <w:rPr>
          <w:rFonts w:hint="eastAsia" w:ascii="仿宋" w:hAnsi="仿宋" w:eastAsia="仿宋" w:cs="仿宋"/>
          <w:u w:color="auto"/>
          <w:lang w:val="en-US"/>
        </w:rPr>
      </w:pPr>
      <w:r>
        <w:rPr>
          <w:rFonts w:ascii="仿宋" w:hAnsi="仿宋" w:eastAsia="仿宋" w:cs="仿宋"/>
          <w:u w:color="auto"/>
        </w:rPr>
        <w:t>2.拓宽教育渠道，构建多元参与体系。</w:t>
      </w:r>
      <w:r>
        <w:rPr>
          <w:rFonts w:hint="eastAsia" w:ascii="仿宋" w:hAnsi="仿宋" w:eastAsia="仿宋" w:cs="仿宋"/>
          <w:u w:color="auto"/>
        </w:rPr>
        <w:t>坚持线上线下双向发力，</w:t>
      </w:r>
      <w:r>
        <w:rPr>
          <w:rFonts w:ascii="仿宋" w:hAnsi="仿宋" w:eastAsia="仿宋" w:cs="仿宋"/>
          <w:u w:color="auto"/>
        </w:rPr>
        <w:t>努力构建“实体阵地提质+云端平台扩容”</w:t>
      </w:r>
      <w:r>
        <w:rPr>
          <w:rFonts w:hint="eastAsia" w:ascii="仿宋" w:hAnsi="仿宋" w:eastAsia="仿宋" w:cs="仿宋"/>
          <w:u w:color="auto"/>
        </w:rPr>
        <w:t>教育格局。</w:t>
      </w:r>
      <w:r>
        <w:rPr>
          <w:rFonts w:ascii="仿宋" w:hAnsi="仿宋" w:eastAsia="仿宋" w:cs="仿宋"/>
          <w:u w:color="auto"/>
        </w:rPr>
        <w:t>线下阵地全面开花</w:t>
      </w:r>
      <w:r>
        <w:rPr>
          <w:rFonts w:hint="eastAsia" w:ascii="仿宋" w:hAnsi="仿宋" w:eastAsia="仿宋" w:cs="仿宋"/>
          <w:u w:color="auto"/>
          <w:lang w:eastAsia="zh-CN"/>
        </w:rPr>
        <w:t>：</w:t>
      </w:r>
      <w:r>
        <w:rPr>
          <w:rFonts w:ascii="仿宋" w:hAnsi="仿宋" w:eastAsia="仿宋" w:cs="仿宋"/>
          <w:u w:color="auto"/>
        </w:rPr>
        <w:t>新增10家“新四类”环保设施开放单位，全市开放单位达18家</w:t>
      </w:r>
      <w:r>
        <w:rPr>
          <w:rFonts w:hint="eastAsia" w:ascii="仿宋" w:hAnsi="仿宋" w:eastAsia="仿宋" w:cs="仿宋"/>
          <w:u w:color="auto"/>
          <w:lang w:eastAsia="zh-CN"/>
        </w:rPr>
        <w:t>，</w:t>
      </w:r>
      <w:r>
        <w:rPr>
          <w:rFonts w:hint="eastAsia" w:ascii="仿宋" w:hAnsi="仿宋" w:eastAsia="仿宋" w:cs="仿宋"/>
          <w:u w:color="auto"/>
          <w:lang w:val="en-US" w:eastAsia="zh-CN"/>
        </w:rPr>
        <w:t>全国石化行业设施开放单位现场会在南京召开</w:t>
      </w:r>
      <w:r>
        <w:rPr>
          <w:rFonts w:ascii="仿宋" w:hAnsi="仿宋" w:eastAsia="仿宋" w:cs="仿宋"/>
          <w:u w:color="auto"/>
        </w:rPr>
        <w:t>；参与编写石化行业环保设施开放指南，编制的8册开放单位手绘图册获生态环境部宣教中心转发；6月5日，南京生态文明教育馆重新启用。线上平台效能凸显</w:t>
      </w:r>
      <w:r>
        <w:rPr>
          <w:rFonts w:hint="eastAsia" w:ascii="仿宋" w:hAnsi="仿宋" w:eastAsia="仿宋" w:cs="仿宋"/>
          <w:u w:color="auto"/>
          <w:lang w:eastAsia="zh-CN"/>
        </w:rPr>
        <w:t>：</w:t>
      </w:r>
      <w:r>
        <w:rPr>
          <w:rFonts w:hint="eastAsia" w:ascii="仿宋" w:hAnsi="仿宋" w:eastAsia="仿宋" w:cs="仿宋"/>
          <w:u w:color="auto"/>
          <w:lang w:val="en-US" w:eastAsia="zh-CN"/>
        </w:rPr>
        <w:t>创新打造</w:t>
      </w:r>
      <w:r>
        <w:rPr>
          <w:rFonts w:ascii="仿宋" w:hAnsi="仿宋" w:eastAsia="仿宋" w:cs="仿宋"/>
          <w:u w:color="auto"/>
        </w:rPr>
        <w:t>《南京环保设施公众开放》掌上漫画指南、《让中国更美丽》AI技术MV、《啦啦啦，环保小卫士》儿童歌曲MV、《探秘环保设施》系列VLOG</w:t>
      </w:r>
      <w:r>
        <w:rPr>
          <w:rFonts w:hint="eastAsia" w:ascii="仿宋" w:hAnsi="仿宋" w:eastAsia="仿宋" w:cs="仿宋"/>
          <w:u w:color="auto"/>
          <w:lang w:eastAsia="zh-CN"/>
        </w:rPr>
        <w:t>等多款</w:t>
      </w:r>
      <w:r>
        <w:rPr>
          <w:rFonts w:hint="eastAsia" w:ascii="仿宋" w:hAnsi="仿宋" w:eastAsia="仿宋" w:cs="仿宋"/>
          <w:u w:color="auto"/>
        </w:rPr>
        <w:t>轻量化、趣味化科普作品</w:t>
      </w:r>
      <w:r>
        <w:rPr>
          <w:rFonts w:ascii="仿宋" w:hAnsi="仿宋" w:eastAsia="仿宋" w:cs="仿宋"/>
          <w:u w:color="auto"/>
        </w:rPr>
        <w:t>；定期更新南京市生态环境在线教育系统内容，实现环境教育“云端化”。</w:t>
      </w:r>
    </w:p>
    <w:p w14:paraId="6B4EF931">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3.擦亮活动品牌，凝聚生态文明共识。积极响应“美丽中国，我是行动者”号召，以品牌活动推动生态文明教育走深走实。一是校园活动亮点纷呈</w:t>
      </w:r>
      <w:r>
        <w:rPr>
          <w:rFonts w:hint="eastAsia" w:ascii="仿宋" w:hAnsi="仿宋" w:eastAsia="仿宋" w:cs="仿宋"/>
          <w:u w:color="auto"/>
          <w:lang w:eastAsia="zh-CN"/>
        </w:rPr>
        <w:t>。</w:t>
      </w:r>
      <w:r>
        <w:rPr>
          <w:rFonts w:ascii="仿宋" w:hAnsi="仿宋" w:eastAsia="仿宋" w:cs="仿宋"/>
          <w:u w:color="auto"/>
        </w:rPr>
        <w:t>联合学校开展春秋两季“生态文明第一课”</w:t>
      </w:r>
      <w:r>
        <w:rPr>
          <w:rFonts w:ascii="仿宋" w:hAnsi="仿宋" w:eastAsia="仿宋" w:cs="仿宋"/>
          <w:color w:val="auto"/>
          <w:u w:color="auto"/>
        </w:rPr>
        <w:t>，把课堂搬进自然，</w:t>
      </w:r>
      <w:r>
        <w:rPr>
          <w:rFonts w:hint="eastAsia" w:ascii="仿宋" w:hAnsi="仿宋" w:eastAsia="仿宋" w:cs="仿宋"/>
          <w:color w:val="auto"/>
          <w:u w:color="auto"/>
        </w:rPr>
        <w:t>生态环境部、中国环境等平台联动直播</w:t>
      </w:r>
      <w:r>
        <w:rPr>
          <w:rFonts w:hint="eastAsia" w:ascii="仿宋" w:hAnsi="仿宋" w:eastAsia="仿宋" w:cs="仿宋"/>
          <w:color w:val="auto"/>
          <w:u w:color="auto"/>
          <w:lang w:eastAsia="zh-CN"/>
        </w:rPr>
        <w:t>。</w:t>
      </w:r>
      <w:r>
        <w:rPr>
          <w:rFonts w:hint="eastAsia" w:ascii="仿宋" w:hAnsi="仿宋" w:eastAsia="仿宋" w:cs="仿宋"/>
          <w:color w:val="auto"/>
          <w:u w:color="auto"/>
          <w:lang w:val="en-US" w:eastAsia="zh-CN"/>
        </w:rPr>
        <w:t>联合学校</w:t>
      </w:r>
      <w:r>
        <w:rPr>
          <w:rFonts w:ascii="仿宋" w:hAnsi="仿宋" w:eastAsia="仿宋" w:cs="仿宋"/>
          <w:color w:val="auto"/>
          <w:highlight w:val="none"/>
          <w:u w:color="auto"/>
        </w:rPr>
        <w:t>举办校园生态节、</w:t>
      </w:r>
      <w:r>
        <w:rPr>
          <w:rFonts w:hint="eastAsia" w:ascii="仿宋" w:hAnsi="仿宋" w:eastAsia="仿宋" w:cs="仿宋"/>
          <w:color w:val="auto"/>
          <w:highlight w:val="none"/>
          <w:u w:color="auto"/>
          <w:lang w:val="en-US" w:eastAsia="zh-CN"/>
        </w:rPr>
        <w:t>校园</w:t>
      </w:r>
      <w:r>
        <w:rPr>
          <w:rFonts w:ascii="仿宋" w:hAnsi="仿宋" w:eastAsia="仿宋" w:cs="仿宋"/>
          <w:color w:val="auto"/>
          <w:highlight w:val="none"/>
          <w:u w:color="auto"/>
        </w:rPr>
        <w:t>生态运动会</w:t>
      </w:r>
      <w:r>
        <w:rPr>
          <w:rFonts w:hint="eastAsia" w:ascii="仿宋" w:hAnsi="仿宋" w:eastAsia="仿宋" w:cs="仿宋"/>
          <w:color w:val="auto"/>
          <w:highlight w:val="none"/>
          <w:u w:color="auto"/>
          <w:lang w:eastAsia="zh-CN"/>
        </w:rPr>
        <w:t>、</w:t>
      </w:r>
      <w:r>
        <w:rPr>
          <w:rFonts w:hint="eastAsia" w:ascii="仿宋" w:hAnsi="仿宋" w:eastAsia="仿宋" w:cs="仿宋"/>
          <w:color w:val="auto"/>
          <w:highlight w:val="none"/>
          <w:u w:color="auto"/>
          <w:lang w:val="en-US" w:eastAsia="zh-CN"/>
        </w:rPr>
        <w:t>暑期</w:t>
      </w:r>
      <w:r>
        <w:rPr>
          <w:rFonts w:ascii="仿宋" w:hAnsi="仿宋" w:eastAsia="仿宋" w:cs="仿宋"/>
          <w:color w:val="auto"/>
          <w:highlight w:val="none"/>
          <w:u w:color="auto"/>
        </w:rPr>
        <w:t>生态文明一日营等特色活动</w:t>
      </w:r>
      <w:r>
        <w:rPr>
          <w:rFonts w:hint="eastAsia" w:ascii="仿宋" w:hAnsi="仿宋" w:eastAsia="仿宋" w:cs="仿宋"/>
          <w:color w:val="auto"/>
          <w:highlight w:val="none"/>
          <w:u w:color="auto"/>
          <w:lang w:eastAsia="zh-CN"/>
        </w:rPr>
        <w:t>，</w:t>
      </w:r>
      <w:r>
        <w:rPr>
          <w:rFonts w:ascii="仿宋" w:hAnsi="仿宋" w:eastAsia="仿宋" w:cs="仿宋"/>
          <w:color w:val="auto"/>
          <w:u w:color="auto"/>
        </w:rPr>
        <w:t>获央视新闻、新华社报道；“中国潜力OECMs案例”探索活动在南京奥体中心举办。二是</w:t>
      </w:r>
      <w:r>
        <w:rPr>
          <w:rFonts w:hint="eastAsia" w:ascii="仿宋" w:hAnsi="仿宋" w:eastAsia="仿宋" w:cs="仿宋"/>
          <w:color w:val="auto"/>
          <w:u w:color="auto"/>
          <w:lang w:val="en-US" w:eastAsia="zh-CN"/>
        </w:rPr>
        <w:t>多彩实践</w:t>
      </w:r>
      <w:r>
        <w:rPr>
          <w:rFonts w:ascii="仿宋" w:hAnsi="仿宋" w:eastAsia="仿宋" w:cs="仿宋"/>
          <w:color w:val="auto"/>
          <w:u w:color="auto"/>
        </w:rPr>
        <w:t>积蓄成长</w:t>
      </w:r>
      <w:r>
        <w:rPr>
          <w:rFonts w:hint="eastAsia" w:ascii="仿宋" w:hAnsi="仿宋" w:eastAsia="仿宋" w:cs="仿宋"/>
          <w:color w:val="auto"/>
          <w:u w:color="auto"/>
          <w:lang w:eastAsia="zh-CN"/>
        </w:rPr>
        <w:t>。</w:t>
      </w:r>
      <w:r>
        <w:rPr>
          <w:rFonts w:hint="eastAsia" w:ascii="仿宋" w:hAnsi="仿宋" w:eastAsia="仿宋" w:cs="仿宋"/>
          <w:color w:val="auto"/>
          <w:u w:color="auto"/>
        </w:rPr>
        <w:t>组建百名生态环境小志愿者队伍，持续开展校园生物多样性调查</w:t>
      </w:r>
      <w:r>
        <w:rPr>
          <w:rFonts w:hint="eastAsia" w:ascii="仿宋" w:hAnsi="仿宋" w:eastAsia="仿宋" w:cs="仿宋"/>
          <w:color w:val="auto"/>
          <w:u w:color="auto"/>
          <w:lang w:eastAsia="zh-CN"/>
        </w:rPr>
        <w:t>、</w:t>
      </w:r>
      <w:r>
        <w:rPr>
          <w:rFonts w:hint="eastAsia" w:ascii="仿宋" w:hAnsi="仿宋" w:eastAsia="仿宋" w:cs="仿宋"/>
          <w:color w:val="auto"/>
          <w:u w:color="auto"/>
        </w:rPr>
        <w:t>“长江大保护、绿色共成长”行动计划</w:t>
      </w:r>
      <w:r>
        <w:rPr>
          <w:rFonts w:hint="eastAsia" w:ascii="仿宋" w:hAnsi="仿宋" w:eastAsia="仿宋" w:cs="仿宋"/>
          <w:color w:val="auto"/>
          <w:u w:color="auto"/>
          <w:lang w:eastAsia="zh-CN"/>
        </w:rPr>
        <w:t>、</w:t>
      </w:r>
      <w:r>
        <w:rPr>
          <w:rFonts w:hint="eastAsia" w:ascii="仿宋" w:hAnsi="仿宋" w:eastAsia="仿宋" w:cs="仿宋"/>
          <w:color w:val="auto"/>
          <w:u w:color="auto"/>
        </w:rPr>
        <w:t>中华虎凤蝶社会同步调查</w:t>
      </w:r>
      <w:r>
        <w:rPr>
          <w:rFonts w:hint="eastAsia" w:ascii="仿宋" w:hAnsi="仿宋" w:eastAsia="仿宋" w:cs="仿宋"/>
          <w:color w:val="auto"/>
          <w:u w:color="auto"/>
          <w:lang w:val="en-US" w:eastAsia="zh-CN"/>
        </w:rPr>
        <w:t>等</w:t>
      </w:r>
      <w:r>
        <w:rPr>
          <w:rFonts w:hint="eastAsia" w:ascii="仿宋" w:hAnsi="仿宋" w:eastAsia="仿宋" w:cs="仿宋"/>
          <w:color w:val="auto"/>
          <w:u w:color="auto"/>
        </w:rPr>
        <w:t>活动</w:t>
      </w:r>
      <w:r>
        <w:rPr>
          <w:rFonts w:ascii="仿宋" w:hAnsi="仿宋" w:eastAsia="仿宋" w:cs="仿宋"/>
          <w:color w:val="auto"/>
          <w:u w:color="auto"/>
        </w:rPr>
        <w:t>。三是特色活动持续深化</w:t>
      </w:r>
      <w:r>
        <w:rPr>
          <w:rFonts w:hint="eastAsia" w:ascii="仿宋" w:hAnsi="仿宋" w:eastAsia="仿宋" w:cs="仿宋"/>
          <w:color w:val="auto"/>
          <w:u w:color="auto"/>
          <w:lang w:eastAsia="zh-CN"/>
        </w:rPr>
        <w:t>。</w:t>
      </w:r>
      <w:r>
        <w:rPr>
          <w:rFonts w:ascii="仿宋" w:hAnsi="仿宋" w:eastAsia="仿宋" w:cs="仿宋"/>
          <w:color w:val="auto"/>
          <w:u w:color="auto"/>
        </w:rPr>
        <w:t>第五届“我是环保小局长”活动覆盖32所学校，世界儿童日关注气候变化，获新华社等多个</w:t>
      </w:r>
      <w:r>
        <w:rPr>
          <w:rFonts w:hint="eastAsia" w:ascii="仿宋" w:hAnsi="仿宋" w:eastAsia="仿宋" w:cs="仿宋"/>
          <w:color w:val="auto"/>
          <w:u w:color="auto"/>
          <w:lang w:eastAsia="zh-CN"/>
        </w:rPr>
        <w:t>平台</w:t>
      </w:r>
      <w:r>
        <w:rPr>
          <w:rFonts w:ascii="仿宋" w:hAnsi="仿宋" w:eastAsia="仿宋" w:cs="仿宋"/>
          <w:color w:val="auto"/>
          <w:u w:color="auto"/>
        </w:rPr>
        <w:t>报道。招募2025年南京环境小记者队伍，小记者作品登上《全国优秀作文选》《南京晨报》。</w:t>
      </w:r>
    </w:p>
    <w:p w14:paraId="3567D6FB">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（三）强化技术支撑，筑牢信息化保障底线​</w:t>
      </w:r>
    </w:p>
    <w:p w14:paraId="2FBC46AB">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1.夯实信息化建设技术支撑。完成2025年《南京市生态环境智慧应用平台（水生态管理及机动车排管系统改建）项目可行性研究报告》的编写，项目在市数据局正式立项。安排人员担任全局多个业务系统建设的管理和技术经理，做好信息系统开发技术管理。对全局在用的信息系统和硬件设备情况进行全面摸底调查，形成底账。依托南京市大模型管理平台开展本地知识库和智能体建设探索。</w:t>
      </w:r>
    </w:p>
    <w:p w14:paraId="01CDBFAC">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2.提升政务数据治理效能。对局数据中台功能进行了优化提升，新增了国产数据库数据接入功能，完成新上线系统数据归集入库和在全市共享平台编目和挂接工作，在省、市数据共享平台完成高使用价值公共数据和委托运营数据目录编制和挂接工作。落实《政务数据共享条例》有关要求，对在全市数据共享平台中共享和开放的数据目录进行了标识整理，结合数据分类分级工作，优化全局无条件共享、有条件共享及开放数据表清单，进一步提升共享开放数据数量和质量。</w:t>
      </w:r>
    </w:p>
    <w:p w14:paraId="23150BC4">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3.创新网络安全技术保障模式。通过无线网络实名认证和有线网络MAC地址绑定，在互联网出口部署防火墙日志归档保存系统等方式，落实网络日志保存6个月的要求，进一步加强全局网络的安全管控。做好全年重保时段网络安全值班值守工作，及时发现、积极配合处置网络安全事件，对各项网络安全事件进行应急响应。组织对全局信息系统开展网络安全渗透测试和漏洞扫描，及时修复发现的漏洞隐患。</w:t>
      </w:r>
    </w:p>
    <w:p w14:paraId="3E7F34B5">
      <w:pPr>
        <w:pStyle w:val="2"/>
        <w:spacing w:line="360" w:lineRule="auto"/>
        <w:ind w:left="420" w:leftChars="200" w:right="481" w:rightChars="229" w:firstLine="658"/>
        <w:jc w:val="both"/>
        <w:rPr>
          <w:rFonts w:hint="eastAsia" w:ascii="仿宋" w:hAnsi="仿宋" w:eastAsia="仿宋" w:cs="仿宋"/>
          <w:lang w:val="en-US"/>
        </w:rPr>
      </w:pPr>
      <w:r>
        <w:rPr>
          <w:rFonts w:ascii="仿宋" w:hAnsi="仿宋" w:eastAsia="仿宋" w:cs="仿宋"/>
          <w:u w:color="auto"/>
        </w:rPr>
        <w:t>4.筑牢信息化基础支撑保障防线。做好局官网标准化建设和安全维护工作，进一步加强网站发布信息的管理，明确网站信息发布“三审三校”要求，集中对官网发布信息进行专项检测和整改，大幅减少官网错敏字问题数量。做好全局信息化基础设施、核心网络、电子设备和视频会议等基础办公设备的运行维护，有效保障全局数字化办公的正常稳定运行。</w:t>
      </w:r>
    </w:p>
    <w:p w14:paraId="28148AB0">
      <w:pPr>
        <w:pStyle w:val="2"/>
        <w:spacing w:line="235" w:lineRule="auto"/>
        <w:ind w:left="639" w:leftChars="300" w:right="2414" w:hanging="9"/>
        <w:jc w:val="both"/>
        <w:rPr>
          <w:rFonts w:hint="eastAsia" w:ascii="仿宋" w:hAnsi="仿宋" w:eastAsia="仿宋" w:cs="仿宋"/>
          <w:lang w:val="en-US"/>
        </w:rPr>
        <w:sectPr>
          <w:footerReference r:id="rId7" w:type="default"/>
          <w:pgSz w:w="11906" w:h="16838"/>
          <w:pgMar w:top="1580" w:right="700" w:bottom="770" w:left="1020" w:header="283" w:footer="280" w:gutter="0"/>
          <w:pgNumType w:fmt="numberInDash"/>
          <w:cols w:space="720" w:num="1"/>
          <w:formProt w:val="0"/>
          <w:docGrid w:linePitch="100" w:charSpace="0"/>
        </w:sectPr>
      </w:pPr>
    </w:p>
    <w:p w14:paraId="6EF743D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方正黑体_GBK" w:hAnsi="方正黑体_GBK" w:eastAsia="方正黑体_GBK" w:cs="方正黑体_GBK"/>
          <w:spacing w:val="9"/>
          <w:sz w:val="32"/>
          <w:szCs w:val="32"/>
          <w:highlight w:val="none"/>
        </w:rPr>
      </w:pPr>
      <w:r>
        <w:rPr>
          <w:rFonts w:hint="eastAsia" w:ascii="方正黑体_GBK" w:hAnsi="方正黑体_GBK" w:eastAsia="方正黑体_GBK" w:cs="方正黑体_GBK"/>
          <w:spacing w:val="9"/>
          <w:sz w:val="32"/>
          <w:szCs w:val="32"/>
          <w:highlight w:val="none"/>
          <w:lang w:val="en-US" w:eastAsia="zh-CN"/>
        </w:rPr>
        <w:t>四、</w:t>
      </w:r>
      <w:r>
        <w:rPr>
          <w:rFonts w:hint="eastAsia" w:ascii="方正黑体_GBK" w:hAnsi="方正黑体_GBK" w:eastAsia="方正黑体_GBK" w:cs="方正黑体_GBK"/>
          <w:spacing w:val="9"/>
          <w:sz w:val="32"/>
          <w:szCs w:val="32"/>
          <w:highlight w:val="none"/>
        </w:rPr>
        <w:t>存在问题及原因分析</w:t>
      </w:r>
      <w:bookmarkEnd w:id="18"/>
      <w:bookmarkEnd w:id="19"/>
    </w:p>
    <w:p w14:paraId="0CAA267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652" w:firstLineChars="200"/>
        <w:jc w:val="both"/>
        <w:textAlignment w:val="baseline"/>
        <w:outlineLvl w:val="0"/>
        <w:rPr>
          <w:rFonts w:hint="eastAsia" w:ascii="方正楷体_GBK" w:hAnsi="方正楷体_GBK" w:eastAsia="方正楷体_GBK" w:cs="方正楷体_GBK"/>
          <w:spacing w:val="3"/>
          <w:sz w:val="32"/>
          <w:szCs w:val="32"/>
          <w:highlight w:val="none"/>
          <w:lang w:val="en-US" w:eastAsia="zh-CN"/>
        </w:rPr>
      </w:pPr>
      <w:bookmarkStart w:id="20" w:name="_Toc649"/>
      <w:bookmarkStart w:id="21" w:name="_Toc13146"/>
      <w:r>
        <w:rPr>
          <w:rFonts w:hint="eastAsia" w:ascii="方正楷体_GBK" w:hAnsi="方正楷体_GBK" w:eastAsia="方正楷体_GBK" w:cs="方正楷体_GBK"/>
          <w:spacing w:val="3"/>
          <w:sz w:val="32"/>
          <w:szCs w:val="32"/>
          <w:highlight w:val="none"/>
          <w:lang w:val="en-US" w:eastAsia="zh-CN"/>
        </w:rPr>
        <w:t>（一）年初绩效</w:t>
      </w:r>
      <w:bookmarkEnd w:id="20"/>
      <w:r>
        <w:rPr>
          <w:rFonts w:hint="eastAsia" w:ascii="方正楷体_GBK" w:hAnsi="方正楷体_GBK" w:eastAsia="方正楷体_GBK" w:cs="方正楷体_GBK"/>
          <w:spacing w:val="3"/>
          <w:sz w:val="32"/>
          <w:szCs w:val="32"/>
          <w:highlight w:val="none"/>
          <w:lang w:val="en-US" w:eastAsia="zh-CN"/>
        </w:rPr>
        <w:t>指标设置有待优化</w:t>
      </w:r>
    </w:p>
    <w:p w14:paraId="047AF8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84" w:firstLineChars="200"/>
        <w:jc w:val="both"/>
        <w:textAlignment w:val="baseline"/>
        <w:outlineLvl w:val="9"/>
        <w:rPr>
          <w:rFonts w:hint="eastAsia" w:ascii="Times New Roman" w:hAnsi="Times New Roman" w:eastAsia="方正仿宋_GBK" w:cs="Times New Roman"/>
          <w:snapToGrid w:val="0"/>
          <w:color w:val="000000"/>
          <w:spacing w:val="11"/>
          <w:kern w:val="0"/>
          <w:sz w:val="32"/>
          <w:szCs w:val="32"/>
          <w:lang w:val="en-US" w:eastAsia="zh-CN" w:bidi="ar-SA"/>
        </w:rPr>
      </w:pPr>
      <w:r>
        <w:rPr>
          <w:rFonts w:hint="default" w:ascii="Times New Roman" w:hAnsi="Times New Roman" w:eastAsia="方正仿宋_GBK" w:cs="Times New Roman"/>
          <w:snapToGrid w:val="0"/>
          <w:color w:val="000000"/>
          <w:spacing w:val="11"/>
          <w:kern w:val="0"/>
          <w:sz w:val="32"/>
          <w:szCs w:val="32"/>
          <w:lang w:val="en-US" w:eastAsia="zh-CN" w:bidi="ar-SA"/>
        </w:rPr>
        <w:t>指标内涵应当明确、具体、可衡量，数据及佐证资料应当可采集、可获得。市</w:t>
      </w:r>
      <w:r>
        <w:rPr>
          <w:rFonts w:hint="eastAsia" w:ascii="Times New Roman" w:hAnsi="Times New Roman" w:eastAsia="方正仿宋_GBK" w:cs="Times New Roman"/>
          <w:snapToGrid w:val="0"/>
          <w:color w:val="000000"/>
          <w:spacing w:val="11"/>
          <w:kern w:val="0"/>
          <w:sz w:val="32"/>
          <w:szCs w:val="32"/>
          <w:lang w:val="en-US" w:eastAsia="zh-CN" w:bidi="ar-SA"/>
        </w:rPr>
        <w:t>宣教中心年初绩效指标设置目标</w:t>
      </w:r>
      <w:r>
        <w:rPr>
          <w:rFonts w:hint="default" w:ascii="Times New Roman" w:hAnsi="Times New Roman" w:eastAsia="方正仿宋_GBK" w:cs="Times New Roman"/>
          <w:snapToGrid w:val="0"/>
          <w:color w:val="000000"/>
          <w:spacing w:val="11"/>
          <w:kern w:val="0"/>
          <w:sz w:val="32"/>
          <w:szCs w:val="32"/>
          <w:lang w:val="en-US" w:eastAsia="zh-CN" w:bidi="ar-SA"/>
        </w:rPr>
        <w:t>值偏低</w:t>
      </w:r>
      <w:r>
        <w:rPr>
          <w:rFonts w:hint="eastAsia" w:ascii="Times New Roman" w:hAnsi="Times New Roman" w:eastAsia="方正仿宋_GBK" w:cs="Times New Roman"/>
          <w:snapToGrid w:val="0"/>
          <w:color w:val="000000"/>
          <w:spacing w:val="11"/>
          <w:kern w:val="0"/>
          <w:sz w:val="32"/>
          <w:szCs w:val="32"/>
          <w:lang w:val="en-US" w:eastAsia="zh-CN" w:bidi="ar-SA"/>
        </w:rPr>
        <w:t>，指标完成情况远超设定目标，主要原因是设定目标较保守、指标完成情况受外部环境影响较大</w:t>
      </w:r>
      <w:r>
        <w:rPr>
          <w:rFonts w:hint="default" w:ascii="Times New Roman" w:hAnsi="Times New Roman" w:eastAsia="方正仿宋_GBK" w:cs="Times New Roman"/>
          <w:snapToGrid w:val="0"/>
          <w:color w:val="000000"/>
          <w:spacing w:val="11"/>
          <w:kern w:val="0"/>
          <w:sz w:val="32"/>
          <w:szCs w:val="32"/>
          <w:lang w:val="en-US" w:eastAsia="zh-CN" w:bidi="ar-SA"/>
        </w:rPr>
        <w:t>，</w:t>
      </w:r>
      <w:r>
        <w:rPr>
          <w:rFonts w:hint="eastAsia" w:ascii="Times New Roman" w:hAnsi="Times New Roman" w:eastAsia="方正仿宋_GBK" w:cs="Times New Roman"/>
          <w:snapToGrid w:val="0"/>
          <w:color w:val="000000"/>
          <w:spacing w:val="11"/>
          <w:kern w:val="0"/>
          <w:sz w:val="32"/>
          <w:szCs w:val="32"/>
          <w:lang w:val="en-US" w:eastAsia="zh-CN" w:bidi="ar-SA"/>
        </w:rPr>
        <w:t>如“政务新媒体平台推送稿件”≥600篇，实际全年发布微信1200余条，微博4200余条，抖音视频130余条；“生态文明教育基地、环保设施开放单位线上线下参观总人次”≥2000人次，实际线下参观总人次达19万人，公众自主预约参观生态文明教育基地或环保设施开放单位，该指标受社会公众自主预约因素影响，单位干预能力弱，后续绩效指标设置应充分考虑指标可控性。</w:t>
      </w:r>
    </w:p>
    <w:p w14:paraId="1B3E5B8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640" w:firstLineChars="200"/>
        <w:jc w:val="both"/>
        <w:textAlignment w:val="baseline"/>
        <w:outlineLvl w:val="0"/>
        <w:rPr>
          <w:rFonts w:hint="eastAsia" w:ascii="方正楷体_GBK" w:hAnsi="方正楷体_GBK" w:eastAsia="方正楷体_GBK" w:cs="方正楷体_GBK"/>
          <w:sz w:val="32"/>
          <w:szCs w:val="32"/>
          <w:highlight w:val="none"/>
          <w:lang w:val="en-US" w:eastAsia="zh-CN"/>
        </w:rPr>
      </w:pPr>
      <w:bookmarkStart w:id="22" w:name="_Toc31851"/>
      <w:r>
        <w:rPr>
          <w:rFonts w:hint="eastAsia" w:ascii="方正楷体_GBK" w:hAnsi="方正楷体_GBK" w:eastAsia="方正楷体_GBK" w:cs="方正楷体_GBK"/>
          <w:sz w:val="32"/>
          <w:szCs w:val="32"/>
          <w:highlight w:val="none"/>
          <w:lang w:val="en-US" w:eastAsia="zh-CN"/>
        </w:rPr>
        <w:t>（二）内部控制制度有待完善</w:t>
      </w:r>
      <w:bookmarkEnd w:id="22"/>
    </w:p>
    <w:p w14:paraId="25E1C01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84" w:firstLineChars="200"/>
        <w:jc w:val="both"/>
        <w:textAlignment w:val="baseline"/>
        <w:outlineLvl w:val="9"/>
        <w:rPr>
          <w:rFonts w:hint="default" w:ascii="Times New Roman" w:hAnsi="Times New Roman" w:eastAsia="方正仿宋_GBK" w:cs="Times New Roman"/>
          <w:snapToGrid w:val="0"/>
          <w:color w:val="000000"/>
          <w:spacing w:val="11"/>
          <w:kern w:val="0"/>
          <w:sz w:val="32"/>
          <w:szCs w:val="32"/>
          <w:lang w:val="en-US" w:eastAsia="zh-CN" w:bidi="ar-SA"/>
        </w:rPr>
      </w:pPr>
      <w:r>
        <w:rPr>
          <w:rFonts w:hint="default" w:ascii="Times New Roman" w:hAnsi="Times New Roman" w:eastAsia="方正仿宋_GBK" w:cs="Times New Roman"/>
          <w:snapToGrid w:val="0"/>
          <w:color w:val="000000"/>
          <w:spacing w:val="11"/>
          <w:kern w:val="0"/>
          <w:sz w:val="32"/>
          <w:szCs w:val="32"/>
          <w:lang w:val="en-US" w:eastAsia="zh-CN" w:bidi="ar-SA"/>
        </w:rPr>
        <w:t>市</w:t>
      </w:r>
      <w:r>
        <w:rPr>
          <w:rFonts w:hint="eastAsia" w:ascii="Times New Roman" w:hAnsi="Times New Roman" w:eastAsia="方正仿宋_GBK" w:cs="Times New Roman"/>
          <w:snapToGrid w:val="0"/>
          <w:color w:val="000000"/>
          <w:spacing w:val="11"/>
          <w:kern w:val="0"/>
          <w:sz w:val="32"/>
          <w:szCs w:val="32"/>
          <w:lang w:val="en-US" w:eastAsia="zh-CN" w:bidi="ar-SA"/>
        </w:rPr>
        <w:t>宣教中心资产管理制度有待完善，主要原因是资产管理制度于2019年印发，</w:t>
      </w:r>
      <w:r>
        <w:rPr>
          <w:rFonts w:hint="default" w:ascii="Times New Roman" w:hAnsi="Times New Roman" w:eastAsia="方正仿宋_GBK" w:cs="Times New Roman"/>
          <w:snapToGrid w:val="0"/>
          <w:color w:val="000000"/>
          <w:spacing w:val="11"/>
          <w:kern w:val="0"/>
          <w:sz w:val="32"/>
          <w:szCs w:val="32"/>
          <w:lang w:val="en-US" w:eastAsia="zh-CN" w:bidi="ar-SA"/>
        </w:rPr>
        <w:t>部分内容已不符合实际，未及时</w:t>
      </w:r>
      <w:r>
        <w:rPr>
          <w:rFonts w:hint="eastAsia" w:ascii="Times New Roman" w:hAnsi="Times New Roman" w:eastAsia="方正仿宋_GBK" w:cs="Times New Roman"/>
          <w:snapToGrid w:val="0"/>
          <w:color w:val="000000"/>
          <w:spacing w:val="11"/>
          <w:kern w:val="0"/>
          <w:sz w:val="32"/>
          <w:szCs w:val="32"/>
          <w:lang w:val="en-US" w:eastAsia="zh-CN" w:bidi="ar-SA"/>
        </w:rPr>
        <w:t>根据外部环境变化及单位实际情况梳理单位业务流程。</w:t>
      </w:r>
    </w:p>
    <w:p w14:paraId="2F0BC6F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方正黑体_GBK" w:hAnsi="方正黑体_GBK" w:eastAsia="方正黑体_GBK" w:cs="方正黑体_GBK"/>
          <w:spacing w:val="9"/>
          <w:sz w:val="32"/>
          <w:szCs w:val="32"/>
          <w:highlight w:val="none"/>
        </w:rPr>
      </w:pPr>
      <w:bookmarkStart w:id="23" w:name="_Toc24329"/>
      <w:r>
        <w:rPr>
          <w:rFonts w:hint="eastAsia" w:ascii="方正黑体_GBK" w:hAnsi="方正黑体_GBK" w:eastAsia="方正黑体_GBK" w:cs="方正黑体_GBK"/>
          <w:spacing w:val="9"/>
          <w:sz w:val="32"/>
          <w:szCs w:val="32"/>
          <w:highlight w:val="none"/>
          <w:lang w:val="en-US" w:eastAsia="zh-CN"/>
        </w:rPr>
        <w:t>五、</w:t>
      </w:r>
      <w:r>
        <w:rPr>
          <w:rFonts w:hint="eastAsia" w:ascii="方正黑体_GBK" w:hAnsi="方正黑体_GBK" w:eastAsia="方正黑体_GBK" w:cs="方正黑体_GBK"/>
          <w:spacing w:val="9"/>
          <w:sz w:val="32"/>
          <w:szCs w:val="32"/>
          <w:highlight w:val="none"/>
        </w:rPr>
        <w:t>有关建议</w:t>
      </w:r>
      <w:bookmarkEnd w:id="21"/>
      <w:bookmarkEnd w:id="23"/>
    </w:p>
    <w:p w14:paraId="07A5666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jc w:val="both"/>
        <w:textAlignment w:val="baseline"/>
        <w:outlineLvl w:val="0"/>
        <w:rPr>
          <w:rFonts w:hint="eastAsia" w:ascii="方正楷体_GBK" w:hAnsi="方正楷体_GBK" w:eastAsia="方正楷体_GBK" w:cs="方正楷体_GBK"/>
          <w:spacing w:val="3"/>
          <w:sz w:val="32"/>
          <w:szCs w:val="32"/>
          <w:highlight w:val="none"/>
          <w:lang w:val="en-US" w:eastAsia="zh-CN"/>
        </w:rPr>
      </w:pPr>
      <w:bookmarkStart w:id="24" w:name="_Toc27472"/>
      <w:r>
        <w:rPr>
          <w:rFonts w:hint="eastAsia" w:ascii="方正楷体_GBK" w:hAnsi="方正楷体_GBK" w:eastAsia="方正楷体_GBK" w:cs="方正楷体_GBK"/>
          <w:spacing w:val="3"/>
          <w:sz w:val="32"/>
          <w:szCs w:val="32"/>
          <w:highlight w:val="none"/>
          <w:lang w:val="en-US" w:eastAsia="zh-CN"/>
        </w:rPr>
        <w:t>（一）优化部门年度绩效指标设置</w:t>
      </w:r>
      <w:bookmarkEnd w:id="24"/>
    </w:p>
    <w:p w14:paraId="1F5AE662">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市宣教中心应围绕指标内涵，结合单位目标任务及实际情况，优化部门绩效目标和指标设置，</w:t>
      </w:r>
      <w:r>
        <w:rPr>
          <w:rFonts w:hint="default" w:ascii="Times New Roman" w:hAnsi="Times New Roman" w:eastAsia="方正仿宋_GBK" w:cs="Times New Roman"/>
          <w:snapToGrid w:val="0"/>
          <w:color w:val="000000"/>
          <w:spacing w:val="11"/>
          <w:kern w:val="0"/>
          <w:sz w:val="32"/>
          <w:szCs w:val="32"/>
          <w:lang w:val="en-US" w:eastAsia="zh-CN" w:bidi="ar-SA"/>
        </w:rPr>
        <w:t>从决策、过程、履职、效益等方面，对部门整体支出进行全面和客观</w:t>
      </w:r>
      <w:r>
        <w:rPr>
          <w:rFonts w:hint="eastAsia" w:ascii="Times New Roman" w:hAnsi="Times New Roman" w:eastAsia="方正仿宋_GBK" w:cs="Times New Roman"/>
          <w:snapToGrid w:val="0"/>
          <w:color w:val="000000"/>
          <w:spacing w:val="11"/>
          <w:kern w:val="0"/>
          <w:sz w:val="32"/>
          <w:szCs w:val="32"/>
          <w:lang w:val="en-US" w:eastAsia="zh-CN" w:bidi="ar-SA"/>
        </w:rPr>
        <w:t>地</w:t>
      </w:r>
      <w:r>
        <w:rPr>
          <w:rFonts w:hint="default" w:ascii="Times New Roman" w:hAnsi="Times New Roman" w:eastAsia="方正仿宋_GBK" w:cs="Times New Roman"/>
          <w:snapToGrid w:val="0"/>
          <w:color w:val="000000"/>
          <w:spacing w:val="11"/>
          <w:kern w:val="0"/>
          <w:sz w:val="32"/>
          <w:szCs w:val="32"/>
          <w:lang w:val="en-US" w:eastAsia="zh-CN" w:bidi="ar-SA"/>
        </w:rPr>
        <w:t>评价，推动评价结果成为调整预算</w:t>
      </w:r>
      <w:r>
        <w:rPr>
          <w:rFonts w:hint="eastAsia" w:ascii="Times New Roman" w:hAnsi="Times New Roman" w:eastAsia="方正仿宋_GBK" w:cs="Times New Roman"/>
          <w:snapToGrid w:val="0"/>
          <w:color w:val="000000"/>
          <w:spacing w:val="11"/>
          <w:kern w:val="0"/>
          <w:sz w:val="32"/>
          <w:szCs w:val="32"/>
          <w:lang w:val="en-US" w:eastAsia="zh-CN" w:bidi="ar-SA"/>
        </w:rPr>
        <w:t>、</w:t>
      </w:r>
      <w:r>
        <w:rPr>
          <w:rFonts w:hint="default" w:ascii="Times New Roman" w:hAnsi="Times New Roman" w:eastAsia="方正仿宋_GBK" w:cs="Times New Roman"/>
          <w:snapToGrid w:val="0"/>
          <w:color w:val="000000"/>
          <w:spacing w:val="11"/>
          <w:kern w:val="0"/>
          <w:sz w:val="32"/>
          <w:szCs w:val="32"/>
          <w:lang w:val="en-US" w:eastAsia="zh-CN" w:bidi="ar-SA"/>
        </w:rPr>
        <w:t>完善政策和改进管理的可靠依据</w:t>
      </w:r>
      <w:r>
        <w:rPr>
          <w:rFonts w:hint="eastAsia" w:ascii="Times New Roman" w:hAnsi="Times New Roman" w:eastAsia="方正仿宋_GBK" w:cs="Times New Roman"/>
          <w:snapToGrid w:val="0"/>
          <w:color w:val="000000"/>
          <w:spacing w:val="11"/>
          <w:kern w:val="0"/>
          <w:sz w:val="32"/>
          <w:szCs w:val="32"/>
          <w:lang w:val="en-US" w:eastAsia="zh-CN" w:bidi="ar-SA"/>
        </w:rPr>
        <w:t>。</w:t>
      </w:r>
    </w:p>
    <w:p w14:paraId="7406D2B3">
      <w:pPr>
        <w:pStyle w:val="9"/>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hint="eastAsia" w:ascii="方正楷体_GBK" w:hAnsi="方正楷体_GBK" w:eastAsia="方正楷体_GBK" w:cs="方正楷体_GBK"/>
          <w:snapToGrid w:val="0"/>
          <w:color w:val="000000"/>
          <w:kern w:val="0"/>
          <w:sz w:val="32"/>
          <w:szCs w:val="32"/>
          <w:highlight w:val="none"/>
          <w:lang w:val="en-US" w:eastAsia="zh-CN" w:bidi="ar-SA"/>
        </w:rPr>
      </w:pPr>
      <w:bookmarkStart w:id="25" w:name="_Toc31557"/>
      <w:r>
        <w:rPr>
          <w:rFonts w:hint="eastAsia" w:ascii="方正楷体_GBK" w:hAnsi="方正楷体_GBK" w:eastAsia="方正楷体_GBK" w:cs="方正楷体_GBK"/>
          <w:snapToGrid w:val="0"/>
          <w:color w:val="000000"/>
          <w:kern w:val="0"/>
          <w:sz w:val="32"/>
          <w:szCs w:val="32"/>
          <w:highlight w:val="none"/>
          <w:lang w:val="en-US" w:eastAsia="zh-CN" w:bidi="ar-SA"/>
        </w:rPr>
        <w:t>完善内部控制制度</w:t>
      </w:r>
      <w:bookmarkEnd w:id="25"/>
    </w:p>
    <w:p w14:paraId="183001E8">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84" w:firstLineChars="200"/>
        <w:jc w:val="both"/>
        <w:textAlignment w:val="baseline"/>
        <w:rPr>
          <w:rFonts w:hint="default"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市宣</w:t>
      </w:r>
      <w:r>
        <w:rPr>
          <w:rFonts w:hint="default" w:ascii="Times New Roman" w:hAnsi="Times New Roman" w:eastAsia="方正仿宋_GBK" w:cs="Times New Roman"/>
          <w:snapToGrid w:val="0"/>
          <w:color w:val="000000"/>
          <w:spacing w:val="11"/>
          <w:kern w:val="0"/>
          <w:sz w:val="32"/>
          <w:szCs w:val="32"/>
          <w:lang w:val="en-US" w:eastAsia="zh-CN" w:bidi="ar-SA"/>
        </w:rPr>
        <w:t>教中心应结合单位的实际情况，并随着外部环境的变化、单位经济活动的调整和管理要求的提高，全面梳理本单位业务流程，不断修订和完善单位各项内部管理制度，确保经济活动运行有章可循、有据可依。</w:t>
      </w:r>
    </w:p>
    <w:p w14:paraId="0C7E4BF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firstLine="676" w:firstLineChars="200"/>
        <w:jc w:val="both"/>
        <w:textAlignment w:val="baseline"/>
        <w:outlineLvl w:val="0"/>
        <w:rPr>
          <w:rFonts w:hint="eastAsia" w:ascii="方正黑体_GBK" w:hAnsi="方正黑体_GBK" w:eastAsia="方正黑体_GBK" w:cs="方正黑体_GBK"/>
          <w:spacing w:val="9"/>
          <w:sz w:val="32"/>
          <w:szCs w:val="32"/>
        </w:rPr>
      </w:pPr>
      <w:bookmarkStart w:id="26" w:name="_Toc31101"/>
      <w:bookmarkStart w:id="27" w:name="_Toc25710"/>
      <w:r>
        <w:rPr>
          <w:rFonts w:hint="eastAsia" w:ascii="方正黑体_GBK" w:hAnsi="方正黑体_GBK" w:eastAsia="方正黑体_GBK" w:cs="方正黑体_GBK"/>
          <w:spacing w:val="9"/>
          <w:sz w:val="32"/>
          <w:szCs w:val="32"/>
          <w:lang w:val="en-US" w:eastAsia="zh-CN"/>
        </w:rPr>
        <w:t>六、</w:t>
      </w:r>
      <w:r>
        <w:rPr>
          <w:rFonts w:hint="eastAsia" w:ascii="方正黑体_GBK" w:hAnsi="方正黑体_GBK" w:eastAsia="方正黑体_GBK" w:cs="方正黑体_GBK"/>
          <w:spacing w:val="9"/>
          <w:sz w:val="32"/>
          <w:szCs w:val="32"/>
        </w:rPr>
        <w:t>评价工作开展情况及其他需说明的情况</w:t>
      </w:r>
      <w:bookmarkEnd w:id="26"/>
      <w:bookmarkEnd w:id="27"/>
    </w:p>
    <w:p w14:paraId="2DF22E65">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2" w:firstLineChars="200"/>
        <w:jc w:val="both"/>
        <w:textAlignment w:val="baseline"/>
        <w:outlineLvl w:val="0"/>
        <w:rPr>
          <w:rFonts w:hint="eastAsia" w:ascii="方正楷体_GBK" w:hAnsi="方正楷体_GBK" w:eastAsia="方正楷体_GBK" w:cs="方正楷体_GBK"/>
          <w:sz w:val="32"/>
          <w:szCs w:val="32"/>
        </w:rPr>
      </w:pPr>
      <w:bookmarkStart w:id="28" w:name="_Toc26776"/>
      <w:bookmarkStart w:id="29" w:name="_Toc20287"/>
      <w:r>
        <w:rPr>
          <w:rFonts w:hint="eastAsia" w:ascii="方正楷体_GBK" w:hAnsi="方正楷体_GBK" w:eastAsia="方正楷体_GBK" w:cs="方正楷体_GBK"/>
          <w:spacing w:val="8"/>
          <w:sz w:val="32"/>
          <w:szCs w:val="32"/>
        </w:rPr>
        <w:t>（一）绩效评价工作情况</w:t>
      </w:r>
      <w:bookmarkEnd w:id="28"/>
      <w:bookmarkEnd w:id="29"/>
    </w:p>
    <w:p w14:paraId="15DBD15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1.评价思路及方法</w:t>
      </w:r>
    </w:p>
    <w:p w14:paraId="144ED08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综合运用成本效益分析法、比较法等方法。通过制度规定梳理、调研沟通、收集评价资料等方式进行单位整体支出绩效综合评价。评价指标采取定量与定性相结合、优先定量的原则。</w:t>
      </w:r>
    </w:p>
    <w:p w14:paraId="5D539E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2.评价组织与分工</w:t>
      </w:r>
    </w:p>
    <w:p w14:paraId="218F4D5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市宣教中心绩效评价工作组由综合科人员组成，评价组长及主评人为综合科科长。负责统筹开展整体绩效工作，与各内设机构沟通、确认各项指标实施完成情况、梳理汇总存在问题及绩效完成结果、编制绩效评价报告等。</w:t>
      </w:r>
    </w:p>
    <w:p w14:paraId="767B93D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3.评价过程</w:t>
      </w:r>
    </w:p>
    <w:p w14:paraId="1CA482F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2026年4月至5月，市宣教中心依据绩效评价有关管理办法，组织绩效评价组对2025年单位整体绩效进行自评价，具体实施步骤如下：</w:t>
      </w:r>
    </w:p>
    <w:p w14:paraId="5FBB2FD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（1）前期准备（2026年4月）</w:t>
      </w:r>
    </w:p>
    <w:p w14:paraId="146AD01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市宣教中心成立绩效评价工作组，收集相关政策文件，结合单位工作内容和特点，确定评价目的、评价范围、评价原则，形成评价思路，制定绩效评价工作方案、评价基础表等。对市宣教中心2025年单位整体支出绩效评价指标体系进行研究和分析，确定评价总体思路和侧重点后，开展绩效评价工作。</w:t>
      </w:r>
    </w:p>
    <w:p w14:paraId="4E92D29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（2）数据采集及核查（2026年4月至5月）</w:t>
      </w:r>
    </w:p>
    <w:p w14:paraId="1B74821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绩效评价工作组对单位整体和各内设机构的管理情况、履职情况、工作产生的效益等情况进行核查分析，对相关材料进行审核、调整及整理汇总。同时根据各科室反馈，梳理单位的管理措施及存在的问题，对市宣教中心2025年单位整体支出进行真实、客观地评价。</w:t>
      </w:r>
    </w:p>
    <w:p w14:paraId="48068A39">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分析评价、报告撰写（2026年5月）</w:t>
      </w:r>
    </w:p>
    <w:p w14:paraId="0D9BC953">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绩效评价工作组根据绩效评价的原则和方法，对采集的基础资料进行分类整理、汇总和分析，通过对比核实，以验证成效、发现问题。依据制定的评价标准和评分规则，对单位和内设机构进行独立、客观、公正的评分，并围绕部门决策、部门过程、部门履职、履职效益等方面撰写绩效评价报告，针对存在的问题提出相关建议。</w:t>
      </w:r>
    </w:p>
    <w:p w14:paraId="3EA2F7B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4.评价指标体系</w:t>
      </w:r>
    </w:p>
    <w:p w14:paraId="498392E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市宣教中心2025年整体绩效评价主要围绕单位及各内设机构职责，以单位预算资金管理为主线，从单位决策、单位过程管理、单位履职情况、单位履职效益四方面衡量单位整体实施效果。</w:t>
      </w:r>
    </w:p>
    <w:p w14:paraId="1469FFB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2025年市宣教中心部门整体绩效评价指标体系共设计4个一级指标，15个二级指标、51个三级指标。详见附件《南京市生态环境保护宣传教育中心2025年部门整体预算绩效评价指标体系表》。</w:t>
      </w:r>
    </w:p>
    <w:p w14:paraId="0438C010">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2" w:firstLineChars="200"/>
        <w:jc w:val="both"/>
        <w:textAlignment w:val="baseline"/>
        <w:outlineLvl w:val="0"/>
        <w:rPr>
          <w:rFonts w:hint="eastAsia" w:ascii="方正楷体_GBK" w:hAnsi="方正楷体_GBK" w:eastAsia="方正楷体_GBK" w:cs="方正楷体_GBK"/>
          <w:spacing w:val="8"/>
          <w:sz w:val="32"/>
          <w:szCs w:val="32"/>
          <w:lang w:val="en-US" w:eastAsia="zh-CN"/>
        </w:rPr>
      </w:pPr>
      <w:bookmarkStart w:id="30" w:name="_Toc3239"/>
      <w:r>
        <w:rPr>
          <w:rFonts w:hint="eastAsia" w:ascii="方正楷体_GBK" w:hAnsi="方正楷体_GBK" w:eastAsia="方正楷体_GBK" w:cs="方正楷体_GBK"/>
          <w:spacing w:val="8"/>
          <w:sz w:val="32"/>
          <w:szCs w:val="32"/>
          <w:lang w:val="en-US" w:eastAsia="zh-CN"/>
        </w:rPr>
        <w:t>（二）其他需要说明的情况</w:t>
      </w:r>
      <w:bookmarkEnd w:id="30"/>
    </w:p>
    <w:p w14:paraId="4B8B553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无。</w:t>
      </w:r>
    </w:p>
    <w:p w14:paraId="06FE1B5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jc w:val="both"/>
        <w:textAlignment w:val="baseline"/>
        <w:rPr>
          <w:rFonts w:hint="eastAsia" w:ascii="仿宋" w:hAnsi="仿宋" w:eastAsia="仿宋" w:cs="仿宋"/>
          <w:spacing w:val="5"/>
          <w:sz w:val="32"/>
          <w:szCs w:val="32"/>
          <w:lang w:val="en-US" w:eastAsia="zh-CN"/>
        </w:rPr>
      </w:pPr>
    </w:p>
    <w:p w14:paraId="07F6840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jc w:val="both"/>
        <w:textAlignment w:val="baseline"/>
        <w:rPr>
          <w:rFonts w:hint="eastAsia" w:ascii="仿宋" w:hAnsi="仿宋" w:eastAsia="仿宋" w:cs="仿宋"/>
          <w:spacing w:val="5"/>
          <w:sz w:val="32"/>
          <w:szCs w:val="32"/>
          <w:lang w:val="en-US" w:eastAsia="zh-CN"/>
        </w:rPr>
      </w:pPr>
    </w:p>
    <w:p w14:paraId="0AFDD0C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jc w:val="both"/>
        <w:textAlignment w:val="baseline"/>
        <w:rPr>
          <w:rFonts w:hint="eastAsia" w:ascii="仿宋" w:hAnsi="仿宋" w:eastAsia="仿宋" w:cs="仿宋"/>
          <w:spacing w:val="5"/>
          <w:sz w:val="32"/>
          <w:szCs w:val="32"/>
          <w:lang w:val="en-US" w:eastAsia="zh-CN"/>
        </w:rPr>
      </w:pPr>
    </w:p>
    <w:p w14:paraId="2CD1709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Times New Roman" w:hAnsi="Times New Roman" w:eastAsia="方正仿宋_GBK" w:cs="Times New Roman"/>
          <w:snapToGrid w:val="0"/>
          <w:color w:val="000000"/>
          <w:spacing w:val="11"/>
          <w:kern w:val="0"/>
          <w:sz w:val="32"/>
          <w:szCs w:val="32"/>
          <w:lang w:val="en-US" w:eastAsia="zh-CN" w:bidi="ar-SA"/>
        </w:rPr>
      </w:pPr>
      <w:r>
        <w:rPr>
          <w:rFonts w:hint="eastAsia" w:ascii="Times New Roman" w:hAnsi="Times New Roman" w:eastAsia="方正仿宋_GBK" w:cs="Times New Roman"/>
          <w:snapToGrid w:val="0"/>
          <w:color w:val="000000"/>
          <w:spacing w:val="11"/>
          <w:kern w:val="0"/>
          <w:sz w:val="32"/>
          <w:szCs w:val="32"/>
          <w:lang w:val="en-US" w:eastAsia="zh-CN" w:bidi="ar-SA"/>
        </w:rPr>
        <w:t>附件： 南京市生态环境保护宣传教育中心（南京市生态环境信息服务中心）2025年部门整体预算绩效评价指标体系表</w:t>
      </w:r>
    </w:p>
    <w:sectPr>
      <w:footerReference r:id="rId8" w:type="default"/>
      <w:pgSz w:w="11907" w:h="16839"/>
      <w:pgMar w:top="1440" w:right="1800" w:bottom="1440" w:left="1800" w:header="0" w:footer="952"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38245F5-AFD1-4D55-A8B8-1B03DEDA22CB}"/>
  </w:font>
  <w:font w:name="黑体">
    <w:panose1 w:val="02010609060101010101"/>
    <w:charset w:val="86"/>
    <w:family w:val="auto"/>
    <w:pitch w:val="default"/>
    <w:sig w:usb0="800002BF" w:usb1="38CF7CFA" w:usb2="00000016" w:usb3="00000000" w:csb0="00040001" w:csb1="00000000"/>
    <w:embedRegular r:id="rId2" w:fontKey="{5EF5F862-5263-44F0-9C3F-47F01D33539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3" w:fontKey="{310A5D69-EF21-41B1-A197-ED06E8CC9461}"/>
  </w:font>
  <w:font w:name="微软雅黑">
    <w:panose1 w:val="020B0503020204020204"/>
    <w:charset w:val="86"/>
    <w:family w:val="auto"/>
    <w:pitch w:val="default"/>
    <w:sig w:usb0="80000287" w:usb1="280F3C52" w:usb2="00000016" w:usb3="00000000" w:csb0="0004001F" w:csb1="00000000"/>
    <w:embedRegular r:id="rId4" w:fontKey="{F6E626F8-2288-47E0-B328-0F224C15851F}"/>
  </w:font>
  <w:font w:name="方正小标宋_GBK">
    <w:panose1 w:val="02000000000000000000"/>
    <w:charset w:val="86"/>
    <w:family w:val="auto"/>
    <w:pitch w:val="default"/>
    <w:sig w:usb0="A00002BF" w:usb1="38CF7CFA" w:usb2="00082016" w:usb3="00000000" w:csb0="00040001" w:csb1="00000000"/>
    <w:embedRegular r:id="rId5" w:fontKey="{1A906F05-2F63-4228-9465-74BE2CC1E404}"/>
  </w:font>
  <w:font w:name="方正黑体_GBK">
    <w:panose1 w:val="02010600010101010101"/>
    <w:charset w:val="86"/>
    <w:family w:val="auto"/>
    <w:pitch w:val="default"/>
    <w:sig w:usb0="00000001" w:usb1="080E0000" w:usb2="00000000" w:usb3="00000000" w:csb0="00040000" w:csb1="00000000"/>
    <w:embedRegular r:id="rId6" w:fontKey="{02F9E237-6594-49F7-8E43-FB6BD66EEF19}"/>
  </w:font>
  <w:font w:name="方正楷体_GBK">
    <w:panose1 w:val="02000000000000000000"/>
    <w:charset w:val="86"/>
    <w:family w:val="auto"/>
    <w:pitch w:val="default"/>
    <w:sig w:usb0="800002BF" w:usb1="38CF7CFA" w:usb2="00000016" w:usb3="00000000" w:csb0="00040000" w:csb1="00000000"/>
    <w:embedRegular r:id="rId7" w:fontKey="{0D095394-1C69-4214-9DC5-54F6DEF88E73}"/>
  </w:font>
  <w:font w:name="方正仿宋_GBK">
    <w:panose1 w:val="02000000000000000000"/>
    <w:charset w:val="86"/>
    <w:family w:val="auto"/>
    <w:pitch w:val="default"/>
    <w:sig w:usb0="A00002BF" w:usb1="38CF7CFA" w:usb2="00082016" w:usb3="00000000" w:csb0="00040001" w:csb1="00000000"/>
    <w:embedRegular r:id="rId8" w:fontKey="{EFE07AA3-2925-4C62-9D44-2FE7B2A93D7C}"/>
  </w:font>
  <w:font w:name="Arial Unicode MS">
    <w:panose1 w:val="020B0604020202020204"/>
    <w:charset w:val="86"/>
    <w:family w:val="roman"/>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7F7F">
    <w:pPr>
      <w:spacing w:line="233" w:lineRule="auto"/>
      <w:ind w:left="3865"/>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E3F6C">
    <w:pPr>
      <w:spacing w:line="233" w:lineRule="auto"/>
      <w:ind w:left="3865"/>
      <w:rPr>
        <w:rFonts w:ascii="宋体" w:hAnsi="宋体" w:eastAsia="宋体" w:cs="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3"/>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3"/>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3"/>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DA79E">
    <w:pPr>
      <w:spacing w:line="233" w:lineRule="auto"/>
      <w:ind w:left="3865"/>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61010" cy="1676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61010" cy="1676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5E1DF">
                          <w:pPr>
                            <w:pStyle w:val="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3.2pt;width:36.3pt;mso-position-horizontal:center;mso-position-horizontal-relative:margin;z-index:251659264;mso-width-relative:page;mso-height-relative:page;" filled="f" stroked="f" coordsize="21600,21600" o:gfxdata="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7AYndMAAAADAQAADwAAAAAAAAABACAAAAAiAAAAZHJzL2Rvd25yZXYueG1s&#10;UEsBAhQAFAAAAAgAh07iQI2d7kM2AgAAYQQAAA4AAAAAAAAAAQAgAAAAIgEAAGRycy9lMm9Eb2Mu&#10;eG1sUEsFBgAAAAAGAAYAWQEAAMoFAAAAAA==&#10;">
              <v:fill on="f" focussize="0,0"/>
              <v:stroke on="f" weight="0.5pt"/>
              <v:imagedata o:title=""/>
              <o:lock v:ext="edit" aspectratio="f"/>
              <v:textbox inset="0mm,0mm,0mm,0mm">
                <w:txbxContent>
                  <w:p w14:paraId="2AD5E1DF">
                    <w:pPr>
                      <w:pStyle w:val="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B9E8E5"/>
    <w:multiLevelType w:val="singleLevel"/>
    <w:tmpl w:val="CCB9E8E5"/>
    <w:lvl w:ilvl="0" w:tentative="0">
      <w:start w:val="3"/>
      <w:numFmt w:val="decimal"/>
      <w:suff w:val="nothing"/>
      <w:lvlText w:val="（%1）"/>
      <w:lvlJc w:val="left"/>
    </w:lvl>
  </w:abstractNum>
  <w:abstractNum w:abstractNumId="1">
    <w:nsid w:val="126A6286"/>
    <w:multiLevelType w:val="singleLevel"/>
    <w:tmpl w:val="126A628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050647"/>
    <w:rsid w:val="005F0D0D"/>
    <w:rsid w:val="008E3A83"/>
    <w:rsid w:val="00AB35C0"/>
    <w:rsid w:val="00D42B17"/>
    <w:rsid w:val="01050F22"/>
    <w:rsid w:val="01062EEC"/>
    <w:rsid w:val="010B22B0"/>
    <w:rsid w:val="01155259"/>
    <w:rsid w:val="01492F8B"/>
    <w:rsid w:val="015B6D94"/>
    <w:rsid w:val="01633CD3"/>
    <w:rsid w:val="01704BC6"/>
    <w:rsid w:val="017815E6"/>
    <w:rsid w:val="018D0F17"/>
    <w:rsid w:val="02076F1C"/>
    <w:rsid w:val="02145195"/>
    <w:rsid w:val="021D391B"/>
    <w:rsid w:val="02315D47"/>
    <w:rsid w:val="02322C76"/>
    <w:rsid w:val="023B6BC5"/>
    <w:rsid w:val="0246107B"/>
    <w:rsid w:val="025D2614"/>
    <w:rsid w:val="025F28B4"/>
    <w:rsid w:val="02EA4873"/>
    <w:rsid w:val="03127926"/>
    <w:rsid w:val="03477E6F"/>
    <w:rsid w:val="035717DD"/>
    <w:rsid w:val="03A52548"/>
    <w:rsid w:val="03E33071"/>
    <w:rsid w:val="03FD05D6"/>
    <w:rsid w:val="041D6583"/>
    <w:rsid w:val="044B1342"/>
    <w:rsid w:val="045F3C73"/>
    <w:rsid w:val="04FA4B16"/>
    <w:rsid w:val="05031C1C"/>
    <w:rsid w:val="050414F1"/>
    <w:rsid w:val="05301FE1"/>
    <w:rsid w:val="058242A2"/>
    <w:rsid w:val="05885ACC"/>
    <w:rsid w:val="05AA2098"/>
    <w:rsid w:val="0608390B"/>
    <w:rsid w:val="061B09E7"/>
    <w:rsid w:val="06500E91"/>
    <w:rsid w:val="065169B7"/>
    <w:rsid w:val="066C6FCA"/>
    <w:rsid w:val="06A0349B"/>
    <w:rsid w:val="06A32A1C"/>
    <w:rsid w:val="06FE6B3F"/>
    <w:rsid w:val="071874D5"/>
    <w:rsid w:val="073025FB"/>
    <w:rsid w:val="07391925"/>
    <w:rsid w:val="073C02E7"/>
    <w:rsid w:val="07524CC5"/>
    <w:rsid w:val="076444C8"/>
    <w:rsid w:val="07660241"/>
    <w:rsid w:val="07726BE5"/>
    <w:rsid w:val="07C029F3"/>
    <w:rsid w:val="07D77390"/>
    <w:rsid w:val="082D45E6"/>
    <w:rsid w:val="083420ED"/>
    <w:rsid w:val="08585DDB"/>
    <w:rsid w:val="087D7F38"/>
    <w:rsid w:val="08D0159F"/>
    <w:rsid w:val="08F024B8"/>
    <w:rsid w:val="093C74AB"/>
    <w:rsid w:val="097874DF"/>
    <w:rsid w:val="09C57AFD"/>
    <w:rsid w:val="09DC0C8E"/>
    <w:rsid w:val="09EE255B"/>
    <w:rsid w:val="09F00252"/>
    <w:rsid w:val="0A23066B"/>
    <w:rsid w:val="0A2C5771"/>
    <w:rsid w:val="0A631EB2"/>
    <w:rsid w:val="0A7942C5"/>
    <w:rsid w:val="0A99092D"/>
    <w:rsid w:val="0AA06186"/>
    <w:rsid w:val="0AC92FC0"/>
    <w:rsid w:val="0ACE4A7B"/>
    <w:rsid w:val="0B0B35D9"/>
    <w:rsid w:val="0B0B5EA1"/>
    <w:rsid w:val="0B204BAA"/>
    <w:rsid w:val="0B6902FF"/>
    <w:rsid w:val="0B6E5916"/>
    <w:rsid w:val="0BA80E28"/>
    <w:rsid w:val="0BB53545"/>
    <w:rsid w:val="0BC916A9"/>
    <w:rsid w:val="0C1D4B5E"/>
    <w:rsid w:val="0C1E733C"/>
    <w:rsid w:val="0C3D1EB8"/>
    <w:rsid w:val="0CB820FC"/>
    <w:rsid w:val="0CBF0B1F"/>
    <w:rsid w:val="0CD143AE"/>
    <w:rsid w:val="0CDF4D1D"/>
    <w:rsid w:val="0CEE5FC6"/>
    <w:rsid w:val="0D04633F"/>
    <w:rsid w:val="0D076022"/>
    <w:rsid w:val="0D091D9A"/>
    <w:rsid w:val="0D261E54"/>
    <w:rsid w:val="0D501777"/>
    <w:rsid w:val="0D5F19BA"/>
    <w:rsid w:val="0DC23EA2"/>
    <w:rsid w:val="0DC7755F"/>
    <w:rsid w:val="0DCA5C6A"/>
    <w:rsid w:val="0E1E7AC7"/>
    <w:rsid w:val="0EB91953"/>
    <w:rsid w:val="0F01534F"/>
    <w:rsid w:val="0F786D63"/>
    <w:rsid w:val="0FC85F3C"/>
    <w:rsid w:val="1033098C"/>
    <w:rsid w:val="103A04BC"/>
    <w:rsid w:val="10847CCF"/>
    <w:rsid w:val="109B53FF"/>
    <w:rsid w:val="11196324"/>
    <w:rsid w:val="11230F50"/>
    <w:rsid w:val="112D05B8"/>
    <w:rsid w:val="116972AB"/>
    <w:rsid w:val="11704CFE"/>
    <w:rsid w:val="11722693"/>
    <w:rsid w:val="11BF6ECB"/>
    <w:rsid w:val="11C20769"/>
    <w:rsid w:val="11FF29B3"/>
    <w:rsid w:val="122B0771"/>
    <w:rsid w:val="12550CDA"/>
    <w:rsid w:val="12816876"/>
    <w:rsid w:val="12942106"/>
    <w:rsid w:val="129465AA"/>
    <w:rsid w:val="129C214C"/>
    <w:rsid w:val="12AA36D7"/>
    <w:rsid w:val="12F42380"/>
    <w:rsid w:val="13072A44"/>
    <w:rsid w:val="13223BB5"/>
    <w:rsid w:val="13737F6D"/>
    <w:rsid w:val="13DB3D64"/>
    <w:rsid w:val="14264FE0"/>
    <w:rsid w:val="145A737F"/>
    <w:rsid w:val="146401FE"/>
    <w:rsid w:val="146F2E2A"/>
    <w:rsid w:val="14765B89"/>
    <w:rsid w:val="14952165"/>
    <w:rsid w:val="14D42C8D"/>
    <w:rsid w:val="15211645"/>
    <w:rsid w:val="15353F92"/>
    <w:rsid w:val="153656F6"/>
    <w:rsid w:val="153E0735"/>
    <w:rsid w:val="1598015F"/>
    <w:rsid w:val="15BD05FB"/>
    <w:rsid w:val="15DB004C"/>
    <w:rsid w:val="161F618A"/>
    <w:rsid w:val="16396E5B"/>
    <w:rsid w:val="16D10E90"/>
    <w:rsid w:val="16E96798"/>
    <w:rsid w:val="16F97589"/>
    <w:rsid w:val="175B58E8"/>
    <w:rsid w:val="175E421D"/>
    <w:rsid w:val="1767603B"/>
    <w:rsid w:val="17DA0251"/>
    <w:rsid w:val="17F65611"/>
    <w:rsid w:val="18277578"/>
    <w:rsid w:val="182E4DAB"/>
    <w:rsid w:val="18375D2F"/>
    <w:rsid w:val="18450A85"/>
    <w:rsid w:val="18455C50"/>
    <w:rsid w:val="1867206B"/>
    <w:rsid w:val="1869193F"/>
    <w:rsid w:val="18722EE9"/>
    <w:rsid w:val="18822A00"/>
    <w:rsid w:val="19120FEF"/>
    <w:rsid w:val="1921236A"/>
    <w:rsid w:val="197C1B46"/>
    <w:rsid w:val="19834C82"/>
    <w:rsid w:val="19A370D2"/>
    <w:rsid w:val="19B15033"/>
    <w:rsid w:val="19B36E56"/>
    <w:rsid w:val="19B72B7E"/>
    <w:rsid w:val="1A0E0E05"/>
    <w:rsid w:val="1A497C7A"/>
    <w:rsid w:val="1A58610F"/>
    <w:rsid w:val="1ABF1CEA"/>
    <w:rsid w:val="1AD36A86"/>
    <w:rsid w:val="1AEA599E"/>
    <w:rsid w:val="1B182B60"/>
    <w:rsid w:val="1B617245"/>
    <w:rsid w:val="1B8B2BCD"/>
    <w:rsid w:val="1BAC6712"/>
    <w:rsid w:val="1BDE2644"/>
    <w:rsid w:val="1C676BCC"/>
    <w:rsid w:val="1C915908"/>
    <w:rsid w:val="1CB638A1"/>
    <w:rsid w:val="1CBA4E5F"/>
    <w:rsid w:val="1CD557F5"/>
    <w:rsid w:val="1D484219"/>
    <w:rsid w:val="1D511CCD"/>
    <w:rsid w:val="1DA63635"/>
    <w:rsid w:val="1DEE23CB"/>
    <w:rsid w:val="1E1B0D3B"/>
    <w:rsid w:val="1E1E5B8C"/>
    <w:rsid w:val="1E222CBC"/>
    <w:rsid w:val="1E2A1B70"/>
    <w:rsid w:val="1E4075E6"/>
    <w:rsid w:val="1E5866DD"/>
    <w:rsid w:val="1F046865"/>
    <w:rsid w:val="1F082CE5"/>
    <w:rsid w:val="1F130856"/>
    <w:rsid w:val="1F272114"/>
    <w:rsid w:val="1F2B4E33"/>
    <w:rsid w:val="1F4E5D32"/>
    <w:rsid w:val="1F525822"/>
    <w:rsid w:val="1F7F7C9A"/>
    <w:rsid w:val="1FCF0C21"/>
    <w:rsid w:val="1FEE477C"/>
    <w:rsid w:val="20191E9C"/>
    <w:rsid w:val="20784E15"/>
    <w:rsid w:val="20790B8D"/>
    <w:rsid w:val="20A41345"/>
    <w:rsid w:val="20CA13E8"/>
    <w:rsid w:val="20F546B7"/>
    <w:rsid w:val="20FA1B12"/>
    <w:rsid w:val="2154483D"/>
    <w:rsid w:val="2161443D"/>
    <w:rsid w:val="219A525F"/>
    <w:rsid w:val="21B93937"/>
    <w:rsid w:val="221C2118"/>
    <w:rsid w:val="22364F87"/>
    <w:rsid w:val="223E5BEA"/>
    <w:rsid w:val="224A712E"/>
    <w:rsid w:val="227B6E3E"/>
    <w:rsid w:val="22A53EBB"/>
    <w:rsid w:val="22AD2D70"/>
    <w:rsid w:val="22B73772"/>
    <w:rsid w:val="22B8599C"/>
    <w:rsid w:val="22C11787"/>
    <w:rsid w:val="232A43C0"/>
    <w:rsid w:val="233A4603"/>
    <w:rsid w:val="234A004E"/>
    <w:rsid w:val="235F406A"/>
    <w:rsid w:val="23657732"/>
    <w:rsid w:val="23B720F8"/>
    <w:rsid w:val="23BA2CC5"/>
    <w:rsid w:val="244A6AC8"/>
    <w:rsid w:val="24AE34FB"/>
    <w:rsid w:val="24C75153"/>
    <w:rsid w:val="24C95EF6"/>
    <w:rsid w:val="24CC572F"/>
    <w:rsid w:val="257858B7"/>
    <w:rsid w:val="25D074A1"/>
    <w:rsid w:val="25FC2044"/>
    <w:rsid w:val="260D5FFF"/>
    <w:rsid w:val="2631323A"/>
    <w:rsid w:val="26416F58"/>
    <w:rsid w:val="26630315"/>
    <w:rsid w:val="26655897"/>
    <w:rsid w:val="26864004"/>
    <w:rsid w:val="27287FA1"/>
    <w:rsid w:val="27313F6F"/>
    <w:rsid w:val="274614B1"/>
    <w:rsid w:val="276A0DC2"/>
    <w:rsid w:val="278E3554"/>
    <w:rsid w:val="27D86AE1"/>
    <w:rsid w:val="2826784C"/>
    <w:rsid w:val="28335AC5"/>
    <w:rsid w:val="28504E67"/>
    <w:rsid w:val="28940C5A"/>
    <w:rsid w:val="289A0FFA"/>
    <w:rsid w:val="28A30E9D"/>
    <w:rsid w:val="28AE7D7D"/>
    <w:rsid w:val="28B350BC"/>
    <w:rsid w:val="28B9421C"/>
    <w:rsid w:val="28CF1C92"/>
    <w:rsid w:val="28EF177A"/>
    <w:rsid w:val="291D2E8A"/>
    <w:rsid w:val="293B10D5"/>
    <w:rsid w:val="298D4206"/>
    <w:rsid w:val="2A7A6782"/>
    <w:rsid w:val="2A9A5A33"/>
    <w:rsid w:val="2AC62C21"/>
    <w:rsid w:val="2ADE5ACE"/>
    <w:rsid w:val="2B0D4CF3"/>
    <w:rsid w:val="2B472560"/>
    <w:rsid w:val="2B77216D"/>
    <w:rsid w:val="2B8E7BE2"/>
    <w:rsid w:val="2BA72A52"/>
    <w:rsid w:val="2BA94A1C"/>
    <w:rsid w:val="2C016606"/>
    <w:rsid w:val="2C063C1D"/>
    <w:rsid w:val="2C1A76C8"/>
    <w:rsid w:val="2C380999"/>
    <w:rsid w:val="2C65033B"/>
    <w:rsid w:val="2C864D5D"/>
    <w:rsid w:val="2CBC2E35"/>
    <w:rsid w:val="2D032AF1"/>
    <w:rsid w:val="2D044FFF"/>
    <w:rsid w:val="2D055557"/>
    <w:rsid w:val="2D574004"/>
    <w:rsid w:val="2DE81100"/>
    <w:rsid w:val="2E312CE1"/>
    <w:rsid w:val="2E426A62"/>
    <w:rsid w:val="2E7117CD"/>
    <w:rsid w:val="2EB07E70"/>
    <w:rsid w:val="2ECF3BF0"/>
    <w:rsid w:val="2ED26650"/>
    <w:rsid w:val="2ED27DE6"/>
    <w:rsid w:val="2F0D1034"/>
    <w:rsid w:val="2F8B4EBB"/>
    <w:rsid w:val="2FA55FFE"/>
    <w:rsid w:val="2FC736C3"/>
    <w:rsid w:val="30111D05"/>
    <w:rsid w:val="309A2B85"/>
    <w:rsid w:val="309D4424"/>
    <w:rsid w:val="309D61D2"/>
    <w:rsid w:val="30FF3940"/>
    <w:rsid w:val="31067AB6"/>
    <w:rsid w:val="310E70CF"/>
    <w:rsid w:val="315522B2"/>
    <w:rsid w:val="317F1D7B"/>
    <w:rsid w:val="318E3914"/>
    <w:rsid w:val="318F6C95"/>
    <w:rsid w:val="31996015"/>
    <w:rsid w:val="31E969EE"/>
    <w:rsid w:val="32173C87"/>
    <w:rsid w:val="326351F9"/>
    <w:rsid w:val="326F71AB"/>
    <w:rsid w:val="32C043F9"/>
    <w:rsid w:val="32D00AE0"/>
    <w:rsid w:val="331A1010"/>
    <w:rsid w:val="333B41A8"/>
    <w:rsid w:val="334F46D5"/>
    <w:rsid w:val="336B25B7"/>
    <w:rsid w:val="337771AE"/>
    <w:rsid w:val="33D62126"/>
    <w:rsid w:val="33FE167D"/>
    <w:rsid w:val="34034EE6"/>
    <w:rsid w:val="342A2AD5"/>
    <w:rsid w:val="343375A8"/>
    <w:rsid w:val="345319C9"/>
    <w:rsid w:val="345E211C"/>
    <w:rsid w:val="34684D49"/>
    <w:rsid w:val="34714987"/>
    <w:rsid w:val="34D414AF"/>
    <w:rsid w:val="34FD1935"/>
    <w:rsid w:val="35092088"/>
    <w:rsid w:val="352D221A"/>
    <w:rsid w:val="35700359"/>
    <w:rsid w:val="35977693"/>
    <w:rsid w:val="359F29EC"/>
    <w:rsid w:val="36032F7B"/>
    <w:rsid w:val="36072A71"/>
    <w:rsid w:val="36633A19"/>
    <w:rsid w:val="367C15FD"/>
    <w:rsid w:val="369B6CB0"/>
    <w:rsid w:val="36CA1CEB"/>
    <w:rsid w:val="36CA3A99"/>
    <w:rsid w:val="36D95B2A"/>
    <w:rsid w:val="36E96615"/>
    <w:rsid w:val="3741188C"/>
    <w:rsid w:val="37C16C4A"/>
    <w:rsid w:val="37FD1F8D"/>
    <w:rsid w:val="38080D1C"/>
    <w:rsid w:val="3814321D"/>
    <w:rsid w:val="386D5023"/>
    <w:rsid w:val="387939C8"/>
    <w:rsid w:val="38E3083D"/>
    <w:rsid w:val="38FA7DB5"/>
    <w:rsid w:val="396B3311"/>
    <w:rsid w:val="39812B34"/>
    <w:rsid w:val="398A52D1"/>
    <w:rsid w:val="398C10E2"/>
    <w:rsid w:val="3995038E"/>
    <w:rsid w:val="39A22AAB"/>
    <w:rsid w:val="39B64335"/>
    <w:rsid w:val="39BA4298"/>
    <w:rsid w:val="39C15CC7"/>
    <w:rsid w:val="39FD5F33"/>
    <w:rsid w:val="3A011098"/>
    <w:rsid w:val="3A06303A"/>
    <w:rsid w:val="3A092E06"/>
    <w:rsid w:val="3A184B1B"/>
    <w:rsid w:val="3A3F0FB4"/>
    <w:rsid w:val="3AAF1923"/>
    <w:rsid w:val="3AEE73F7"/>
    <w:rsid w:val="3AFE373D"/>
    <w:rsid w:val="3B0752BB"/>
    <w:rsid w:val="3B0A0908"/>
    <w:rsid w:val="3B42742C"/>
    <w:rsid w:val="3B9D5C20"/>
    <w:rsid w:val="3BA048D6"/>
    <w:rsid w:val="3BBF5B96"/>
    <w:rsid w:val="3BCB6C26"/>
    <w:rsid w:val="3BD86C58"/>
    <w:rsid w:val="3C1C2EC9"/>
    <w:rsid w:val="3C316AE1"/>
    <w:rsid w:val="3C340332"/>
    <w:rsid w:val="3C366F2E"/>
    <w:rsid w:val="3C3814A4"/>
    <w:rsid w:val="3CBC002D"/>
    <w:rsid w:val="3CBE0765"/>
    <w:rsid w:val="3D557CEA"/>
    <w:rsid w:val="3DB159B2"/>
    <w:rsid w:val="3DB37034"/>
    <w:rsid w:val="3DD353CE"/>
    <w:rsid w:val="3DEC0798"/>
    <w:rsid w:val="3DFA4C63"/>
    <w:rsid w:val="3E1A784B"/>
    <w:rsid w:val="3E1F7CC0"/>
    <w:rsid w:val="3E9B5F83"/>
    <w:rsid w:val="3ECF7E9E"/>
    <w:rsid w:val="3EE6168C"/>
    <w:rsid w:val="403B27A5"/>
    <w:rsid w:val="40443B54"/>
    <w:rsid w:val="40774EB8"/>
    <w:rsid w:val="40A1034A"/>
    <w:rsid w:val="40F40090"/>
    <w:rsid w:val="40FC6F44"/>
    <w:rsid w:val="412D70FE"/>
    <w:rsid w:val="4152120A"/>
    <w:rsid w:val="416C40CA"/>
    <w:rsid w:val="4190451C"/>
    <w:rsid w:val="419D0727"/>
    <w:rsid w:val="41A2189A"/>
    <w:rsid w:val="41A2716B"/>
    <w:rsid w:val="41B96BE3"/>
    <w:rsid w:val="41BD4926"/>
    <w:rsid w:val="41D50279"/>
    <w:rsid w:val="41EB23AA"/>
    <w:rsid w:val="41F13778"/>
    <w:rsid w:val="42383FAC"/>
    <w:rsid w:val="424B0183"/>
    <w:rsid w:val="428C6F7A"/>
    <w:rsid w:val="429A6A15"/>
    <w:rsid w:val="42BE0955"/>
    <w:rsid w:val="42C622A5"/>
    <w:rsid w:val="42DC0DDB"/>
    <w:rsid w:val="43525542"/>
    <w:rsid w:val="435B1450"/>
    <w:rsid w:val="43A0045A"/>
    <w:rsid w:val="43B0789D"/>
    <w:rsid w:val="43B97DAC"/>
    <w:rsid w:val="43DE42AE"/>
    <w:rsid w:val="44330ECF"/>
    <w:rsid w:val="44352E99"/>
    <w:rsid w:val="443B72BA"/>
    <w:rsid w:val="443C3C76"/>
    <w:rsid w:val="44586305"/>
    <w:rsid w:val="44DF2E05"/>
    <w:rsid w:val="45097E82"/>
    <w:rsid w:val="457D22FD"/>
    <w:rsid w:val="45957241"/>
    <w:rsid w:val="459D0E06"/>
    <w:rsid w:val="459D44EA"/>
    <w:rsid w:val="45A55DFD"/>
    <w:rsid w:val="45B85B30"/>
    <w:rsid w:val="45DE6424"/>
    <w:rsid w:val="460C5E7C"/>
    <w:rsid w:val="46333408"/>
    <w:rsid w:val="464C521F"/>
    <w:rsid w:val="46C44060"/>
    <w:rsid w:val="46E42955"/>
    <w:rsid w:val="46FE3A16"/>
    <w:rsid w:val="47136D96"/>
    <w:rsid w:val="472965B9"/>
    <w:rsid w:val="47411B55"/>
    <w:rsid w:val="475278BE"/>
    <w:rsid w:val="47737835"/>
    <w:rsid w:val="47A615AF"/>
    <w:rsid w:val="47FE35A2"/>
    <w:rsid w:val="48221986"/>
    <w:rsid w:val="48465639"/>
    <w:rsid w:val="491F36CB"/>
    <w:rsid w:val="493D5513"/>
    <w:rsid w:val="4941408E"/>
    <w:rsid w:val="494D2CAE"/>
    <w:rsid w:val="496F29A9"/>
    <w:rsid w:val="498134E7"/>
    <w:rsid w:val="49A168DB"/>
    <w:rsid w:val="49A40659"/>
    <w:rsid w:val="4A2117CA"/>
    <w:rsid w:val="4A25750C"/>
    <w:rsid w:val="4B5D2CD5"/>
    <w:rsid w:val="4B6127C6"/>
    <w:rsid w:val="4C017B05"/>
    <w:rsid w:val="4C6D519A"/>
    <w:rsid w:val="4CBB4158"/>
    <w:rsid w:val="4CBB63B4"/>
    <w:rsid w:val="4CFE515E"/>
    <w:rsid w:val="4D2515D1"/>
    <w:rsid w:val="4D667004"/>
    <w:rsid w:val="4DD20112"/>
    <w:rsid w:val="4DDC6134"/>
    <w:rsid w:val="4E962786"/>
    <w:rsid w:val="4ED35E2E"/>
    <w:rsid w:val="4EFD2083"/>
    <w:rsid w:val="4F1D07B2"/>
    <w:rsid w:val="4F4C1097"/>
    <w:rsid w:val="4F732AC8"/>
    <w:rsid w:val="4F7A04DB"/>
    <w:rsid w:val="4F9A44F8"/>
    <w:rsid w:val="4FDA7EAF"/>
    <w:rsid w:val="4FEE214E"/>
    <w:rsid w:val="503F29AA"/>
    <w:rsid w:val="506463C1"/>
    <w:rsid w:val="50720FD1"/>
    <w:rsid w:val="50974594"/>
    <w:rsid w:val="50B9375A"/>
    <w:rsid w:val="50C07F8E"/>
    <w:rsid w:val="50EC48E0"/>
    <w:rsid w:val="50EF617E"/>
    <w:rsid w:val="51000B4F"/>
    <w:rsid w:val="51025EB1"/>
    <w:rsid w:val="513A46E4"/>
    <w:rsid w:val="5147420C"/>
    <w:rsid w:val="516C7D38"/>
    <w:rsid w:val="51AB479B"/>
    <w:rsid w:val="51AC4792"/>
    <w:rsid w:val="51E61291"/>
    <w:rsid w:val="51E8779D"/>
    <w:rsid w:val="52776C3E"/>
    <w:rsid w:val="527A5569"/>
    <w:rsid w:val="527C6137"/>
    <w:rsid w:val="528A121C"/>
    <w:rsid w:val="52A03ABE"/>
    <w:rsid w:val="52B92EE7"/>
    <w:rsid w:val="52E77A54"/>
    <w:rsid w:val="530A2C11"/>
    <w:rsid w:val="53230361"/>
    <w:rsid w:val="5338074B"/>
    <w:rsid w:val="535F6031"/>
    <w:rsid w:val="53C102A5"/>
    <w:rsid w:val="53CA4BF5"/>
    <w:rsid w:val="53F25ADF"/>
    <w:rsid w:val="54181E8F"/>
    <w:rsid w:val="542E4D92"/>
    <w:rsid w:val="54543154"/>
    <w:rsid w:val="54554278"/>
    <w:rsid w:val="54A35BFD"/>
    <w:rsid w:val="551F68CA"/>
    <w:rsid w:val="55222FC6"/>
    <w:rsid w:val="553E76D4"/>
    <w:rsid w:val="55B1434A"/>
    <w:rsid w:val="55E55DA1"/>
    <w:rsid w:val="561346BC"/>
    <w:rsid w:val="56222B52"/>
    <w:rsid w:val="5697709C"/>
    <w:rsid w:val="569A6B8C"/>
    <w:rsid w:val="56A65531"/>
    <w:rsid w:val="56C1236A"/>
    <w:rsid w:val="56EC428C"/>
    <w:rsid w:val="56F00EA2"/>
    <w:rsid w:val="56F52014"/>
    <w:rsid w:val="571B5F1F"/>
    <w:rsid w:val="57266671"/>
    <w:rsid w:val="57296C58"/>
    <w:rsid w:val="5765363E"/>
    <w:rsid w:val="579D6934"/>
    <w:rsid w:val="580F5357"/>
    <w:rsid w:val="582E1C82"/>
    <w:rsid w:val="58627B7D"/>
    <w:rsid w:val="58C36C22"/>
    <w:rsid w:val="593C217C"/>
    <w:rsid w:val="596811C3"/>
    <w:rsid w:val="596E5AD7"/>
    <w:rsid w:val="59814033"/>
    <w:rsid w:val="59D5227A"/>
    <w:rsid w:val="59E44DC2"/>
    <w:rsid w:val="5A2F3A8F"/>
    <w:rsid w:val="5A307F33"/>
    <w:rsid w:val="5A3317D1"/>
    <w:rsid w:val="5A50198F"/>
    <w:rsid w:val="5ACB37B8"/>
    <w:rsid w:val="5B33135D"/>
    <w:rsid w:val="5B4041A6"/>
    <w:rsid w:val="5B6A162C"/>
    <w:rsid w:val="5BD30872"/>
    <w:rsid w:val="5BD627DE"/>
    <w:rsid w:val="5C2E6591"/>
    <w:rsid w:val="5C6B1BF9"/>
    <w:rsid w:val="5CA029F3"/>
    <w:rsid w:val="5CA644DC"/>
    <w:rsid w:val="5CD647C9"/>
    <w:rsid w:val="5CE26FEB"/>
    <w:rsid w:val="5CE31D7E"/>
    <w:rsid w:val="5CE32DCE"/>
    <w:rsid w:val="5D740137"/>
    <w:rsid w:val="5D79399F"/>
    <w:rsid w:val="5D944335"/>
    <w:rsid w:val="5D9562FF"/>
    <w:rsid w:val="5DE5041D"/>
    <w:rsid w:val="5E0E422D"/>
    <w:rsid w:val="5E5166CA"/>
    <w:rsid w:val="5E8171A1"/>
    <w:rsid w:val="5E9C7B12"/>
    <w:rsid w:val="5EB033F0"/>
    <w:rsid w:val="5EB11A7B"/>
    <w:rsid w:val="5F182D44"/>
    <w:rsid w:val="5F3538F6"/>
    <w:rsid w:val="5F3C4C84"/>
    <w:rsid w:val="5F41673E"/>
    <w:rsid w:val="5F465B03"/>
    <w:rsid w:val="5F6F2086"/>
    <w:rsid w:val="600D03CE"/>
    <w:rsid w:val="60150B9A"/>
    <w:rsid w:val="60651FB9"/>
    <w:rsid w:val="60762418"/>
    <w:rsid w:val="608368E3"/>
    <w:rsid w:val="608773F7"/>
    <w:rsid w:val="60CD3FF8"/>
    <w:rsid w:val="616447D5"/>
    <w:rsid w:val="6166248C"/>
    <w:rsid w:val="619A00DD"/>
    <w:rsid w:val="61A15272"/>
    <w:rsid w:val="61A62889"/>
    <w:rsid w:val="61B01959"/>
    <w:rsid w:val="61CD42B9"/>
    <w:rsid w:val="61D53F6A"/>
    <w:rsid w:val="61E25EAC"/>
    <w:rsid w:val="620B5D15"/>
    <w:rsid w:val="62195750"/>
    <w:rsid w:val="62203570"/>
    <w:rsid w:val="622A170C"/>
    <w:rsid w:val="622B0FE0"/>
    <w:rsid w:val="623845DF"/>
    <w:rsid w:val="62522C3E"/>
    <w:rsid w:val="6303553A"/>
    <w:rsid w:val="63701F0F"/>
    <w:rsid w:val="63C67212"/>
    <w:rsid w:val="63C72099"/>
    <w:rsid w:val="646A04A1"/>
    <w:rsid w:val="6477050C"/>
    <w:rsid w:val="647B7FFD"/>
    <w:rsid w:val="64872E45"/>
    <w:rsid w:val="64A21A2D"/>
    <w:rsid w:val="64B4350F"/>
    <w:rsid w:val="64F41B5D"/>
    <w:rsid w:val="65233502"/>
    <w:rsid w:val="656415B4"/>
    <w:rsid w:val="65705687"/>
    <w:rsid w:val="658F2C3D"/>
    <w:rsid w:val="65E27442"/>
    <w:rsid w:val="65E46075"/>
    <w:rsid w:val="65E47E23"/>
    <w:rsid w:val="66285F62"/>
    <w:rsid w:val="662D17CA"/>
    <w:rsid w:val="66540B05"/>
    <w:rsid w:val="669E6224"/>
    <w:rsid w:val="66E73F82"/>
    <w:rsid w:val="66F93534"/>
    <w:rsid w:val="66FB71D3"/>
    <w:rsid w:val="671C2C60"/>
    <w:rsid w:val="673C7CA9"/>
    <w:rsid w:val="67631FF9"/>
    <w:rsid w:val="677F5229"/>
    <w:rsid w:val="67A4218A"/>
    <w:rsid w:val="67C23FB3"/>
    <w:rsid w:val="67FC1454"/>
    <w:rsid w:val="681517AE"/>
    <w:rsid w:val="683230C8"/>
    <w:rsid w:val="68623328"/>
    <w:rsid w:val="68701E42"/>
    <w:rsid w:val="68A50127"/>
    <w:rsid w:val="68AB4C28"/>
    <w:rsid w:val="68B7537B"/>
    <w:rsid w:val="69012A9A"/>
    <w:rsid w:val="690A7BA1"/>
    <w:rsid w:val="69313380"/>
    <w:rsid w:val="693966D8"/>
    <w:rsid w:val="69396BA2"/>
    <w:rsid w:val="693E5A9D"/>
    <w:rsid w:val="69EE06D6"/>
    <w:rsid w:val="6ABC3EF9"/>
    <w:rsid w:val="6ACB1211"/>
    <w:rsid w:val="6AE669FD"/>
    <w:rsid w:val="6AE97F9D"/>
    <w:rsid w:val="6AF428B7"/>
    <w:rsid w:val="6B080110"/>
    <w:rsid w:val="6B283352"/>
    <w:rsid w:val="6B8974A3"/>
    <w:rsid w:val="6B8E2D0B"/>
    <w:rsid w:val="6BAE0CB8"/>
    <w:rsid w:val="6BC02799"/>
    <w:rsid w:val="6C0C4DF0"/>
    <w:rsid w:val="6C196431"/>
    <w:rsid w:val="6C5630FD"/>
    <w:rsid w:val="6C57134F"/>
    <w:rsid w:val="6C830396"/>
    <w:rsid w:val="6CAB36D8"/>
    <w:rsid w:val="6CB542C8"/>
    <w:rsid w:val="6D0F39D8"/>
    <w:rsid w:val="6D105413"/>
    <w:rsid w:val="6D140D7C"/>
    <w:rsid w:val="6D4F0C03"/>
    <w:rsid w:val="6D5E670D"/>
    <w:rsid w:val="6D60276C"/>
    <w:rsid w:val="6D6313D2"/>
    <w:rsid w:val="6D9B1E51"/>
    <w:rsid w:val="6DA84CD4"/>
    <w:rsid w:val="6DD135E5"/>
    <w:rsid w:val="6DE17AA3"/>
    <w:rsid w:val="6DFF1C9E"/>
    <w:rsid w:val="6E033F65"/>
    <w:rsid w:val="6E1F726A"/>
    <w:rsid w:val="6EAD34A8"/>
    <w:rsid w:val="6EC10D02"/>
    <w:rsid w:val="6EE61627"/>
    <w:rsid w:val="6F2538D0"/>
    <w:rsid w:val="6F38269A"/>
    <w:rsid w:val="6F675D4D"/>
    <w:rsid w:val="6F7678BA"/>
    <w:rsid w:val="6F936D70"/>
    <w:rsid w:val="6FA76EF5"/>
    <w:rsid w:val="6FAD6CDB"/>
    <w:rsid w:val="70115A26"/>
    <w:rsid w:val="70357BF9"/>
    <w:rsid w:val="705C6010"/>
    <w:rsid w:val="70626515"/>
    <w:rsid w:val="70A64653"/>
    <w:rsid w:val="70B76860"/>
    <w:rsid w:val="70DE203F"/>
    <w:rsid w:val="70F21646"/>
    <w:rsid w:val="71032246"/>
    <w:rsid w:val="71211CA2"/>
    <w:rsid w:val="713F23B2"/>
    <w:rsid w:val="715A71EC"/>
    <w:rsid w:val="715E6CDC"/>
    <w:rsid w:val="71646858"/>
    <w:rsid w:val="71777D9E"/>
    <w:rsid w:val="71836742"/>
    <w:rsid w:val="71B83C78"/>
    <w:rsid w:val="71D405D6"/>
    <w:rsid w:val="722053CB"/>
    <w:rsid w:val="72264621"/>
    <w:rsid w:val="726246F7"/>
    <w:rsid w:val="728929BB"/>
    <w:rsid w:val="728D4703"/>
    <w:rsid w:val="72AD0C33"/>
    <w:rsid w:val="72B8241C"/>
    <w:rsid w:val="72D51DC5"/>
    <w:rsid w:val="72D82ABE"/>
    <w:rsid w:val="731D6723"/>
    <w:rsid w:val="734737A0"/>
    <w:rsid w:val="734D525A"/>
    <w:rsid w:val="74826AAD"/>
    <w:rsid w:val="74996FAB"/>
    <w:rsid w:val="74B41A7E"/>
    <w:rsid w:val="75036546"/>
    <w:rsid w:val="7521074C"/>
    <w:rsid w:val="75257FEC"/>
    <w:rsid w:val="755D76B6"/>
    <w:rsid w:val="75640639"/>
    <w:rsid w:val="75711682"/>
    <w:rsid w:val="7578010C"/>
    <w:rsid w:val="75B72E5F"/>
    <w:rsid w:val="75BC4A71"/>
    <w:rsid w:val="75C94940"/>
    <w:rsid w:val="75E85141"/>
    <w:rsid w:val="761958C7"/>
    <w:rsid w:val="762E149D"/>
    <w:rsid w:val="763B75EC"/>
    <w:rsid w:val="76544B51"/>
    <w:rsid w:val="769B008A"/>
    <w:rsid w:val="76EE0B02"/>
    <w:rsid w:val="77212C85"/>
    <w:rsid w:val="7763329E"/>
    <w:rsid w:val="776808B4"/>
    <w:rsid w:val="776C2210"/>
    <w:rsid w:val="77A22D00"/>
    <w:rsid w:val="77B37656"/>
    <w:rsid w:val="77B77146"/>
    <w:rsid w:val="77FA34D6"/>
    <w:rsid w:val="782C7B34"/>
    <w:rsid w:val="787212BF"/>
    <w:rsid w:val="792A3948"/>
    <w:rsid w:val="79515378"/>
    <w:rsid w:val="79620314"/>
    <w:rsid w:val="79935FF3"/>
    <w:rsid w:val="799F4335"/>
    <w:rsid w:val="7A08012D"/>
    <w:rsid w:val="7A7D464E"/>
    <w:rsid w:val="7A8C6655"/>
    <w:rsid w:val="7A8D18DB"/>
    <w:rsid w:val="7A9F74A9"/>
    <w:rsid w:val="7AA24727"/>
    <w:rsid w:val="7AC758F2"/>
    <w:rsid w:val="7ACA53E2"/>
    <w:rsid w:val="7AEA1E0E"/>
    <w:rsid w:val="7B4038F6"/>
    <w:rsid w:val="7B450F0D"/>
    <w:rsid w:val="7BA7127F"/>
    <w:rsid w:val="7C1A4147"/>
    <w:rsid w:val="7C705B15"/>
    <w:rsid w:val="7C7B3D97"/>
    <w:rsid w:val="7C7C095E"/>
    <w:rsid w:val="7CAA1027"/>
    <w:rsid w:val="7D230DDA"/>
    <w:rsid w:val="7D252DA4"/>
    <w:rsid w:val="7D65541F"/>
    <w:rsid w:val="7DF1156D"/>
    <w:rsid w:val="7E024E93"/>
    <w:rsid w:val="7E260B81"/>
    <w:rsid w:val="7E350DC4"/>
    <w:rsid w:val="7E97382D"/>
    <w:rsid w:val="7E9B65DC"/>
    <w:rsid w:val="7ED53BCF"/>
    <w:rsid w:val="7EEF18BB"/>
    <w:rsid w:val="7F0F5AB9"/>
    <w:rsid w:val="7F2A644F"/>
    <w:rsid w:val="7F477231"/>
    <w:rsid w:val="7F4C286A"/>
    <w:rsid w:val="7F6C6A68"/>
    <w:rsid w:val="7F713139"/>
    <w:rsid w:val="7F7B10B3"/>
    <w:rsid w:val="7FBD37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楷体_GB2312" w:hAnsi="方正楷体_GB2312" w:eastAsia="方正楷体_GB2312" w:cs="方正楷体_GB2312"/>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表段落1"/>
    <w:basedOn w:val="1"/>
    <w:autoRedefine/>
    <w:qFormat/>
    <w:uiPriority w:val="34"/>
    <w:pPr>
      <w:ind w:firstLine="420" w:firstLine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Times New Roman" w:hAnsi="Times New Roman" w:eastAsia="Times New Roman" w:cs="Times New Roman"/>
      <w:sz w:val="28"/>
      <w:szCs w:val="28"/>
      <w:lang w:val="en-US" w:eastAsia="en-US" w:bidi="ar-SA"/>
    </w:rPr>
  </w:style>
  <w:style w:type="paragraph" w:customStyle="1" w:styleId="12">
    <w:name w:val="南京图表标题"/>
    <w:basedOn w:val="1"/>
    <w:autoRedefine/>
    <w:qFormat/>
    <w:uiPriority w:val="4"/>
    <w:pPr>
      <w:spacing w:before="60" w:after="60"/>
      <w:jc w:val="center"/>
    </w:pPr>
    <w:rPr>
      <w:rFonts w:ascii="Times New Roman" w:hAnsi="Times New Roman" w:eastAsia="仿宋" w:cs="Times New Roman"/>
      <w:b/>
      <w:bCs/>
      <w:kern w:val="0"/>
      <w:sz w:val="24"/>
      <w:szCs w:val="24"/>
    </w:rPr>
  </w:style>
  <w:style w:type="paragraph" w:customStyle="1" w:styleId="13">
    <w:name w:val="南京备注类"/>
    <w:basedOn w:val="1"/>
    <w:autoRedefine/>
    <w:qFormat/>
    <w:uiPriority w:val="0"/>
    <w:pPr>
      <w:ind w:firstLine="200" w:firstLineChars="200"/>
      <w:jc w:val="left"/>
    </w:pPr>
    <w:rPr>
      <w:rFonts w:ascii="Times New Roman" w:hAnsi="Times New Roman" w:eastAsia="仿宋" w:cs="宋体"/>
      <w:kern w:val="0"/>
      <w:sz w:val="24"/>
      <w:szCs w:val="24"/>
    </w:rPr>
  </w:style>
  <w:style w:type="character" w:customStyle="1" w:styleId="14">
    <w:name w:val="font11"/>
    <w:basedOn w:val="8"/>
    <w:qFormat/>
    <w:uiPriority w:val="0"/>
    <w:rPr>
      <w:rFonts w:hint="eastAsia" w:ascii="宋体" w:hAnsi="宋体" w:eastAsia="宋体" w:cs="宋体"/>
      <w:color w:val="000000"/>
      <w:sz w:val="24"/>
      <w:szCs w:val="24"/>
      <w:u w:val="none"/>
    </w:rPr>
  </w:style>
  <w:style w:type="character" w:customStyle="1" w:styleId="15">
    <w:name w:val="font2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4d925f-8143-470d-9459-d49afc02f9f2}">
  <ds:schemaRefs/>
</ds:datastoreItem>
</file>

<file path=docProps/app.xml><?xml version="1.0" encoding="utf-8"?>
<Properties xmlns="http://schemas.openxmlformats.org/officeDocument/2006/extended-properties" xmlns:vt="http://schemas.openxmlformats.org/officeDocument/2006/docPropsVTypes">
  <Pages>17</Pages>
  <Words>1672</Words>
  <Characters>2316</Characters>
  <TotalTime>1</TotalTime>
  <ScaleCrop>false</ScaleCrop>
  <LinksUpToDate>false</LinksUpToDate>
  <CharactersWithSpaces>2480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2026-05-14T02:31:00Z</dcterms:created>
  <dc:creator>W1519</dc:creator>
  <cp:lastModifiedBy>Annabelle</cp:lastModifiedBy>
  <dcterms:modified xsi:type="dcterms:W3CDTF">2026-09-30T11:09:03Z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2026-05-19T11:09:53Z</vt:filetime>
  </property>
  <property fmtid="{D5CDD505-2E9C-101B-9397-08002B2CF9AE}" pid="4" name="KSOTemplateDocerSaveRecord">
    <vt:lpwstr>eyJoZGlkIjoiMDI4M2ZkMDA1YTEzZmYyODY1NmYyOTg2NTJhYjliMTAiLCJ1c2VySWQiOiI2ODczMzIwNTQifQ==</vt:lpwstr>
  </property>
  <property fmtid="{D5CDD505-2E9C-101B-9397-08002B2CF9AE}" pid="5" name="KSOProductBuildVer">
    <vt:lpwstr>2052-12.1.0.28505</vt:lpwstr>
  </property>
  <property fmtid="{D5CDD505-2E9C-101B-9397-08002B2CF9AE}" pid="6" name="ICV">
    <vt:lpwstr>74FEDB787171462BAB7D9618FBBDF27B_13</vt:lpwstr>
  </property>
</Properties>
</file>