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CC9FE2F">
      <w:pPr>
        <w:spacing w:before="480" w:after="480" w:line="288" w:lineRule="auto"/>
        <w:ind w:left="0"/>
        <w:jc w:val="center"/>
        <w:rPr>
          <w:rFonts w:hint="eastAsia" w:ascii="方正小标宋简体" w:hAnsi="方正小标宋简体" w:eastAsia="方正小标宋简体" w:cs="方正小标宋简体"/>
          <w:sz w:val="36"/>
          <w:szCs w:val="36"/>
        </w:rPr>
      </w:pPr>
      <w:r>
        <w:rPr>
          <w:rFonts w:hint="eastAsia" w:ascii="方正小标宋简体" w:hAnsi="方正小标宋简体" w:eastAsia="方正小标宋简体" w:cs="方正小标宋简体"/>
          <w:b/>
          <w:sz w:val="36"/>
          <w:szCs w:val="36"/>
          <w:lang w:val="en-US" w:eastAsia="zh-CN"/>
        </w:rPr>
        <w:t>2</w:t>
      </w:r>
      <w:bookmarkStart w:id="0" w:name="_GoBack"/>
      <w:bookmarkEnd w:id="0"/>
      <w:r>
        <w:rPr>
          <w:rFonts w:hint="eastAsia" w:ascii="方正小标宋简体" w:hAnsi="方正小标宋简体" w:eastAsia="方正小标宋简体" w:cs="方正小标宋简体"/>
          <w:b/>
          <w:sz w:val="36"/>
          <w:szCs w:val="36"/>
          <w:lang w:val="en-US" w:eastAsia="zh-CN"/>
        </w:rPr>
        <w:t>026年水源地环境保护状况评估项目</w:t>
      </w:r>
      <w:r>
        <w:rPr>
          <w:rFonts w:hint="eastAsia" w:ascii="方正小标宋简体" w:hAnsi="方正小标宋简体" w:eastAsia="方正小标宋简体" w:cs="方正小标宋简体"/>
          <w:b/>
          <w:sz w:val="36"/>
          <w:szCs w:val="36"/>
        </w:rPr>
        <w:t>询价评分表</w:t>
      </w:r>
    </w:p>
    <w:tbl>
      <w:tblPr>
        <w:tblStyle w:val="11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55"/>
        <w:gridCol w:w="1196"/>
        <w:gridCol w:w="6217"/>
        <w:gridCol w:w="1022"/>
      </w:tblGrid>
      <w:tr w14:paraId="62CCB9B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8" w:hRule="atLeast"/>
        </w:trPr>
        <w:tc>
          <w:tcPr>
            <w:tcW w:w="455" w:type="dxa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01B5C06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0" w:after="0" w:line="240" w:lineRule="auto"/>
              <w:ind w:left="0" w:right="0" w:firstLine="0"/>
              <w:jc w:val="center"/>
              <w:rPr>
                <w:rFonts w:hint="eastAsia" w:ascii="仿宋" w:hAnsi="仿宋" w:eastAsia="仿宋" w:cs="仿宋"/>
                <w:color w:val="auto"/>
              </w:rPr>
            </w:pPr>
            <w:r>
              <w:rPr>
                <w:rFonts w:hint="eastAsia" w:ascii="仿宋" w:hAnsi="仿宋" w:eastAsia="仿宋" w:cs="仿宋"/>
                <w:b/>
                <w:color w:val="auto"/>
                <w:sz w:val="22"/>
              </w:rPr>
              <w:t>序号</w:t>
            </w:r>
          </w:p>
        </w:tc>
        <w:tc>
          <w:tcPr>
            <w:tcW w:w="1196" w:type="dxa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D596B79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0" w:after="0" w:line="240" w:lineRule="auto"/>
              <w:ind w:left="0" w:right="0" w:firstLine="0"/>
              <w:jc w:val="center"/>
              <w:rPr>
                <w:rFonts w:hint="eastAsia" w:ascii="仿宋" w:hAnsi="仿宋" w:eastAsia="仿宋" w:cs="仿宋"/>
                <w:color w:val="auto"/>
              </w:rPr>
            </w:pPr>
            <w:r>
              <w:rPr>
                <w:rFonts w:hint="eastAsia" w:ascii="仿宋" w:hAnsi="仿宋" w:eastAsia="仿宋" w:cs="仿宋"/>
                <w:b/>
                <w:color w:val="auto"/>
                <w:sz w:val="22"/>
              </w:rPr>
              <w:t>评分因素</w:t>
            </w:r>
          </w:p>
        </w:tc>
        <w:tc>
          <w:tcPr>
            <w:tcW w:w="6217" w:type="dxa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A917429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0" w:after="0" w:line="240" w:lineRule="auto"/>
              <w:ind w:left="0" w:right="0" w:firstLine="0"/>
              <w:jc w:val="center"/>
              <w:rPr>
                <w:rFonts w:hint="eastAsia" w:ascii="仿宋" w:hAnsi="仿宋" w:eastAsia="仿宋" w:cs="仿宋"/>
                <w:color w:val="auto"/>
              </w:rPr>
            </w:pPr>
            <w:r>
              <w:rPr>
                <w:rFonts w:hint="eastAsia" w:ascii="仿宋" w:hAnsi="仿宋" w:eastAsia="仿宋" w:cs="仿宋"/>
                <w:b/>
                <w:color w:val="auto"/>
                <w:sz w:val="22"/>
              </w:rPr>
              <w:t>评审标准</w:t>
            </w:r>
          </w:p>
        </w:tc>
        <w:tc>
          <w:tcPr>
            <w:tcW w:w="1022" w:type="dxa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90C8252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0" w:after="0" w:line="240" w:lineRule="auto"/>
              <w:ind w:left="0" w:right="0" w:firstLine="0"/>
              <w:jc w:val="center"/>
              <w:rPr>
                <w:rFonts w:hint="eastAsia" w:ascii="仿宋" w:hAnsi="仿宋" w:eastAsia="仿宋" w:cs="仿宋"/>
                <w:color w:val="auto"/>
              </w:rPr>
            </w:pPr>
            <w:r>
              <w:rPr>
                <w:rFonts w:hint="eastAsia" w:ascii="仿宋" w:hAnsi="仿宋" w:eastAsia="仿宋" w:cs="仿宋"/>
                <w:b/>
                <w:color w:val="auto"/>
                <w:sz w:val="22"/>
              </w:rPr>
              <w:t>分值</w:t>
            </w:r>
          </w:p>
        </w:tc>
      </w:tr>
      <w:tr w14:paraId="57CB1C9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09" w:hRule="atLeast"/>
        </w:trPr>
        <w:tc>
          <w:tcPr>
            <w:tcW w:w="455" w:type="dxa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E7C67E6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0" w:after="0" w:line="240" w:lineRule="auto"/>
              <w:ind w:left="0" w:right="0" w:firstLine="0"/>
              <w:jc w:val="center"/>
              <w:rPr>
                <w:rFonts w:hint="eastAsia" w:ascii="仿宋" w:hAnsi="仿宋" w:eastAsia="仿宋" w:cs="仿宋"/>
                <w:color w:val="auto"/>
              </w:rPr>
            </w:pPr>
            <w:r>
              <w:rPr>
                <w:rFonts w:hint="eastAsia" w:ascii="仿宋" w:hAnsi="仿宋" w:eastAsia="仿宋" w:cs="仿宋"/>
                <w:b/>
                <w:color w:val="auto"/>
                <w:sz w:val="22"/>
              </w:rPr>
              <w:t>1</w:t>
            </w:r>
          </w:p>
        </w:tc>
        <w:tc>
          <w:tcPr>
            <w:tcW w:w="1196" w:type="dxa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6FE6F76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0" w:after="0" w:line="240" w:lineRule="auto"/>
              <w:ind w:left="0" w:right="0" w:firstLine="0"/>
              <w:jc w:val="center"/>
              <w:rPr>
                <w:rFonts w:hint="eastAsia" w:ascii="仿宋" w:hAnsi="仿宋" w:eastAsia="仿宋" w:cs="仿宋"/>
                <w:color w:val="auto"/>
              </w:rPr>
            </w:pPr>
            <w:r>
              <w:rPr>
                <w:rFonts w:hint="eastAsia" w:ascii="仿宋" w:hAnsi="仿宋" w:eastAsia="仿宋" w:cs="仿宋"/>
                <w:b/>
                <w:color w:val="auto"/>
                <w:sz w:val="22"/>
              </w:rPr>
              <w:t>投标价格</w:t>
            </w:r>
          </w:p>
        </w:tc>
        <w:tc>
          <w:tcPr>
            <w:tcW w:w="6217" w:type="dxa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AEB8694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0" w:after="0" w:line="240" w:lineRule="auto"/>
              <w:ind w:left="0" w:right="0" w:firstLine="0"/>
              <w:jc w:val="both"/>
              <w:rPr>
                <w:rFonts w:hint="eastAsia" w:ascii="仿宋" w:hAnsi="仿宋" w:eastAsia="仿宋" w:cs="仿宋"/>
                <w:color w:val="auto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22"/>
              </w:rPr>
              <w:t>采用低价优先法计算，即满足采购文件要求且投标价格最低的投标报价为评标基准价，其价格分为满分。其他投标供应商的价格分按照下列公式计算（小数点后保留两位）：投标报价得分=</w:t>
            </w:r>
            <w:r>
              <w:rPr>
                <w:rFonts w:hint="eastAsia" w:ascii="仿宋" w:hAnsi="仿宋" w:eastAsia="仿宋" w:cs="仿宋"/>
                <w:color w:val="auto"/>
                <w:sz w:val="22"/>
                <w:lang w:eastAsia="zh-CN"/>
              </w:rPr>
              <w:t>（</w:t>
            </w:r>
            <w:r>
              <w:rPr>
                <w:rFonts w:hint="eastAsia" w:ascii="仿宋" w:hAnsi="仿宋" w:eastAsia="仿宋" w:cs="仿宋"/>
                <w:color w:val="auto"/>
                <w:sz w:val="22"/>
              </w:rPr>
              <w:t>评标基准价／投标报价</w:t>
            </w:r>
            <w:r>
              <w:rPr>
                <w:rFonts w:hint="eastAsia" w:ascii="仿宋" w:hAnsi="仿宋" w:eastAsia="仿宋" w:cs="仿宋"/>
                <w:color w:val="auto"/>
                <w:sz w:val="22"/>
                <w:lang w:eastAsia="zh-CN"/>
              </w:rPr>
              <w:t>）</w:t>
            </w:r>
            <w:r>
              <w:rPr>
                <w:rFonts w:hint="eastAsia" w:ascii="仿宋" w:hAnsi="仿宋" w:eastAsia="仿宋" w:cs="仿宋"/>
                <w:color w:val="auto"/>
                <w:sz w:val="22"/>
              </w:rPr>
              <w:t>×</w:t>
            </w:r>
            <w:r>
              <w:rPr>
                <w:rFonts w:hint="eastAsia" w:ascii="仿宋" w:hAnsi="仿宋" w:eastAsia="仿宋" w:cs="仿宋"/>
                <w:color w:val="auto"/>
                <w:sz w:val="22"/>
                <w:lang w:eastAsia="zh-CN"/>
              </w:rPr>
              <w:t>投标报价分值</w:t>
            </w:r>
          </w:p>
        </w:tc>
        <w:tc>
          <w:tcPr>
            <w:tcW w:w="1022" w:type="dxa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7C1584B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0" w:after="0" w:line="240" w:lineRule="auto"/>
              <w:ind w:left="0" w:right="0" w:firstLine="0"/>
              <w:jc w:val="center"/>
              <w:rPr>
                <w:rFonts w:hint="default" w:ascii="仿宋" w:hAnsi="仿宋" w:eastAsia="仿宋" w:cs="仿宋"/>
                <w:color w:val="auto"/>
                <w:lang w:val="en-US"/>
              </w:rPr>
            </w:pPr>
            <w:r>
              <w:rPr>
                <w:rFonts w:hint="eastAsia" w:ascii="仿宋" w:hAnsi="仿宋" w:eastAsia="仿宋" w:cs="仿宋"/>
                <w:color w:val="auto"/>
                <w:sz w:val="22"/>
                <w:lang w:val="en-US" w:eastAsia="zh-CN"/>
              </w:rPr>
              <w:t>20</w:t>
            </w:r>
          </w:p>
        </w:tc>
      </w:tr>
      <w:tr w14:paraId="045FB63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60" w:hRule="atLeast"/>
        </w:trPr>
        <w:tc>
          <w:tcPr>
            <w:tcW w:w="455" w:type="dxa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CADF852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0" w:after="0" w:line="240" w:lineRule="auto"/>
              <w:ind w:left="0" w:right="0" w:firstLine="0"/>
              <w:jc w:val="center"/>
              <w:rPr>
                <w:rFonts w:hint="eastAsia" w:ascii="仿宋" w:hAnsi="仿宋" w:eastAsia="仿宋" w:cs="仿宋"/>
                <w:b/>
                <w:color w:val="auto"/>
                <w:sz w:val="22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color w:val="auto"/>
                <w:sz w:val="22"/>
                <w:lang w:val="en-US" w:eastAsia="zh-CN"/>
              </w:rPr>
              <w:t>2</w:t>
            </w:r>
          </w:p>
        </w:tc>
        <w:tc>
          <w:tcPr>
            <w:tcW w:w="1196" w:type="dxa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FD724BB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0" w:after="0" w:line="240" w:lineRule="auto"/>
              <w:ind w:left="0" w:right="0" w:firstLine="0"/>
              <w:jc w:val="center"/>
              <w:rPr>
                <w:rFonts w:hint="default" w:ascii="仿宋" w:hAnsi="仿宋" w:eastAsia="仿宋" w:cs="仿宋"/>
                <w:b/>
                <w:color w:val="auto"/>
                <w:sz w:val="22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color w:val="auto"/>
                <w:sz w:val="22"/>
                <w:lang w:val="en-US" w:eastAsia="zh-CN"/>
              </w:rPr>
              <w:t>项目理解</w:t>
            </w:r>
          </w:p>
        </w:tc>
        <w:tc>
          <w:tcPr>
            <w:tcW w:w="6217" w:type="dxa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0492ECB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0" w:after="0" w:line="240" w:lineRule="auto"/>
              <w:ind w:left="0" w:right="0" w:firstLine="0"/>
              <w:jc w:val="both"/>
              <w:rPr>
                <w:rFonts w:hint="eastAsia" w:ascii="仿宋" w:hAnsi="仿宋" w:eastAsia="仿宋" w:cs="仿宋"/>
                <w:color w:val="auto"/>
                <w:sz w:val="22"/>
                <w:lang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22"/>
                <w:lang w:val="en-US" w:eastAsia="zh-CN"/>
              </w:rPr>
              <w:t>根据对水源地基本情况、水环境现状、存在问题的理解和掌握程度评分：①理解全面深入、现状掌握扎实准确，得10分；</w:t>
            </w:r>
            <w:r>
              <w:rPr>
                <w:rFonts w:hint="eastAsia" w:ascii="仿宋" w:hAnsi="仿宋" w:eastAsia="仿宋" w:cs="仿宋"/>
                <w:color w:val="auto"/>
                <w:sz w:val="22"/>
                <w:lang w:val="en-US" w:eastAsia="zh-CN"/>
              </w:rPr>
              <w:br w:type="textWrapping"/>
            </w:r>
            <w:r>
              <w:rPr>
                <w:rFonts w:hint="eastAsia" w:ascii="仿宋" w:hAnsi="仿宋" w:eastAsia="仿宋" w:cs="仿宋"/>
                <w:color w:val="auto"/>
                <w:sz w:val="22"/>
                <w:lang w:val="en-US" w:eastAsia="zh-CN"/>
              </w:rPr>
              <w:t>②理解较全面、现状掌握较扎实，得5—6分；③理解不够全面、现状掌握一般，得2—3分；④未提供或理解肤浅，得0分。</w:t>
            </w:r>
          </w:p>
        </w:tc>
        <w:tc>
          <w:tcPr>
            <w:tcW w:w="1022" w:type="dxa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5443144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0" w:after="0" w:line="240" w:lineRule="auto"/>
              <w:ind w:left="0" w:right="0" w:firstLine="0"/>
              <w:jc w:val="center"/>
              <w:rPr>
                <w:rFonts w:hint="default" w:ascii="仿宋" w:hAnsi="仿宋" w:eastAsia="仿宋" w:cs="仿宋"/>
                <w:color w:val="auto"/>
                <w:sz w:val="22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22"/>
                <w:lang w:val="en-US" w:eastAsia="zh-CN"/>
              </w:rPr>
              <w:t>10</w:t>
            </w:r>
          </w:p>
        </w:tc>
      </w:tr>
      <w:tr w14:paraId="4B5EC28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1" w:hRule="atLeast"/>
        </w:trPr>
        <w:tc>
          <w:tcPr>
            <w:tcW w:w="455" w:type="dxa"/>
            <w:shd w:val="clear" w:color="auto" w:fill="auto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417DBD5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0" w:after="0" w:line="240" w:lineRule="auto"/>
              <w:ind w:left="0" w:leftChars="0" w:right="0" w:rightChars="0" w:firstLine="0" w:firstLineChars="0"/>
              <w:jc w:val="center"/>
              <w:rPr>
                <w:rFonts w:hint="eastAsia" w:ascii="仿宋" w:hAnsi="仿宋" w:eastAsia="仿宋" w:cs="仿宋"/>
                <w:b/>
                <w:color w:val="auto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/>
                <w:color w:val="auto"/>
                <w:sz w:val="22"/>
                <w:lang w:val="en-US" w:eastAsia="zh-CN"/>
              </w:rPr>
              <w:t>3</w:t>
            </w:r>
          </w:p>
        </w:tc>
        <w:tc>
          <w:tcPr>
            <w:tcW w:w="1196" w:type="dxa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6973B2F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0" w:after="0" w:line="240" w:lineRule="auto"/>
              <w:ind w:left="0" w:right="0" w:firstLine="0"/>
              <w:jc w:val="center"/>
              <w:rPr>
                <w:rFonts w:hint="default" w:ascii="仿宋" w:hAnsi="仿宋" w:eastAsia="仿宋" w:cs="仿宋"/>
                <w:b/>
                <w:color w:val="auto"/>
                <w:sz w:val="22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color w:val="auto"/>
                <w:sz w:val="22"/>
                <w:lang w:val="en-US" w:eastAsia="zh-CN"/>
              </w:rPr>
              <w:t>技术方案</w:t>
            </w:r>
          </w:p>
        </w:tc>
        <w:tc>
          <w:tcPr>
            <w:tcW w:w="6217" w:type="dxa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482EEC0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0" w:after="0" w:line="240" w:lineRule="auto"/>
              <w:ind w:left="0" w:leftChars="0" w:right="0" w:rightChars="0" w:firstLine="0" w:firstLineChars="0"/>
              <w:rPr>
                <w:rFonts w:hint="eastAsia" w:ascii="仿宋" w:hAnsi="仿宋" w:eastAsia="仿宋" w:cs="仿宋"/>
                <w:color w:val="auto"/>
                <w:spacing w:val="-2"/>
                <w:sz w:val="22"/>
              </w:rPr>
            </w:pPr>
            <w:r>
              <w:rPr>
                <w:rFonts w:hint="eastAsia" w:ascii="仿宋" w:hAnsi="仿宋" w:eastAsia="仿宋" w:cs="仿宋"/>
                <w:color w:val="auto"/>
                <w:sz w:val="22"/>
                <w:lang w:val="en-US" w:eastAsia="zh-CN"/>
              </w:rPr>
              <w:t>根据技术方案的科学性、完整性、可行性评分：①方案全面科学、技术路线清晰可行、方法先进，得13—15分；②方案较全面、技术路线基本可行，得9—10分；③方案不够全面、技术路线有缺陷，得4—5分；④未提供或方案不可行，得0分。</w:t>
            </w:r>
          </w:p>
        </w:tc>
        <w:tc>
          <w:tcPr>
            <w:tcW w:w="1022" w:type="dxa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5B9E28B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0" w:after="0" w:line="240" w:lineRule="auto"/>
              <w:ind w:left="0" w:leftChars="0" w:right="0" w:rightChars="0" w:firstLine="0" w:firstLineChars="0"/>
              <w:jc w:val="center"/>
              <w:rPr>
                <w:rFonts w:hint="default" w:ascii="仿宋" w:hAnsi="仿宋" w:eastAsia="仿宋" w:cs="仿宋"/>
                <w:color w:val="auto"/>
                <w:sz w:val="22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22"/>
                <w:lang w:val="en-US" w:eastAsia="zh-CN"/>
              </w:rPr>
              <w:t>15</w:t>
            </w:r>
          </w:p>
        </w:tc>
      </w:tr>
      <w:tr w14:paraId="3F29E73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1" w:hRule="atLeast"/>
        </w:trPr>
        <w:tc>
          <w:tcPr>
            <w:tcW w:w="455" w:type="dxa"/>
            <w:shd w:val="clear" w:color="auto" w:fill="auto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0331C31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0" w:after="0" w:line="240" w:lineRule="auto"/>
              <w:ind w:left="0" w:leftChars="0" w:right="0" w:rightChars="0" w:firstLine="0" w:firstLineChars="0"/>
              <w:jc w:val="center"/>
              <w:rPr>
                <w:rFonts w:hint="eastAsia" w:ascii="仿宋" w:hAnsi="仿宋" w:eastAsia="仿宋" w:cs="仿宋"/>
                <w:color w:val="auto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/>
                <w:color w:val="auto"/>
                <w:sz w:val="22"/>
                <w:lang w:val="en-US" w:eastAsia="zh-CN"/>
              </w:rPr>
              <w:t>4</w:t>
            </w:r>
          </w:p>
        </w:tc>
        <w:tc>
          <w:tcPr>
            <w:tcW w:w="1196" w:type="dxa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C45FFC4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0" w:after="0" w:line="240" w:lineRule="auto"/>
              <w:ind w:left="0" w:right="0" w:firstLine="0"/>
              <w:jc w:val="center"/>
              <w:rPr>
                <w:rFonts w:hint="eastAsia" w:ascii="仿宋" w:hAnsi="仿宋" w:eastAsia="仿宋" w:cs="仿宋"/>
                <w:b/>
                <w:color w:val="auto"/>
                <w:sz w:val="22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color w:val="auto"/>
                <w:sz w:val="22"/>
                <w:lang w:val="en-US" w:eastAsia="zh-CN"/>
              </w:rPr>
              <w:t>类似业绩</w:t>
            </w:r>
          </w:p>
        </w:tc>
        <w:tc>
          <w:tcPr>
            <w:tcW w:w="6217" w:type="dxa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679BE6C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0" w:after="0" w:line="240" w:lineRule="auto"/>
              <w:ind w:left="0" w:leftChars="0" w:right="0" w:rightChars="0" w:firstLine="0" w:firstLineChars="0"/>
              <w:rPr>
                <w:rFonts w:hint="default" w:ascii="仿宋" w:hAnsi="仿宋" w:eastAsia="仿宋" w:cs="仿宋"/>
                <w:color w:val="auto"/>
                <w:spacing w:val="-2"/>
                <w:sz w:val="22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22"/>
                <w:lang w:val="en-US" w:eastAsia="zh-CN"/>
              </w:rPr>
              <w:t>根据近3年类似项目业绩评分：</w:t>
            </w:r>
            <w:r>
              <w:rPr>
                <w:rFonts w:hint="eastAsia" w:ascii="仿宋" w:hAnsi="仿宋" w:eastAsia="仿宋" w:cs="仿宋"/>
                <w:color w:val="auto"/>
                <w:sz w:val="22"/>
                <w:lang w:val="en-US" w:eastAsia="zh-CN"/>
              </w:rPr>
              <w:br w:type="textWrapping"/>
            </w:r>
            <w:r>
              <w:rPr>
                <w:rFonts w:hint="eastAsia" w:ascii="仿宋" w:hAnsi="仿宋" w:eastAsia="仿宋" w:cs="仿宋"/>
                <w:color w:val="auto"/>
                <w:sz w:val="22"/>
                <w:lang w:val="en-US" w:eastAsia="zh-CN"/>
              </w:rPr>
              <w:t>①每承担1个集中式饮用水水源地环境状况评估项目，得5分，最高15分；</w:t>
            </w:r>
            <w:r>
              <w:rPr>
                <w:rFonts w:hint="eastAsia" w:ascii="仿宋" w:hAnsi="仿宋" w:eastAsia="仿宋" w:cs="仿宋"/>
                <w:color w:val="auto"/>
                <w:sz w:val="22"/>
                <w:lang w:val="en-US" w:eastAsia="zh-CN"/>
              </w:rPr>
              <w:br w:type="textWrapping"/>
            </w:r>
            <w:r>
              <w:rPr>
                <w:rFonts w:hint="eastAsia" w:ascii="仿宋" w:hAnsi="仿宋" w:eastAsia="仿宋" w:cs="仿宋"/>
                <w:color w:val="auto"/>
                <w:sz w:val="22"/>
                <w:lang w:val="en-US" w:eastAsia="zh-CN"/>
              </w:rPr>
              <w:t>②每承担1个</w:t>
            </w:r>
            <w:r>
              <w:rPr>
                <w:rFonts w:hint="eastAsia"/>
                <w:lang w:val="en-US" w:eastAsia="zh-CN"/>
              </w:rPr>
              <w:t>类似项目业绩</w:t>
            </w:r>
            <w:r>
              <w:rPr>
                <w:rFonts w:hint="eastAsia" w:ascii="仿宋" w:hAnsi="仿宋" w:eastAsia="仿宋" w:cs="仿宋"/>
                <w:color w:val="auto"/>
                <w:sz w:val="22"/>
                <w:lang w:val="en-US" w:eastAsia="zh-CN"/>
              </w:rPr>
              <w:t>，得1分，最高5分；</w:t>
            </w:r>
            <w:r>
              <w:rPr>
                <w:rFonts w:hint="eastAsia" w:ascii="仿宋" w:hAnsi="仿宋" w:eastAsia="仿宋" w:cs="仿宋"/>
                <w:color w:val="auto"/>
                <w:sz w:val="22"/>
                <w:lang w:val="en-US" w:eastAsia="zh-CN"/>
              </w:rPr>
              <w:br w:type="textWrapping"/>
            </w:r>
            <w:r>
              <w:rPr>
                <w:rFonts w:hint="eastAsia" w:ascii="仿宋" w:hAnsi="仿宋" w:eastAsia="仿宋" w:cs="仿宋"/>
                <w:color w:val="auto"/>
                <w:sz w:val="22"/>
                <w:lang w:val="en-US" w:eastAsia="zh-CN"/>
              </w:rPr>
              <w:t>（须提供合同或委托书复印件并加盖公章，以合同签订时间为准）</w:t>
            </w:r>
          </w:p>
        </w:tc>
        <w:tc>
          <w:tcPr>
            <w:tcW w:w="1022" w:type="dxa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7C620A7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0" w:after="0" w:line="240" w:lineRule="auto"/>
              <w:ind w:left="0" w:leftChars="0" w:right="0" w:rightChars="0" w:firstLine="0" w:firstLineChars="0"/>
              <w:jc w:val="center"/>
              <w:rPr>
                <w:rFonts w:hint="default" w:ascii="仿宋" w:hAnsi="仿宋" w:eastAsia="仿宋" w:cs="仿宋"/>
                <w:color w:val="auto"/>
                <w:sz w:val="21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sz w:val="22"/>
                <w:lang w:val="en-US" w:eastAsia="zh-CN"/>
              </w:rPr>
              <w:t>15</w:t>
            </w:r>
          </w:p>
        </w:tc>
      </w:tr>
      <w:tr w14:paraId="1BFDD5C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455" w:type="dxa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0789D9C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0" w:after="0" w:line="240" w:lineRule="auto"/>
              <w:ind w:left="0" w:right="0" w:firstLine="0"/>
              <w:jc w:val="center"/>
              <w:rPr>
                <w:rFonts w:hint="eastAsia" w:ascii="仿宋" w:hAnsi="仿宋" w:eastAsia="仿宋" w:cs="仿宋"/>
                <w:color w:val="auto"/>
                <w:lang w:eastAsia="zh-CN"/>
              </w:rPr>
            </w:pPr>
            <w:r>
              <w:rPr>
                <w:rFonts w:hint="eastAsia" w:ascii="仿宋" w:hAnsi="仿宋" w:eastAsia="仿宋" w:cs="仿宋"/>
                <w:b/>
                <w:color w:val="auto"/>
                <w:sz w:val="22"/>
                <w:lang w:val="en-US" w:eastAsia="zh-CN"/>
              </w:rPr>
              <w:t>5</w:t>
            </w:r>
          </w:p>
        </w:tc>
        <w:tc>
          <w:tcPr>
            <w:tcW w:w="1196" w:type="dxa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5BD0CC9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0" w:after="0" w:line="240" w:lineRule="auto"/>
              <w:ind w:left="0" w:right="0" w:firstLine="0"/>
              <w:jc w:val="center"/>
              <w:rPr>
                <w:rFonts w:hint="eastAsia" w:ascii="仿宋" w:hAnsi="仿宋" w:eastAsia="仿宋" w:cs="仿宋"/>
                <w:b/>
                <w:color w:val="auto"/>
                <w:sz w:val="22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color w:val="auto"/>
                <w:sz w:val="22"/>
                <w:lang w:val="en-US" w:eastAsia="zh-CN"/>
              </w:rPr>
              <w:t>质量保障</w:t>
            </w:r>
          </w:p>
        </w:tc>
        <w:tc>
          <w:tcPr>
            <w:tcW w:w="6217" w:type="dxa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74D8111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0" w:after="0" w:line="240" w:lineRule="auto"/>
              <w:ind w:left="0" w:leftChars="0" w:right="0" w:rightChars="0" w:firstLine="0" w:firstLineChars="0"/>
              <w:rPr>
                <w:rFonts w:hint="eastAsia" w:ascii="仿宋" w:hAnsi="仿宋" w:eastAsia="仿宋" w:cs="仿宋"/>
                <w:color w:val="auto"/>
                <w:sz w:val="22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sz w:val="22"/>
                <w:lang w:val="en-US" w:eastAsia="zh-CN"/>
              </w:rPr>
              <w:t>根据质量保障体系、质控措施的完善程度评分：</w:t>
            </w:r>
            <w:r>
              <w:rPr>
                <w:rFonts w:hint="eastAsia" w:ascii="仿宋" w:hAnsi="仿宋" w:eastAsia="仿宋" w:cs="仿宋"/>
                <w:color w:val="auto"/>
                <w:sz w:val="22"/>
                <w:lang w:val="en-US" w:eastAsia="zh-CN"/>
              </w:rPr>
              <w:br w:type="textWrapping"/>
            </w:r>
            <w:r>
              <w:rPr>
                <w:rFonts w:hint="eastAsia" w:ascii="仿宋" w:hAnsi="仿宋" w:eastAsia="仿宋" w:cs="仿宋"/>
                <w:color w:val="auto"/>
                <w:sz w:val="22"/>
                <w:lang w:val="en-US" w:eastAsia="zh-CN"/>
              </w:rPr>
              <w:t>①质控措施具体详细、体系完善、可行性强，得15分。</w:t>
            </w:r>
            <w:r>
              <w:rPr>
                <w:rFonts w:hint="eastAsia" w:ascii="仿宋" w:hAnsi="仿宋" w:eastAsia="仿宋" w:cs="仿宋"/>
                <w:color w:val="auto"/>
                <w:sz w:val="22"/>
                <w:lang w:val="en-US" w:eastAsia="zh-CN"/>
              </w:rPr>
              <w:br w:type="textWrapping"/>
            </w:r>
            <w:r>
              <w:rPr>
                <w:rFonts w:hint="eastAsia" w:ascii="仿宋" w:hAnsi="仿宋" w:eastAsia="仿宋" w:cs="仿宋"/>
                <w:color w:val="auto"/>
                <w:sz w:val="22"/>
                <w:lang w:val="en-US" w:eastAsia="zh-CN"/>
              </w:rPr>
              <w:t>②有基本质控措施、较完善，得10分；</w:t>
            </w:r>
            <w:r>
              <w:rPr>
                <w:rFonts w:hint="eastAsia" w:ascii="仿宋" w:hAnsi="仿宋" w:eastAsia="仿宋" w:cs="仿宋"/>
                <w:color w:val="auto"/>
                <w:sz w:val="22"/>
                <w:lang w:val="en-US" w:eastAsia="zh-CN"/>
              </w:rPr>
              <w:br w:type="textWrapping"/>
            </w:r>
            <w:r>
              <w:rPr>
                <w:rFonts w:hint="eastAsia" w:ascii="仿宋" w:hAnsi="仿宋" w:eastAsia="仿宋" w:cs="仿宋"/>
                <w:color w:val="auto"/>
                <w:sz w:val="22"/>
                <w:lang w:val="en-US" w:eastAsia="zh-CN"/>
              </w:rPr>
              <w:t>③质控措施不够具体、可行性较低，得7分；</w:t>
            </w:r>
            <w:r>
              <w:rPr>
                <w:rFonts w:hint="eastAsia" w:ascii="仿宋" w:hAnsi="仿宋" w:eastAsia="仿宋" w:cs="仿宋"/>
                <w:color w:val="auto"/>
                <w:sz w:val="22"/>
                <w:lang w:val="en-US" w:eastAsia="zh-CN"/>
              </w:rPr>
              <w:br w:type="textWrapping"/>
            </w:r>
            <w:r>
              <w:rPr>
                <w:rFonts w:hint="eastAsia" w:ascii="仿宋" w:hAnsi="仿宋" w:eastAsia="仿宋" w:cs="仿宋"/>
                <w:color w:val="auto"/>
                <w:sz w:val="22"/>
                <w:lang w:val="en-US" w:eastAsia="zh-CN"/>
              </w:rPr>
              <w:t>④未提供，得0分。</w:t>
            </w:r>
          </w:p>
        </w:tc>
        <w:tc>
          <w:tcPr>
            <w:tcW w:w="1022" w:type="dxa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1BE3B0E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0" w:after="0" w:line="240" w:lineRule="auto"/>
              <w:ind w:left="0" w:right="0" w:firstLine="0"/>
              <w:jc w:val="center"/>
              <w:rPr>
                <w:rFonts w:hint="default" w:ascii="仿宋" w:hAnsi="仿宋" w:eastAsia="仿宋" w:cs="仿宋"/>
                <w:color w:val="auto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lang w:val="en-US" w:eastAsia="zh-CN"/>
              </w:rPr>
              <w:t>15</w:t>
            </w:r>
          </w:p>
        </w:tc>
      </w:tr>
      <w:tr w14:paraId="082B776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2" w:hRule="atLeast"/>
        </w:trPr>
        <w:tc>
          <w:tcPr>
            <w:tcW w:w="455" w:type="dxa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55781F3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0" w:after="0" w:line="240" w:lineRule="auto"/>
              <w:ind w:left="0" w:right="0" w:firstLine="0"/>
              <w:jc w:val="center"/>
              <w:rPr>
                <w:rFonts w:hint="default" w:ascii="仿宋" w:hAnsi="仿宋" w:eastAsia="仿宋" w:cs="仿宋"/>
                <w:b/>
                <w:color w:val="auto"/>
                <w:sz w:val="22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color w:val="auto"/>
                <w:sz w:val="22"/>
                <w:lang w:val="en-US" w:eastAsia="zh-CN"/>
              </w:rPr>
              <w:t>6</w:t>
            </w:r>
          </w:p>
        </w:tc>
        <w:tc>
          <w:tcPr>
            <w:tcW w:w="1196" w:type="dxa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A605654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0" w:after="0" w:line="240" w:lineRule="auto"/>
              <w:ind w:left="0" w:right="0" w:firstLine="0"/>
              <w:jc w:val="center"/>
              <w:rPr>
                <w:rFonts w:hint="eastAsia" w:ascii="仿宋" w:hAnsi="仿宋" w:eastAsia="仿宋" w:cs="仿宋"/>
                <w:b/>
                <w:color w:val="auto"/>
                <w:sz w:val="22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color w:val="auto"/>
                <w:sz w:val="22"/>
                <w:lang w:val="en-US" w:eastAsia="zh-CN"/>
              </w:rPr>
              <w:t>进度安排</w:t>
            </w:r>
          </w:p>
        </w:tc>
        <w:tc>
          <w:tcPr>
            <w:tcW w:w="6217" w:type="dxa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10CE8AD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0" w:after="0" w:line="240" w:lineRule="auto"/>
              <w:ind w:left="0" w:leftChars="0" w:right="0" w:rightChars="0" w:firstLine="0" w:firstLineChars="0"/>
              <w:rPr>
                <w:rFonts w:hint="eastAsia" w:ascii="仿宋" w:hAnsi="仿宋" w:eastAsia="仿宋" w:cs="仿宋"/>
                <w:color w:val="auto"/>
                <w:sz w:val="21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sz w:val="22"/>
                <w:lang w:val="en-US" w:eastAsia="zh-CN"/>
              </w:rPr>
              <w:t>根据项目进度计划的合理性及保障措施评分：</w:t>
            </w:r>
            <w:r>
              <w:rPr>
                <w:rFonts w:hint="eastAsia" w:ascii="仿宋" w:hAnsi="仿宋" w:eastAsia="仿宋" w:cs="仿宋"/>
                <w:color w:val="auto"/>
                <w:sz w:val="22"/>
                <w:lang w:val="en-US" w:eastAsia="zh-CN"/>
              </w:rPr>
              <w:br w:type="textWrapping"/>
            </w:r>
            <w:r>
              <w:rPr>
                <w:rFonts w:hint="eastAsia" w:ascii="仿宋" w:hAnsi="仿宋" w:eastAsia="仿宋" w:cs="仿宋"/>
                <w:color w:val="auto"/>
                <w:sz w:val="22"/>
                <w:lang w:val="en-US" w:eastAsia="zh-CN"/>
              </w:rPr>
              <w:t>①进度安排科学合理、保障措施有力，得15分；</w:t>
            </w:r>
            <w:r>
              <w:rPr>
                <w:rFonts w:hint="eastAsia" w:ascii="仿宋" w:hAnsi="仿宋" w:eastAsia="仿宋" w:cs="仿宋"/>
                <w:color w:val="auto"/>
                <w:sz w:val="22"/>
                <w:lang w:val="en-US" w:eastAsia="zh-CN"/>
              </w:rPr>
              <w:br w:type="textWrapping"/>
            </w:r>
            <w:r>
              <w:rPr>
                <w:rFonts w:hint="eastAsia" w:ascii="仿宋" w:hAnsi="仿宋" w:eastAsia="仿宋" w:cs="仿宋"/>
                <w:color w:val="auto"/>
                <w:sz w:val="22"/>
                <w:lang w:val="en-US" w:eastAsia="zh-CN"/>
              </w:rPr>
              <w:t>②进度安排较合理、有基本保障措施，得10分；</w:t>
            </w:r>
            <w:r>
              <w:rPr>
                <w:rFonts w:hint="eastAsia" w:ascii="仿宋" w:hAnsi="仿宋" w:eastAsia="仿宋" w:cs="仿宋"/>
                <w:color w:val="auto"/>
                <w:sz w:val="22"/>
                <w:lang w:val="en-US" w:eastAsia="zh-CN"/>
              </w:rPr>
              <w:br w:type="textWrapping"/>
            </w:r>
            <w:r>
              <w:rPr>
                <w:rFonts w:hint="eastAsia" w:ascii="仿宋" w:hAnsi="仿宋" w:eastAsia="仿宋" w:cs="仿宋"/>
                <w:color w:val="auto"/>
                <w:sz w:val="22"/>
                <w:lang w:val="en-US" w:eastAsia="zh-CN"/>
              </w:rPr>
              <w:t>③进度安排不够合理、保障措施不足，得7分；</w:t>
            </w:r>
            <w:r>
              <w:rPr>
                <w:rFonts w:hint="eastAsia" w:ascii="仿宋" w:hAnsi="仿宋" w:eastAsia="仿宋" w:cs="仿宋"/>
                <w:color w:val="auto"/>
                <w:sz w:val="22"/>
                <w:lang w:val="en-US" w:eastAsia="zh-CN"/>
              </w:rPr>
              <w:br w:type="textWrapping"/>
            </w:r>
            <w:r>
              <w:rPr>
                <w:rFonts w:hint="eastAsia" w:ascii="仿宋" w:hAnsi="仿宋" w:eastAsia="仿宋" w:cs="仿宋"/>
                <w:color w:val="auto"/>
                <w:sz w:val="22"/>
                <w:lang w:val="en-US" w:eastAsia="zh-CN"/>
              </w:rPr>
              <w:t>④未提供，得0分。</w:t>
            </w:r>
          </w:p>
        </w:tc>
        <w:tc>
          <w:tcPr>
            <w:tcW w:w="1022" w:type="dxa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001D572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0" w:after="0" w:line="240" w:lineRule="auto"/>
              <w:ind w:left="0" w:right="0" w:firstLine="0"/>
              <w:jc w:val="center"/>
              <w:rPr>
                <w:rFonts w:hint="default" w:ascii="仿宋" w:hAnsi="仿宋" w:eastAsia="仿宋" w:cs="仿宋"/>
                <w:color w:val="auto"/>
                <w:sz w:val="22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22"/>
                <w:lang w:val="en-US" w:eastAsia="zh-CN"/>
              </w:rPr>
              <w:t>15</w:t>
            </w:r>
          </w:p>
        </w:tc>
      </w:tr>
      <w:tr w14:paraId="64F075C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22" w:hRule="atLeast"/>
        </w:trPr>
        <w:tc>
          <w:tcPr>
            <w:tcW w:w="455" w:type="dxa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BC765E5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0" w:after="0" w:line="240" w:lineRule="auto"/>
              <w:ind w:left="0" w:right="0" w:firstLine="0"/>
              <w:jc w:val="center"/>
              <w:rPr>
                <w:rFonts w:hint="eastAsia" w:ascii="仿宋" w:hAnsi="仿宋" w:eastAsia="仿宋" w:cs="仿宋"/>
                <w:color w:val="auto"/>
                <w:lang w:eastAsia="zh-CN"/>
              </w:rPr>
            </w:pPr>
            <w:r>
              <w:rPr>
                <w:rFonts w:hint="eastAsia" w:ascii="仿宋" w:hAnsi="仿宋" w:eastAsia="仿宋" w:cs="仿宋"/>
                <w:b/>
                <w:color w:val="auto"/>
                <w:sz w:val="22"/>
                <w:lang w:val="en-US" w:eastAsia="zh-CN"/>
              </w:rPr>
              <w:t>7</w:t>
            </w:r>
          </w:p>
        </w:tc>
        <w:tc>
          <w:tcPr>
            <w:tcW w:w="1196" w:type="dxa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C81F40B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0" w:after="0" w:line="240" w:lineRule="auto"/>
              <w:ind w:left="0" w:right="0" w:firstLine="0"/>
              <w:jc w:val="center"/>
              <w:rPr>
                <w:rFonts w:hint="eastAsia" w:ascii="仿宋" w:hAnsi="仿宋" w:eastAsia="仿宋" w:cs="仿宋"/>
                <w:b/>
                <w:color w:val="auto"/>
                <w:sz w:val="22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color w:val="auto"/>
                <w:sz w:val="22"/>
                <w:lang w:val="en-US" w:eastAsia="zh-CN"/>
              </w:rPr>
              <w:t>其他</w:t>
            </w:r>
            <w:r>
              <w:rPr>
                <w:rFonts w:hint="eastAsia" w:ascii="仿宋" w:hAnsi="仿宋" w:eastAsia="仿宋" w:cs="仿宋"/>
                <w:b/>
                <w:color w:val="auto"/>
                <w:sz w:val="22"/>
                <w:lang w:eastAsia="zh-CN"/>
              </w:rPr>
              <w:t>服务</w:t>
            </w:r>
          </w:p>
        </w:tc>
        <w:tc>
          <w:tcPr>
            <w:tcW w:w="6217" w:type="dxa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73A0DF0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0" w:after="0" w:line="240" w:lineRule="auto"/>
              <w:ind w:left="0" w:leftChars="0" w:right="0" w:rightChars="0" w:firstLine="0" w:firstLineChars="0"/>
              <w:rPr>
                <w:rFonts w:hint="eastAsia" w:ascii="仿宋" w:hAnsi="仿宋" w:eastAsia="仿宋" w:cs="仿宋"/>
                <w:color w:val="auto"/>
                <w:sz w:val="22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22"/>
                <w:lang w:val="en-US" w:eastAsia="zh-CN"/>
              </w:rPr>
              <w:t>根据服务响应、技术支持、保密承诺等评分：</w:t>
            </w:r>
            <w:r>
              <w:rPr>
                <w:rFonts w:hint="eastAsia" w:ascii="仿宋" w:hAnsi="仿宋" w:eastAsia="仿宋" w:cs="仿宋"/>
                <w:color w:val="auto"/>
                <w:sz w:val="22"/>
                <w:lang w:val="en-US" w:eastAsia="zh-CN"/>
              </w:rPr>
              <w:br w:type="textWrapping"/>
            </w:r>
            <w:r>
              <w:rPr>
                <w:rFonts w:hint="eastAsia" w:ascii="仿宋" w:hAnsi="仿宋" w:eastAsia="仿宋" w:cs="仿宋"/>
                <w:color w:val="auto"/>
                <w:sz w:val="22"/>
                <w:lang w:val="en-US" w:eastAsia="zh-CN"/>
              </w:rPr>
              <w:t>①服务承诺全面具体、响应及时、保障有力，得10分；</w:t>
            </w:r>
            <w:r>
              <w:rPr>
                <w:rFonts w:hint="eastAsia" w:ascii="仿宋" w:hAnsi="仿宋" w:eastAsia="仿宋" w:cs="仿宋"/>
                <w:color w:val="auto"/>
                <w:sz w:val="22"/>
                <w:lang w:val="en-US" w:eastAsia="zh-CN"/>
              </w:rPr>
              <w:br w:type="textWrapping"/>
            </w:r>
            <w:r>
              <w:rPr>
                <w:rFonts w:hint="eastAsia" w:ascii="仿宋" w:hAnsi="仿宋" w:eastAsia="仿宋" w:cs="仿宋"/>
                <w:color w:val="auto"/>
                <w:sz w:val="22"/>
                <w:lang w:val="en-US" w:eastAsia="zh-CN"/>
              </w:rPr>
              <w:t>②有基本服务承诺、响应较及时，得7分；</w:t>
            </w:r>
            <w:r>
              <w:rPr>
                <w:rFonts w:hint="eastAsia" w:ascii="仿宋" w:hAnsi="仿宋" w:eastAsia="仿宋" w:cs="仿宋"/>
                <w:color w:val="auto"/>
                <w:sz w:val="22"/>
                <w:lang w:val="en-US" w:eastAsia="zh-CN"/>
              </w:rPr>
              <w:br w:type="textWrapping"/>
            </w:r>
            <w:r>
              <w:rPr>
                <w:rFonts w:hint="eastAsia" w:ascii="仿宋" w:hAnsi="仿宋" w:eastAsia="仿宋" w:cs="仿宋"/>
                <w:color w:val="auto"/>
                <w:sz w:val="22"/>
                <w:lang w:val="en-US" w:eastAsia="zh-CN"/>
              </w:rPr>
              <w:t>③服务承诺不够具体、保障不足，得5分；</w:t>
            </w:r>
          </w:p>
          <w:p w14:paraId="74C45573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0" w:after="0" w:line="240" w:lineRule="auto"/>
              <w:ind w:left="0" w:leftChars="0" w:right="0" w:rightChars="0" w:firstLine="0" w:firstLineChars="0"/>
              <w:rPr>
                <w:rFonts w:hint="eastAsia" w:ascii="仿宋" w:hAnsi="仿宋" w:eastAsia="仿宋" w:cs="仿宋"/>
                <w:color w:val="auto"/>
                <w:sz w:val="22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22"/>
                <w:lang w:val="en-US" w:eastAsia="zh-CN"/>
              </w:rPr>
              <w:t>④未提供，得0分。</w:t>
            </w:r>
          </w:p>
        </w:tc>
        <w:tc>
          <w:tcPr>
            <w:tcW w:w="1022" w:type="dxa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812F43A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0" w:after="0" w:line="240" w:lineRule="auto"/>
              <w:ind w:left="0" w:right="0" w:firstLine="0"/>
              <w:jc w:val="center"/>
              <w:rPr>
                <w:rFonts w:hint="default" w:ascii="仿宋" w:hAnsi="仿宋" w:eastAsia="仿宋" w:cs="仿宋"/>
                <w:color w:val="auto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22"/>
                <w:lang w:val="en-US" w:eastAsia="zh-CN"/>
              </w:rPr>
              <w:t>10</w:t>
            </w:r>
          </w:p>
        </w:tc>
      </w:tr>
    </w:tbl>
    <w:p w14:paraId="24A7CE47"/>
    <w:sectPr>
      <w:footerReference r:id="rId3" w:type="default"/>
      <w:pgSz w:w="11906" w:h="16838"/>
      <w:pgMar w:top="1803" w:right="1440" w:bottom="1803" w:left="1440" w:header="851" w:footer="992" w:gutter="0"/>
      <w:pgBorders>
        <w:top w:val="none" w:sz="0" w:space="0"/>
        <w:left w:val="none" w:sz="0" w:space="0"/>
        <w:bottom w:val="none" w:sz="0" w:space="0"/>
        <w:right w:val="none" w:sz="0" w:space="0"/>
      </w:pgBorders>
      <w:pgNumType w:fmt="decimal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Calibri Light">
    <w:panose1 w:val="020F0302020204030204"/>
    <w:charset w:val="00"/>
    <w:family w:val="auto"/>
    <w:pitch w:val="default"/>
    <w:sig w:usb0="E4002EFF" w:usb1="C0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方正黑体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仿宋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B09DACE">
    <w:pPr>
      <w:pStyle w:val="7"/>
      <w:tabs>
        <w:tab w:val="right" w:pos="9026"/>
        <w:tab w:val="clear" w:pos="4153"/>
      </w:tabs>
    </w:pPr>
    <w:r>
      <w:rPr>
        <w:rFonts w:hint="eastAsia"/>
      </w:rPr>
      <w:tab/>
    </w:r>
    <w:r>
      <w:rPr>
        <w:rFonts w:hint="eastAsia"/>
      </w:rPr>
      <w:tab/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8F26C6A"/>
    <w:rsid w:val="0B512FD4"/>
    <w:rsid w:val="0D1B0CD4"/>
    <w:rsid w:val="0D69333C"/>
    <w:rsid w:val="0E3156A5"/>
    <w:rsid w:val="11382375"/>
    <w:rsid w:val="197A1403"/>
    <w:rsid w:val="319860A6"/>
    <w:rsid w:val="387B63D0"/>
    <w:rsid w:val="3B53771A"/>
    <w:rsid w:val="3CCC3607"/>
    <w:rsid w:val="3F253F62"/>
    <w:rsid w:val="4FD277EE"/>
    <w:rsid w:val="52295BA6"/>
    <w:rsid w:val="579B24A9"/>
    <w:rsid w:val="5F232C62"/>
    <w:rsid w:val="6C1D257A"/>
    <w:rsid w:val="6E6E7C5F"/>
    <w:rsid w:val="73054101"/>
    <w:rsid w:val="73CF1109"/>
    <w:rsid w:val="751E16E3"/>
    <w:rsid w:val="76D812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nhideWhenUsed="0" w:uiPriority="0" w:semiHidden="0" w:name="heading 2"/>
    <w:lsdException w:qFormat="1" w:uiPriority="0" w:name="heading 3"/>
    <w:lsdException w:qFormat="1" w:uiPriority="9" w:semiHidden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nhideWhenUsed="0" w:uiPriority="0" w:semiHidden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qFormat="1" w:unhideWhenUsed="0" w:uiPriority="0" w:semiHidden="0" w:name="annotation text"/>
    <w:lsdException w:qFormat="1" w:unhideWhenUsed="0" w:uiPriority="0" w:semiHidden="0" w:name="header"/>
    <w:lsdException w:qFormat="1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iPriority="99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styleId="2">
    <w:name w:val="heading 2"/>
    <w:basedOn w:val="1"/>
    <w:next w:val="1"/>
    <w:qFormat/>
    <w:uiPriority w:val="0"/>
    <w:pPr>
      <w:keepNext/>
      <w:keepLines/>
      <w:adjustRightInd w:val="0"/>
      <w:spacing w:before="260" w:after="260" w:line="416" w:lineRule="auto"/>
      <w:outlineLvl w:val="1"/>
    </w:pPr>
    <w:rPr>
      <w:rFonts w:ascii="Arial" w:hAnsi="Arial" w:eastAsia="黑体" w:cs="Times New Roman"/>
      <w:b/>
      <w:bCs/>
      <w:sz w:val="32"/>
      <w:szCs w:val="32"/>
    </w:rPr>
  </w:style>
  <w:style w:type="paragraph" w:styleId="3">
    <w:name w:val="heading 4"/>
    <w:basedOn w:val="1"/>
    <w:next w:val="1"/>
    <w:unhideWhenUsed/>
    <w:qFormat/>
    <w:uiPriority w:val="9"/>
    <w:pPr>
      <w:keepNext/>
      <w:keepLines/>
      <w:spacing w:before="280" w:after="290" w:line="376" w:lineRule="auto"/>
      <w:outlineLvl w:val="3"/>
    </w:pPr>
    <w:rPr>
      <w:rFonts w:asciiTheme="majorHAnsi" w:hAnsiTheme="majorHAnsi" w:eastAsiaTheme="majorEastAsia" w:cstheme="majorBidi"/>
      <w:b/>
      <w:bCs/>
      <w:sz w:val="28"/>
    </w:rPr>
  </w:style>
  <w:style w:type="paragraph" w:styleId="4">
    <w:name w:val="heading 9"/>
    <w:basedOn w:val="1"/>
    <w:next w:val="1"/>
    <w:qFormat/>
    <w:uiPriority w:val="0"/>
    <w:pPr>
      <w:widowControl/>
      <w:wordWrap w:val="0"/>
      <w:overflowPunct w:val="0"/>
      <w:adjustRightInd w:val="0"/>
      <w:spacing w:line="360" w:lineRule="auto"/>
      <w:jc w:val="left"/>
      <w:textAlignment w:val="baseline"/>
      <w:outlineLvl w:val="8"/>
    </w:pPr>
    <w:rPr>
      <w:rFonts w:ascii="微软雅黑" w:hAnsi="微软雅黑" w:eastAsia="微软雅黑" w:cs="Times New Roman"/>
      <w:bCs/>
      <w:kern w:val="0"/>
      <w:sz w:val="18"/>
      <w:szCs w:val="18"/>
    </w:rPr>
  </w:style>
  <w:style w:type="character" w:default="1" w:styleId="12">
    <w:name w:val="Default Paragraph Font"/>
    <w:semiHidden/>
    <w:qFormat/>
    <w:uiPriority w:val="0"/>
  </w:style>
  <w:style w:type="table" w:default="1" w:styleId="10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5">
    <w:name w:val="annotation text"/>
    <w:basedOn w:val="1"/>
    <w:qFormat/>
    <w:uiPriority w:val="0"/>
    <w:pPr>
      <w:jc w:val="left"/>
    </w:pPr>
  </w:style>
  <w:style w:type="paragraph" w:styleId="6">
    <w:name w:val="Body Text"/>
    <w:basedOn w:val="1"/>
    <w:qFormat/>
    <w:uiPriority w:val="0"/>
    <w:rPr>
      <w:rFonts w:ascii="仿宋_GB2312" w:hAnsi="宋体" w:eastAsia="仿宋_GB2312"/>
      <w:kern w:val="0"/>
      <w:sz w:val="24"/>
    </w:rPr>
  </w:style>
  <w:style w:type="paragraph" w:styleId="7">
    <w:name w:val="footer"/>
    <w:basedOn w:val="1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8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9">
    <w:name w:val="Normal (Web)"/>
    <w:basedOn w:val="1"/>
    <w:unhideWhenUsed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table" w:styleId="11">
    <w:name w:val="Table Grid"/>
    <w:basedOn w:val="10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3">
    <w:name w:val="样式"/>
    <w:autoRedefine/>
    <w:qFormat/>
    <w:uiPriority w:val="0"/>
    <w:pPr>
      <w:widowControl w:val="0"/>
      <w:autoSpaceDE w:val="0"/>
      <w:autoSpaceDN w:val="0"/>
      <w:adjustRightInd w:val="0"/>
    </w:pPr>
    <w:rPr>
      <w:rFonts w:ascii="宋体" w:hAnsi="宋体" w:eastAsia="宋体" w:cs="宋体"/>
      <w:sz w:val="24"/>
      <w:szCs w:val="24"/>
      <w:lang w:val="en-US" w:eastAsia="zh-CN" w:bidi="ar-SA"/>
    </w:rPr>
  </w:style>
  <w:style w:type="paragraph" w:customStyle="1" w:styleId="14">
    <w:name w:val="Table Text"/>
    <w:basedOn w:val="1"/>
    <w:semiHidden/>
    <w:qFormat/>
    <w:uiPriority w:val="0"/>
    <w:rPr>
      <w:rFonts w:ascii="宋体" w:hAnsi="宋体" w:eastAsia="宋体" w:cs="宋体"/>
      <w:sz w:val="14"/>
      <w:szCs w:val="14"/>
      <w:lang w:val="en-US" w:eastAsia="en-US" w:bidi="ar-SA"/>
    </w:rPr>
  </w:style>
  <w:style w:type="table" w:customStyle="1" w:styleId="15">
    <w:name w:val="Table Normal"/>
    <w:semiHidden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contractReview xmlns="http://schemas.wps.cn/vas-ai-hub/contract-review">
  <reviewItems/>
  <config/>
</contractReview>
</file>

<file path=customXml/itemProps1.xml><?xml version="1.0" encoding="utf-8"?>
<ds:datastoreItem xmlns:ds="http://schemas.openxmlformats.org/officeDocument/2006/customXml" ds:itemID="{8e2bdb9e-227c-4951-a26c-6f383e6fc126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1313</Words>
  <Characters>1382</Characters>
  <Lines>0</Lines>
  <Paragraphs>0</Paragraphs>
  <TotalTime>20</TotalTime>
  <ScaleCrop>false</ScaleCrop>
  <LinksUpToDate>false</LinksUpToDate>
  <CharactersWithSpaces>1423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2026-07-30T06:54:00Z</dcterms:created>
  <dc:creator>Administrator</dc:creator>
  <cp:lastModifiedBy>WPS_1646030637</cp:lastModifiedBy>
  <dcterms:modified xsi:type="dcterms:W3CDTF">2026-08-03T09:15:08Z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KSOTemplateDocerSaveRecord">
    <vt:lpwstr>eyJoZGlkIjoiMmI0YWYyMjUxYTJhNzM2NDAzMGJjZGNlNzQ5ZGM3YTQiLCJ1c2VySWQiOiIxMzM5NTc1MDI2In0=</vt:lpwstr>
  </property>
  <property fmtid="{D5CDD505-2E9C-101B-9397-08002B2CF9AE}" pid="4" name="ICV">
    <vt:lpwstr>A789A04B99C448AB9516450C9686EC62_13</vt:lpwstr>
  </property>
</Properties>
</file>