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2DE87">
      <w:pPr>
        <w:spacing w:before="480" w:after="480" w:line="288" w:lineRule="auto"/>
        <w:ind w:left="0"/>
        <w:jc w:val="center"/>
        <w:rPr>
          <w:rFonts w:hint="default" w:ascii="Times New Roman" w:hAnsi="Times New Roman" w:eastAsia="方正小标宋_GBK" w:cs="Times New Roman"/>
          <w:sz w:val="44"/>
          <w:szCs w:val="44"/>
          <w:lang w:val="en-US" w:eastAsia="zh-CN"/>
        </w:rPr>
      </w:pPr>
      <w:bookmarkStart w:id="0" w:name="_GoBack"/>
      <w:bookmarkEnd w:id="0"/>
      <w:r>
        <w:rPr>
          <w:rFonts w:hint="eastAsia" w:ascii="Times New Roman" w:hAnsi="Times New Roman" w:eastAsia="方正小标宋_GBK" w:cs="Times New Roman"/>
          <w:sz w:val="44"/>
          <w:szCs w:val="44"/>
          <w:lang w:val="en-US" w:eastAsia="zh-CN"/>
        </w:rPr>
        <w:t>美丽河湖建设及评估</w:t>
      </w:r>
      <w:r>
        <w:rPr>
          <w:rFonts w:hint="default" w:ascii="Times New Roman" w:hAnsi="Times New Roman" w:eastAsia="方正小标宋_GBK" w:cs="Times New Roman"/>
          <w:sz w:val="44"/>
          <w:szCs w:val="44"/>
          <w:lang w:val="en-US" w:eastAsia="zh-CN"/>
        </w:rPr>
        <w:t>服务项目询价评分表</w:t>
      </w:r>
    </w:p>
    <w:tbl>
      <w:tblPr>
        <w:tblStyle w:val="11"/>
        <w:tblW w:w="49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1462"/>
        <w:gridCol w:w="5874"/>
        <w:gridCol w:w="1006"/>
      </w:tblGrid>
      <w:tr w14:paraId="2AC0C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blHeader/>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619DE861">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序</w:t>
            </w:r>
            <w:r>
              <w:rPr>
                <w:rFonts w:hint="eastAsia" w:ascii="宋体" w:hAnsi="宋体" w:eastAsia="宋体" w:cs="宋体"/>
                <w:b w:val="0"/>
                <w:bCs w:val="0"/>
                <w:color w:val="auto"/>
                <w:sz w:val="24"/>
                <w:szCs w:val="24"/>
                <w:highlight w:val="none"/>
                <w:lang w:val="en-US" w:eastAsia="zh-CN"/>
              </w:rPr>
              <w:t>号</w:t>
            </w:r>
          </w:p>
        </w:tc>
        <w:tc>
          <w:tcPr>
            <w:tcW w:w="805" w:type="pct"/>
            <w:tcBorders>
              <w:top w:val="single" w:color="auto" w:sz="4" w:space="0"/>
              <w:left w:val="single" w:color="auto" w:sz="4" w:space="0"/>
              <w:bottom w:val="single" w:color="auto" w:sz="4" w:space="0"/>
              <w:right w:val="single" w:color="auto" w:sz="4" w:space="0"/>
            </w:tcBorders>
            <w:noWrap w:val="0"/>
            <w:vAlign w:val="center"/>
          </w:tcPr>
          <w:p w14:paraId="7AE6325F">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评分因素</w:t>
            </w:r>
          </w:p>
        </w:tc>
        <w:tc>
          <w:tcPr>
            <w:tcW w:w="3235" w:type="pct"/>
            <w:tcBorders>
              <w:top w:val="single" w:color="auto" w:sz="4" w:space="0"/>
              <w:left w:val="single" w:color="auto" w:sz="4" w:space="0"/>
              <w:bottom w:val="single" w:color="auto" w:sz="4" w:space="0"/>
              <w:right w:val="single" w:color="auto" w:sz="4" w:space="0"/>
            </w:tcBorders>
            <w:noWrap w:val="0"/>
            <w:vAlign w:val="center"/>
          </w:tcPr>
          <w:p w14:paraId="7749F8B3">
            <w:pPr>
              <w:keepNext w:val="0"/>
              <w:keepLines w:val="0"/>
              <w:pageBreakBefore w:val="0"/>
              <w:widowControl w:val="0"/>
              <w:spacing w:line="240" w:lineRule="auto"/>
              <w:ind w:firstLine="480"/>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评审标准</w:t>
            </w:r>
          </w:p>
        </w:tc>
        <w:tc>
          <w:tcPr>
            <w:tcW w:w="55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24B13DF">
            <w:pPr>
              <w:keepNext w:val="0"/>
              <w:keepLines w:val="0"/>
              <w:pageBreakBefore w:val="0"/>
              <w:widowControl w:val="0"/>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分值</w:t>
            </w:r>
          </w:p>
        </w:tc>
      </w:tr>
      <w:tr w14:paraId="644A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9" w:hRule="atLeast"/>
          <w:jc w:val="center"/>
        </w:trPr>
        <w:tc>
          <w:tcPr>
            <w:tcW w:w="405" w:type="pct"/>
            <w:tcBorders>
              <w:top w:val="single" w:color="auto" w:sz="4" w:space="0"/>
              <w:left w:val="single" w:color="auto" w:sz="4" w:space="0"/>
              <w:bottom w:val="single" w:color="auto" w:sz="4" w:space="0"/>
              <w:right w:val="single" w:color="auto" w:sz="4" w:space="0"/>
            </w:tcBorders>
            <w:noWrap w:val="0"/>
            <w:vAlign w:val="center"/>
          </w:tcPr>
          <w:p w14:paraId="67604C5C">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p>
        </w:tc>
        <w:tc>
          <w:tcPr>
            <w:tcW w:w="805" w:type="pct"/>
            <w:tcBorders>
              <w:top w:val="single" w:color="auto" w:sz="4" w:space="0"/>
              <w:left w:val="single" w:color="auto" w:sz="4" w:space="0"/>
              <w:bottom w:val="single" w:color="auto" w:sz="4" w:space="0"/>
              <w:right w:val="single" w:color="auto" w:sz="4" w:space="0"/>
            </w:tcBorders>
            <w:noWrap w:val="0"/>
            <w:vAlign w:val="center"/>
          </w:tcPr>
          <w:p w14:paraId="4D644387">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投标</w:t>
            </w:r>
            <w:r>
              <w:rPr>
                <w:rFonts w:hint="eastAsia" w:ascii="宋体" w:hAnsi="宋体" w:eastAsia="宋体" w:cs="宋体"/>
                <w:b w:val="0"/>
                <w:bCs w:val="0"/>
                <w:color w:val="auto"/>
                <w:sz w:val="24"/>
                <w:szCs w:val="24"/>
                <w:highlight w:val="none"/>
              </w:rPr>
              <w:t>报价</w:t>
            </w:r>
          </w:p>
        </w:tc>
        <w:tc>
          <w:tcPr>
            <w:tcW w:w="3235" w:type="pct"/>
            <w:tcBorders>
              <w:top w:val="single" w:color="auto" w:sz="4" w:space="0"/>
              <w:left w:val="single" w:color="auto" w:sz="4" w:space="0"/>
              <w:bottom w:val="single" w:color="auto" w:sz="4" w:space="0"/>
              <w:right w:val="single" w:color="auto" w:sz="4" w:space="0"/>
            </w:tcBorders>
            <w:noWrap w:val="0"/>
            <w:vAlign w:val="center"/>
          </w:tcPr>
          <w:p w14:paraId="26421BEB">
            <w:pPr>
              <w:keepNext w:val="0"/>
              <w:keepLines w:val="0"/>
              <w:pageBreakBefore w:val="0"/>
              <w:widowControl w:val="0"/>
              <w:spacing w:line="24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以投标价格最低的投标报价为基准价，其价格分为满分。报价得分=（评标基准价/投标报价）×15。</w:t>
            </w:r>
          </w:p>
        </w:tc>
        <w:tc>
          <w:tcPr>
            <w:tcW w:w="55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4314537">
            <w:pPr>
              <w:keepNext w:val="0"/>
              <w:keepLines w:val="0"/>
              <w:pageBreakBefore w:val="0"/>
              <w:widowControl w:val="0"/>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15</w:t>
            </w:r>
          </w:p>
        </w:tc>
      </w:tr>
      <w:tr w14:paraId="42BC6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4" w:hRule="atLeast"/>
          <w:jc w:val="center"/>
        </w:trPr>
        <w:tc>
          <w:tcPr>
            <w:tcW w:w="405" w:type="pct"/>
            <w:vMerge w:val="restart"/>
            <w:tcBorders>
              <w:top w:val="single" w:color="auto" w:sz="4" w:space="0"/>
              <w:left w:val="single" w:color="auto" w:sz="4" w:space="0"/>
              <w:right w:val="single" w:color="auto" w:sz="4" w:space="0"/>
            </w:tcBorders>
            <w:noWrap w:val="0"/>
            <w:vAlign w:val="center"/>
          </w:tcPr>
          <w:p w14:paraId="4CFDE954">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2</w:t>
            </w:r>
          </w:p>
        </w:tc>
        <w:tc>
          <w:tcPr>
            <w:tcW w:w="805" w:type="pct"/>
            <w:tcBorders>
              <w:top w:val="single" w:color="auto" w:sz="4" w:space="0"/>
              <w:left w:val="single" w:color="auto" w:sz="4" w:space="0"/>
              <w:right w:val="single" w:color="auto" w:sz="4" w:space="0"/>
            </w:tcBorders>
            <w:noWrap w:val="0"/>
            <w:vAlign w:val="center"/>
          </w:tcPr>
          <w:p w14:paraId="2AF87952">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项目总体服务方案</w:t>
            </w:r>
          </w:p>
        </w:tc>
        <w:tc>
          <w:tcPr>
            <w:tcW w:w="3235" w:type="pct"/>
            <w:tcBorders>
              <w:top w:val="single" w:color="auto" w:sz="4" w:space="0"/>
              <w:left w:val="single" w:color="auto" w:sz="4" w:space="0"/>
              <w:bottom w:val="single" w:color="auto" w:sz="4" w:space="0"/>
              <w:right w:val="single" w:color="auto" w:sz="4" w:space="0"/>
            </w:tcBorders>
            <w:noWrap w:val="0"/>
            <w:vAlign w:val="center"/>
          </w:tcPr>
          <w:p w14:paraId="6D2E4E95">
            <w:pPr>
              <w:keepNext w:val="0"/>
              <w:keepLines w:val="0"/>
              <w:pageBreakBefore w:val="0"/>
              <w:widowControl w:val="0"/>
              <w:spacing w:line="240" w:lineRule="auto"/>
              <w:rPr>
                <w:rFonts w:hint="eastAsia" w:ascii="宋体" w:hAnsi="宋体" w:eastAsia="宋体" w:cs="宋体"/>
                <w:b w:val="0"/>
                <w:bCs w:val="0"/>
                <w:color w:val="auto"/>
                <w:sz w:val="24"/>
                <w:szCs w:val="24"/>
                <w:highlight w:val="none"/>
                <w:lang w:val="zh-CN" w:eastAsia="zh-CN"/>
              </w:rPr>
            </w:pPr>
            <w:r>
              <w:rPr>
                <w:rFonts w:hint="eastAsia" w:ascii="宋体" w:hAnsi="宋体" w:eastAsia="宋体" w:cs="宋体"/>
                <w:b w:val="0"/>
                <w:bCs w:val="0"/>
                <w:color w:val="auto"/>
                <w:sz w:val="24"/>
                <w:szCs w:val="24"/>
                <w:highlight w:val="none"/>
                <w:lang w:val="en-US" w:eastAsia="zh-CN"/>
              </w:rPr>
              <w:t>供应商根据采购人的需求和项目具体内容并结合自身情况制定服务方案。服务方案内容非常完善、翔实，具有非常强的可操作性，项目组织结构非常明晰得15分，服务方案内容比较完善、翔实，具有比较强的可操作性，项目组织结构比较明晰得10分，实施方案内容基本完善、翔实，具有可操作性，项目组织结构基本明晰得5分，无表述不得分。</w:t>
            </w:r>
          </w:p>
        </w:tc>
        <w:tc>
          <w:tcPr>
            <w:tcW w:w="55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6079799">
            <w:pPr>
              <w:keepNext w:val="0"/>
              <w:keepLines w:val="0"/>
              <w:pageBreakBefore w:val="0"/>
              <w:widowControl w:val="0"/>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15</w:t>
            </w:r>
          </w:p>
        </w:tc>
      </w:tr>
      <w:tr w14:paraId="3EB2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0" w:hRule="atLeast"/>
          <w:jc w:val="center"/>
        </w:trPr>
        <w:tc>
          <w:tcPr>
            <w:tcW w:w="405" w:type="pct"/>
            <w:vMerge w:val="continue"/>
            <w:tcBorders>
              <w:left w:val="single" w:color="auto" w:sz="4" w:space="0"/>
              <w:right w:val="single" w:color="auto" w:sz="4" w:space="0"/>
            </w:tcBorders>
            <w:noWrap w:val="0"/>
            <w:vAlign w:val="center"/>
          </w:tcPr>
          <w:p w14:paraId="47B4443B">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lang w:eastAsia="zh-CN"/>
              </w:rPr>
            </w:pPr>
          </w:p>
        </w:tc>
        <w:tc>
          <w:tcPr>
            <w:tcW w:w="805" w:type="pct"/>
            <w:tcBorders>
              <w:top w:val="single" w:color="auto" w:sz="4" w:space="0"/>
              <w:left w:val="single" w:color="auto" w:sz="4" w:space="0"/>
              <w:right w:val="single" w:color="auto" w:sz="4" w:space="0"/>
            </w:tcBorders>
            <w:shd w:val="clear" w:color="auto" w:fill="auto"/>
            <w:noWrap w:val="0"/>
            <w:vAlign w:val="center"/>
          </w:tcPr>
          <w:p w14:paraId="79FC7026">
            <w:pPr>
              <w:keepNext w:val="0"/>
              <w:keepLines w:val="0"/>
              <w:pageBreakBefore w:val="0"/>
              <w:widowControl w:val="0"/>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对本项目工作重点、难点分析</w:t>
            </w:r>
          </w:p>
        </w:tc>
        <w:tc>
          <w:tcPr>
            <w:tcW w:w="323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DB3C68E">
            <w:pPr>
              <w:keepNext w:val="0"/>
              <w:keepLines w:val="0"/>
              <w:pageBreakBefore w:val="0"/>
              <w:widowControl w:val="0"/>
              <w:spacing w:line="240" w:lineRule="auto"/>
              <w:rPr>
                <w:rFonts w:hint="eastAsia" w:ascii="宋体" w:hAnsi="宋体" w:eastAsia="宋体" w:cs="宋体"/>
                <w:b w:val="0"/>
                <w:bCs w:val="0"/>
                <w:color w:val="auto"/>
                <w:kern w:val="2"/>
                <w:sz w:val="24"/>
                <w:szCs w:val="24"/>
                <w:highlight w:val="none"/>
                <w:lang w:val="zh-CN" w:eastAsia="zh-CN" w:bidi="ar-SA"/>
              </w:rPr>
            </w:pPr>
            <w:r>
              <w:rPr>
                <w:rFonts w:hint="eastAsia" w:ascii="宋体" w:hAnsi="宋体" w:eastAsia="宋体" w:cs="宋体"/>
                <w:b w:val="0"/>
                <w:bCs w:val="0"/>
                <w:color w:val="auto"/>
                <w:sz w:val="24"/>
                <w:szCs w:val="24"/>
                <w:highlight w:val="none"/>
                <w:lang w:val="en-US" w:eastAsia="zh-CN"/>
              </w:rPr>
              <w:t>根据对本项目工作重点与难点理解和认识的准确性、深刻性和采取的措施针对性、可行性等方面进行综合评审，对本项目工作任务、难点把握非常精准、分析理解非常深刻、对策的针对性和可行性非常强的得15分，对本项目工作任务、难点把握比较精准、分析理解比较透彻、对策的针对性和可行性比较强的得10分，对本项目工作任务、难点把握基本精准、分析理解基本透彻、对策针对性和可行性较强的一般得5分。未提供不得分。</w:t>
            </w:r>
          </w:p>
        </w:tc>
        <w:tc>
          <w:tcPr>
            <w:tcW w:w="55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AB6CD13">
            <w:pPr>
              <w:keepNext w:val="0"/>
              <w:keepLines w:val="0"/>
              <w:pageBreakBefore w:val="0"/>
              <w:widowControl w:val="0"/>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15</w:t>
            </w:r>
          </w:p>
        </w:tc>
      </w:tr>
      <w:tr w14:paraId="32BD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1" w:hRule="atLeast"/>
          <w:jc w:val="center"/>
        </w:trPr>
        <w:tc>
          <w:tcPr>
            <w:tcW w:w="405" w:type="pct"/>
            <w:vMerge w:val="continue"/>
            <w:tcBorders>
              <w:left w:val="single" w:color="auto" w:sz="4" w:space="0"/>
              <w:right w:val="single" w:color="auto" w:sz="4" w:space="0"/>
            </w:tcBorders>
            <w:noWrap w:val="0"/>
            <w:vAlign w:val="center"/>
          </w:tcPr>
          <w:p w14:paraId="0CB57B3B">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lang w:eastAsia="zh-CN"/>
              </w:rPr>
            </w:pPr>
          </w:p>
        </w:tc>
        <w:tc>
          <w:tcPr>
            <w:tcW w:w="805" w:type="pct"/>
            <w:tcBorders>
              <w:top w:val="single" w:color="auto" w:sz="4" w:space="0"/>
              <w:left w:val="single" w:color="auto" w:sz="4" w:space="0"/>
              <w:right w:val="single" w:color="auto" w:sz="4" w:space="0"/>
            </w:tcBorders>
            <w:noWrap w:val="0"/>
            <w:vAlign w:val="center"/>
          </w:tcPr>
          <w:p w14:paraId="6289AFEA">
            <w:pPr>
              <w:keepNext w:val="0"/>
              <w:keepLines w:val="0"/>
              <w:pageBreakBefore w:val="0"/>
              <w:widowControl w:val="0"/>
              <w:spacing w:line="240" w:lineRule="auto"/>
              <w:jc w:val="center"/>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质量控制</w:t>
            </w:r>
          </w:p>
        </w:tc>
        <w:tc>
          <w:tcPr>
            <w:tcW w:w="3235" w:type="pct"/>
            <w:tcBorders>
              <w:top w:val="single" w:color="auto" w:sz="4" w:space="0"/>
              <w:left w:val="single" w:color="auto" w:sz="4" w:space="0"/>
              <w:bottom w:val="single" w:color="auto" w:sz="4" w:space="0"/>
              <w:right w:val="single" w:color="auto" w:sz="4" w:space="0"/>
            </w:tcBorders>
            <w:noWrap w:val="0"/>
            <w:vAlign w:val="center"/>
          </w:tcPr>
          <w:p w14:paraId="51689B02">
            <w:pPr>
              <w:keepNext w:val="0"/>
              <w:keepLines w:val="0"/>
              <w:pageBreakBefore w:val="0"/>
              <w:widowControl w:val="0"/>
              <w:spacing w:line="240" w:lineRule="auto"/>
              <w:rPr>
                <w:rFonts w:hint="eastAsia" w:ascii="宋体" w:hAnsi="宋体" w:eastAsia="宋体" w:cs="宋体"/>
                <w:b w:val="0"/>
                <w:bCs w:val="0"/>
                <w:color w:val="auto"/>
                <w:sz w:val="24"/>
                <w:szCs w:val="24"/>
                <w:highlight w:val="none"/>
                <w:lang w:val="zh-CN" w:eastAsia="zh-CN"/>
              </w:rPr>
            </w:pPr>
            <w:r>
              <w:rPr>
                <w:rFonts w:hint="eastAsia" w:ascii="宋体" w:hAnsi="宋体" w:eastAsia="宋体" w:cs="宋体"/>
                <w:b w:val="0"/>
                <w:bCs w:val="0"/>
                <w:color w:val="auto"/>
                <w:sz w:val="24"/>
                <w:szCs w:val="24"/>
                <w:highlight w:val="none"/>
                <w:lang w:val="en-US" w:eastAsia="zh-CN"/>
              </w:rPr>
              <w:t>制定详细的质量控制措施，涵盖数据采集、分析评价、报告编制全过程的，得15分；措施较完善的，得10分；措施基本完善的，得5分；不完善的，不得分。</w:t>
            </w:r>
          </w:p>
        </w:tc>
        <w:tc>
          <w:tcPr>
            <w:tcW w:w="55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0B92AEE">
            <w:pPr>
              <w:keepNext w:val="0"/>
              <w:keepLines w:val="0"/>
              <w:pageBreakBefore w:val="0"/>
              <w:widowControl w:val="0"/>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15</w:t>
            </w:r>
          </w:p>
        </w:tc>
      </w:tr>
      <w:tr w14:paraId="7EF6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3" w:hRule="atLeast"/>
          <w:jc w:val="center"/>
        </w:trPr>
        <w:tc>
          <w:tcPr>
            <w:tcW w:w="405" w:type="pct"/>
            <w:vMerge w:val="continue"/>
            <w:tcBorders>
              <w:left w:val="single" w:color="auto" w:sz="4" w:space="0"/>
              <w:right w:val="single" w:color="auto" w:sz="4" w:space="0"/>
            </w:tcBorders>
            <w:noWrap w:val="0"/>
            <w:vAlign w:val="center"/>
          </w:tcPr>
          <w:p w14:paraId="2E1ACFA3">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lang w:eastAsia="zh-CN"/>
              </w:rPr>
            </w:pPr>
          </w:p>
        </w:tc>
        <w:tc>
          <w:tcPr>
            <w:tcW w:w="805" w:type="pct"/>
            <w:tcBorders>
              <w:top w:val="single" w:color="auto" w:sz="4" w:space="0"/>
              <w:left w:val="single" w:color="auto" w:sz="4" w:space="0"/>
              <w:right w:val="single" w:color="auto" w:sz="4" w:space="0"/>
            </w:tcBorders>
            <w:noWrap w:val="0"/>
            <w:vAlign w:val="center"/>
          </w:tcPr>
          <w:p w14:paraId="1BE42455">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工作计划</w:t>
            </w:r>
          </w:p>
        </w:tc>
        <w:tc>
          <w:tcPr>
            <w:tcW w:w="3235" w:type="pct"/>
            <w:tcBorders>
              <w:top w:val="single" w:color="auto" w:sz="4" w:space="0"/>
              <w:left w:val="single" w:color="auto" w:sz="4" w:space="0"/>
              <w:bottom w:val="single" w:color="auto" w:sz="4" w:space="0"/>
              <w:right w:val="single" w:color="auto" w:sz="4" w:space="0"/>
            </w:tcBorders>
            <w:noWrap w:val="0"/>
            <w:vAlign w:val="center"/>
          </w:tcPr>
          <w:p w14:paraId="13FA9001">
            <w:pPr>
              <w:keepNext w:val="0"/>
              <w:keepLines w:val="0"/>
              <w:pageBreakBefore w:val="0"/>
              <w:widowControl w:val="0"/>
              <w:spacing w:line="240" w:lineRule="auto"/>
              <w:rPr>
                <w:rFonts w:hint="eastAsia" w:ascii="宋体" w:hAnsi="宋体" w:eastAsia="宋体" w:cs="宋体"/>
                <w:b w:val="0"/>
                <w:bCs w:val="0"/>
                <w:color w:val="auto"/>
                <w:sz w:val="24"/>
                <w:szCs w:val="24"/>
                <w:highlight w:val="none"/>
                <w:lang w:val="zh-CN" w:eastAsia="zh-CN"/>
              </w:rPr>
            </w:pPr>
            <w:r>
              <w:rPr>
                <w:rFonts w:hint="eastAsia" w:ascii="宋体" w:hAnsi="宋体" w:eastAsia="宋体" w:cs="宋体"/>
                <w:b w:val="0"/>
                <w:bCs w:val="0"/>
                <w:color w:val="auto"/>
                <w:sz w:val="24"/>
                <w:szCs w:val="24"/>
                <w:highlight w:val="none"/>
                <w:lang w:val="en-US" w:eastAsia="zh-CN"/>
              </w:rPr>
              <w:t>根据工作计划的完整性、针对性、可行性等方面进行综合评审。计划非常全面周到、具有非常详细的内容，针对性和可行性非常强的得10分，计划较全面、有一定具体内容，有一定的针对性和可行性的得7分，有内容但不全面，针对性和可行性差的得4分，无表述不得分。</w:t>
            </w:r>
          </w:p>
        </w:tc>
        <w:tc>
          <w:tcPr>
            <w:tcW w:w="55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08D15CD">
            <w:pPr>
              <w:keepNext w:val="0"/>
              <w:keepLines w:val="0"/>
              <w:pageBreakBefore w:val="0"/>
              <w:widowControl w:val="0"/>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rPr>
              <w:t>10</w:t>
            </w:r>
          </w:p>
        </w:tc>
      </w:tr>
      <w:tr w14:paraId="696F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3" w:hRule="atLeast"/>
          <w:jc w:val="center"/>
        </w:trPr>
        <w:tc>
          <w:tcPr>
            <w:tcW w:w="405" w:type="pct"/>
            <w:vMerge w:val="continue"/>
            <w:tcBorders>
              <w:left w:val="single" w:color="auto" w:sz="4" w:space="0"/>
              <w:right w:val="single" w:color="auto" w:sz="4" w:space="0"/>
            </w:tcBorders>
            <w:noWrap w:val="0"/>
            <w:vAlign w:val="center"/>
          </w:tcPr>
          <w:p w14:paraId="7B19E44A">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lang w:eastAsia="zh-CN"/>
              </w:rPr>
            </w:pPr>
          </w:p>
        </w:tc>
        <w:tc>
          <w:tcPr>
            <w:tcW w:w="805" w:type="pct"/>
            <w:tcBorders>
              <w:top w:val="single" w:color="auto" w:sz="4" w:space="0"/>
              <w:left w:val="single" w:color="auto" w:sz="4" w:space="0"/>
              <w:right w:val="single" w:color="auto" w:sz="4" w:space="0"/>
            </w:tcBorders>
            <w:noWrap w:val="0"/>
            <w:vAlign w:val="center"/>
          </w:tcPr>
          <w:p w14:paraId="1E2ECCFB">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服务保障措施</w:t>
            </w:r>
          </w:p>
        </w:tc>
        <w:tc>
          <w:tcPr>
            <w:tcW w:w="3235" w:type="pct"/>
            <w:tcBorders>
              <w:top w:val="single" w:color="auto" w:sz="4" w:space="0"/>
              <w:left w:val="single" w:color="auto" w:sz="4" w:space="0"/>
              <w:bottom w:val="single" w:color="auto" w:sz="4" w:space="0"/>
              <w:right w:val="single" w:color="auto" w:sz="4" w:space="0"/>
            </w:tcBorders>
            <w:noWrap w:val="0"/>
            <w:vAlign w:val="center"/>
          </w:tcPr>
          <w:p w14:paraId="5A54FF28">
            <w:pPr>
              <w:keepNext w:val="0"/>
              <w:keepLines w:val="0"/>
              <w:pageBreakBefore w:val="0"/>
              <w:widowControl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根据本项目的服务保障措施的合理性、有效性、科学性和可行性等方面进行综合评审。质量保证及质量保障措施非常合理、有效、科学、可行的得10分，比较合理、有效、科学、可行的得5分，基本合理、有效、科学、可行的得2分，无表述不得分。</w:t>
            </w:r>
          </w:p>
        </w:tc>
        <w:tc>
          <w:tcPr>
            <w:tcW w:w="55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26E678B">
            <w:pPr>
              <w:keepNext w:val="0"/>
              <w:keepLines w:val="0"/>
              <w:pageBreakBefore w:val="0"/>
              <w:widowControl w:val="0"/>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10</w:t>
            </w:r>
          </w:p>
        </w:tc>
      </w:tr>
      <w:tr w14:paraId="1302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6" w:hRule="atLeast"/>
          <w:jc w:val="center"/>
        </w:trPr>
        <w:tc>
          <w:tcPr>
            <w:tcW w:w="405" w:type="pct"/>
            <w:tcBorders>
              <w:left w:val="single" w:color="auto" w:sz="4" w:space="0"/>
              <w:right w:val="single" w:color="auto" w:sz="4" w:space="0"/>
            </w:tcBorders>
            <w:noWrap w:val="0"/>
            <w:vAlign w:val="center"/>
          </w:tcPr>
          <w:p w14:paraId="4E904220">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3</w:t>
            </w:r>
          </w:p>
        </w:tc>
        <w:tc>
          <w:tcPr>
            <w:tcW w:w="805" w:type="pct"/>
            <w:tcBorders>
              <w:top w:val="single" w:color="auto" w:sz="4" w:space="0"/>
              <w:left w:val="single" w:color="auto" w:sz="4" w:space="0"/>
              <w:right w:val="single" w:color="auto" w:sz="4" w:space="0"/>
            </w:tcBorders>
            <w:noWrap w:val="0"/>
            <w:vAlign w:val="center"/>
          </w:tcPr>
          <w:p w14:paraId="2099674E">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人员配备</w:t>
            </w:r>
          </w:p>
        </w:tc>
        <w:tc>
          <w:tcPr>
            <w:tcW w:w="3235" w:type="pct"/>
            <w:tcBorders>
              <w:top w:val="single" w:color="auto" w:sz="4" w:space="0"/>
              <w:left w:val="single" w:color="auto" w:sz="4" w:space="0"/>
              <w:bottom w:val="single" w:color="auto" w:sz="4" w:space="0"/>
              <w:right w:val="single" w:color="auto" w:sz="4" w:space="0"/>
            </w:tcBorders>
            <w:noWrap w:val="0"/>
            <w:vAlign w:val="center"/>
          </w:tcPr>
          <w:p w14:paraId="53EAE59B">
            <w:pPr>
              <w:keepNext w:val="0"/>
              <w:keepLines w:val="0"/>
              <w:pageBreakBefore w:val="0"/>
              <w:widowControl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为本项目配备的项目组成员中具有水利类或环境类副高级职称的，每有1名得4分，最高得8分；具有水利类、环境类中级职称的，每有1名得1分，最高得2分；本项最高得10分。（上述条款需提供专职人员一览表（格式自拟，需标注项目负责人职务），相应的证书原件彩色扫描件、投标单位为其缴纳的近三个月任意一个月（不含投标当月）的社保证明材料或退休返聘证明原件彩色扫描件）</w:t>
            </w:r>
          </w:p>
        </w:tc>
        <w:tc>
          <w:tcPr>
            <w:tcW w:w="55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6304CCD">
            <w:pPr>
              <w:keepNext w:val="0"/>
              <w:keepLines w:val="0"/>
              <w:pageBreakBefore w:val="0"/>
              <w:widowControl w:val="0"/>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10</w:t>
            </w:r>
          </w:p>
        </w:tc>
      </w:tr>
      <w:tr w14:paraId="54531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3" w:hRule="atLeast"/>
          <w:jc w:val="center"/>
        </w:trPr>
        <w:tc>
          <w:tcPr>
            <w:tcW w:w="405" w:type="pct"/>
            <w:tcBorders>
              <w:left w:val="single" w:color="auto" w:sz="4" w:space="0"/>
              <w:right w:val="single" w:color="auto" w:sz="4" w:space="0"/>
            </w:tcBorders>
            <w:noWrap w:val="0"/>
            <w:vAlign w:val="center"/>
          </w:tcPr>
          <w:p w14:paraId="40CDFF93">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4</w:t>
            </w:r>
          </w:p>
        </w:tc>
        <w:tc>
          <w:tcPr>
            <w:tcW w:w="805" w:type="pct"/>
            <w:tcBorders>
              <w:top w:val="single" w:color="auto" w:sz="4" w:space="0"/>
              <w:left w:val="single" w:color="auto" w:sz="4" w:space="0"/>
              <w:right w:val="single" w:color="auto" w:sz="4" w:space="0"/>
            </w:tcBorders>
            <w:noWrap w:val="0"/>
            <w:vAlign w:val="center"/>
          </w:tcPr>
          <w:p w14:paraId="25674D50">
            <w:pPr>
              <w:keepNext w:val="0"/>
              <w:keepLines w:val="0"/>
              <w:pageBreakBefore w:val="0"/>
              <w:widowControl w:val="0"/>
              <w:spacing w:line="240" w:lineRule="auto"/>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业绩</w:t>
            </w:r>
          </w:p>
        </w:tc>
        <w:tc>
          <w:tcPr>
            <w:tcW w:w="3235" w:type="pct"/>
            <w:tcBorders>
              <w:top w:val="single" w:color="auto" w:sz="4" w:space="0"/>
              <w:left w:val="single" w:color="auto" w:sz="4" w:space="0"/>
              <w:right w:val="single" w:color="auto" w:sz="4" w:space="0"/>
            </w:tcBorders>
            <w:noWrap w:val="0"/>
            <w:vAlign w:val="center"/>
          </w:tcPr>
          <w:p w14:paraId="7B522472">
            <w:pPr>
              <w:keepNext w:val="0"/>
              <w:keepLines w:val="0"/>
              <w:pageBreakBefore w:val="0"/>
              <w:widowControl w:val="0"/>
              <w:spacing w:line="24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自2021年1月1日以来（以合同签订时间为准），供应商承担过美丽河湖评价、河湖健康评估、水生态环境调查评估等类似项目：（1）省级及以上项目，每提供1个得3分，满分6分；</w:t>
            </w:r>
            <w:r>
              <w:rPr>
                <w:rFonts w:hint="eastAsia" w:ascii="宋体" w:hAnsi="宋体" w:eastAsia="宋体" w:cs="宋体"/>
                <w:b w:val="0"/>
                <w:bCs w:val="0"/>
                <w:color w:val="auto"/>
                <w:sz w:val="24"/>
                <w:szCs w:val="24"/>
                <w:highlight w:val="none"/>
                <w:lang w:val="en-US" w:eastAsia="zh-CN"/>
              </w:rPr>
              <w:br w:type="textWrapping"/>
            </w:r>
            <w:r>
              <w:rPr>
                <w:rFonts w:hint="eastAsia" w:ascii="宋体" w:hAnsi="宋体" w:eastAsia="宋体" w:cs="宋体"/>
                <w:b w:val="0"/>
                <w:bCs w:val="0"/>
                <w:color w:val="auto"/>
                <w:sz w:val="24"/>
                <w:szCs w:val="24"/>
                <w:highlight w:val="none"/>
                <w:lang w:val="en-US" w:eastAsia="zh-CN"/>
              </w:rPr>
              <w:t>（2）</w:t>
            </w:r>
            <w:r>
              <w:rPr>
                <w:rFonts w:hint="eastAsia"/>
                <w:lang w:val="en-US" w:eastAsia="zh-CN"/>
              </w:rPr>
              <w:t>类似项目业绩</w:t>
            </w:r>
            <w:r>
              <w:rPr>
                <w:rFonts w:hint="eastAsia" w:ascii="宋体" w:hAnsi="宋体" w:eastAsia="宋体" w:cs="宋体"/>
                <w:b w:val="0"/>
                <w:bCs w:val="0"/>
                <w:color w:val="auto"/>
                <w:sz w:val="24"/>
                <w:szCs w:val="24"/>
                <w:highlight w:val="none"/>
                <w:lang w:val="en-US" w:eastAsia="zh-CN"/>
              </w:rPr>
              <w:t>，每提供1个得2分，满分4分；</w:t>
            </w:r>
            <w:r>
              <w:rPr>
                <w:rFonts w:hint="eastAsia" w:ascii="宋体" w:hAnsi="宋体" w:eastAsia="宋体" w:cs="宋体"/>
                <w:b w:val="0"/>
                <w:bCs w:val="0"/>
                <w:color w:val="auto"/>
                <w:sz w:val="24"/>
                <w:szCs w:val="24"/>
                <w:highlight w:val="none"/>
                <w:lang w:val="en-US" w:eastAsia="zh-CN"/>
              </w:rPr>
              <w:br w:type="textWrapping"/>
            </w:r>
            <w:r>
              <w:rPr>
                <w:rFonts w:hint="eastAsia" w:ascii="宋体" w:hAnsi="宋体" w:eastAsia="宋体" w:cs="宋体"/>
                <w:b w:val="0"/>
                <w:bCs w:val="0"/>
                <w:color w:val="auto"/>
                <w:sz w:val="24"/>
                <w:szCs w:val="24"/>
                <w:highlight w:val="none"/>
                <w:lang w:val="en-US" w:eastAsia="zh-CN"/>
              </w:rPr>
              <w:t>注：须同时提供合同复印件、成果报告封面及验收证明，未提供不得分。</w:t>
            </w:r>
          </w:p>
        </w:tc>
        <w:tc>
          <w:tcPr>
            <w:tcW w:w="554" w:type="pct"/>
            <w:tcBorders>
              <w:top w:val="single" w:color="auto" w:sz="4" w:space="0"/>
              <w:left w:val="single" w:color="auto" w:sz="4" w:space="0"/>
              <w:right w:val="single" w:color="auto" w:sz="4" w:space="0"/>
            </w:tcBorders>
            <w:shd w:val="clear" w:color="auto" w:fill="auto"/>
            <w:noWrap w:val="0"/>
            <w:vAlign w:val="center"/>
          </w:tcPr>
          <w:p w14:paraId="195F250B">
            <w:pPr>
              <w:keepNext w:val="0"/>
              <w:keepLines w:val="0"/>
              <w:pageBreakBefore w:val="0"/>
              <w:widowControl w:val="0"/>
              <w:spacing w:line="240" w:lineRule="auto"/>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10</w:t>
            </w:r>
          </w:p>
        </w:tc>
      </w:tr>
    </w:tbl>
    <w:p w14:paraId="5E4FEE09">
      <w:pPr>
        <w:rPr>
          <w:rFonts w:hint="default"/>
          <w:color w:val="auto"/>
          <w:highlight w:val="none"/>
          <w:lang w:val="en-US" w:eastAsia="zh-CN"/>
        </w:rPr>
      </w:pPr>
      <w:r>
        <w:rPr>
          <w:rFonts w:hint="eastAsia"/>
          <w:color w:val="auto"/>
          <w:highlight w:val="none"/>
          <w:lang w:val="en-US" w:eastAsia="zh-CN"/>
        </w:rPr>
        <w:t>说明：（1）所有打分项均以投标人所提供的投标文件进行打分，投标文件中未提及的不予认可，投标文件提交截止时间后不得修改或补充投标文件。（2）投标人的最终得分为所有评委打分的平均值，计算结果保留至小数点后两位。</w:t>
      </w:r>
    </w:p>
    <w:sectPr>
      <w:footerReference r:id="rId3" w:type="default"/>
      <w:pgSz w:w="11906" w:h="16838"/>
      <w:pgMar w:top="1803" w:right="1440" w:bottom="1803" w:left="144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9DACE">
    <w:pPr>
      <w:pStyle w:val="5"/>
      <w:tabs>
        <w:tab w:val="right" w:pos="9026"/>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FE6662">
                          <w:pPr>
                            <w:pStyle w:val="5"/>
                          </w:pPr>
                          <w:r>
                            <w:t xml:space="preserve">— </w:t>
                          </w:r>
                          <w:r>
                            <w:fldChar w:fldCharType="begin"/>
                          </w:r>
                          <w:r>
                            <w:instrText xml:space="preserve"> PAGE  \* MERGEFORMAT </w:instrText>
                          </w:r>
                          <w:r>
                            <w:fldChar w:fldCharType="separate"/>
                          </w:r>
                          <w:r>
                            <w:t>22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FFE6662">
                    <w:pPr>
                      <w:pStyle w:val="5"/>
                    </w:pPr>
                    <w:r>
                      <w:t xml:space="preserve">— </w:t>
                    </w:r>
                    <w:r>
                      <w:fldChar w:fldCharType="begin"/>
                    </w:r>
                    <w:r>
                      <w:instrText xml:space="preserve"> PAGE  \* MERGEFORMAT </w:instrText>
                    </w:r>
                    <w:r>
                      <w:fldChar w:fldCharType="separate"/>
                    </w:r>
                    <w:r>
                      <w:t>22</w:t>
                    </w:r>
                    <w:r>
                      <w:fldChar w:fldCharType="end"/>
                    </w:r>
                    <w:r>
                      <w:t xml:space="preserve"> —</w:t>
                    </w:r>
                  </w:p>
                </w:txbxContent>
              </v:textbox>
            </v:shape>
          </w:pict>
        </mc:Fallback>
      </mc:AlternateContent>
    </w:r>
    <w:r>
      <w:rPr>
        <w:rFonts w:hint="eastAsia"/>
      </w:rPr>
      <w:tab/>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jMjM1ZTYxYjBkMGQyNzU0Mzc1YzdkNmU0OGNiNWQifQ=="/>
  </w:docVars>
  <w:rsids>
    <w:rsidRoot w:val="00A55D9E"/>
    <w:rsid w:val="00047516"/>
    <w:rsid w:val="000A0752"/>
    <w:rsid w:val="001053D3"/>
    <w:rsid w:val="00122590"/>
    <w:rsid w:val="00237A6E"/>
    <w:rsid w:val="002961AC"/>
    <w:rsid w:val="00332B68"/>
    <w:rsid w:val="00376384"/>
    <w:rsid w:val="003D7B97"/>
    <w:rsid w:val="003F3E15"/>
    <w:rsid w:val="004B083F"/>
    <w:rsid w:val="0051641E"/>
    <w:rsid w:val="005D50B3"/>
    <w:rsid w:val="006A7E61"/>
    <w:rsid w:val="006D743D"/>
    <w:rsid w:val="008941AE"/>
    <w:rsid w:val="009D7038"/>
    <w:rsid w:val="009F0E9A"/>
    <w:rsid w:val="00A35929"/>
    <w:rsid w:val="00A55D9E"/>
    <w:rsid w:val="00C56E35"/>
    <w:rsid w:val="00C6339D"/>
    <w:rsid w:val="00CA3979"/>
    <w:rsid w:val="00D3106C"/>
    <w:rsid w:val="00E454FD"/>
    <w:rsid w:val="00F10C21"/>
    <w:rsid w:val="00FC311B"/>
    <w:rsid w:val="01CB7BDB"/>
    <w:rsid w:val="02146AF5"/>
    <w:rsid w:val="02336E0C"/>
    <w:rsid w:val="035C031C"/>
    <w:rsid w:val="06492D57"/>
    <w:rsid w:val="082D3107"/>
    <w:rsid w:val="0854278F"/>
    <w:rsid w:val="08FC454D"/>
    <w:rsid w:val="09622C8A"/>
    <w:rsid w:val="098F7C47"/>
    <w:rsid w:val="0B072024"/>
    <w:rsid w:val="0B375954"/>
    <w:rsid w:val="0BA5675A"/>
    <w:rsid w:val="0C454C0A"/>
    <w:rsid w:val="0D504793"/>
    <w:rsid w:val="0E6B51E6"/>
    <w:rsid w:val="0E793AA3"/>
    <w:rsid w:val="0EBD5F19"/>
    <w:rsid w:val="0FB75ADD"/>
    <w:rsid w:val="10637A13"/>
    <w:rsid w:val="112847B9"/>
    <w:rsid w:val="142851FC"/>
    <w:rsid w:val="14F72E20"/>
    <w:rsid w:val="15525AAC"/>
    <w:rsid w:val="18037914"/>
    <w:rsid w:val="183F149E"/>
    <w:rsid w:val="19C00F4E"/>
    <w:rsid w:val="1C473F2F"/>
    <w:rsid w:val="1DA87B6A"/>
    <w:rsid w:val="1DAE65BB"/>
    <w:rsid w:val="1E540220"/>
    <w:rsid w:val="1FB37310"/>
    <w:rsid w:val="201725C8"/>
    <w:rsid w:val="20AD0837"/>
    <w:rsid w:val="20B32118"/>
    <w:rsid w:val="22827218"/>
    <w:rsid w:val="25EB7E37"/>
    <w:rsid w:val="260373BD"/>
    <w:rsid w:val="263B7010"/>
    <w:rsid w:val="2704340F"/>
    <w:rsid w:val="272D5451"/>
    <w:rsid w:val="28BC64C0"/>
    <w:rsid w:val="29656152"/>
    <w:rsid w:val="2ADA1DAF"/>
    <w:rsid w:val="2B2103A0"/>
    <w:rsid w:val="2B8473DE"/>
    <w:rsid w:val="2BCA4992"/>
    <w:rsid w:val="2C511F4E"/>
    <w:rsid w:val="2E755089"/>
    <w:rsid w:val="2FAB58C1"/>
    <w:rsid w:val="315F792B"/>
    <w:rsid w:val="32B27158"/>
    <w:rsid w:val="32CA17B2"/>
    <w:rsid w:val="32F966F8"/>
    <w:rsid w:val="336012A0"/>
    <w:rsid w:val="34C226AB"/>
    <w:rsid w:val="35ED1106"/>
    <w:rsid w:val="36F017CC"/>
    <w:rsid w:val="37757EA8"/>
    <w:rsid w:val="37F74C98"/>
    <w:rsid w:val="37FC0314"/>
    <w:rsid w:val="387719FE"/>
    <w:rsid w:val="38E07F79"/>
    <w:rsid w:val="3965178F"/>
    <w:rsid w:val="3984405C"/>
    <w:rsid w:val="3B972021"/>
    <w:rsid w:val="3D2A5291"/>
    <w:rsid w:val="3DC81F42"/>
    <w:rsid w:val="3DDB81DC"/>
    <w:rsid w:val="42116A20"/>
    <w:rsid w:val="441B13F3"/>
    <w:rsid w:val="445A6E35"/>
    <w:rsid w:val="44B71C12"/>
    <w:rsid w:val="45DE4E6B"/>
    <w:rsid w:val="461F061C"/>
    <w:rsid w:val="478A34FC"/>
    <w:rsid w:val="47904B95"/>
    <w:rsid w:val="48144172"/>
    <w:rsid w:val="499156BB"/>
    <w:rsid w:val="4A7369B0"/>
    <w:rsid w:val="4F9A042C"/>
    <w:rsid w:val="5147155B"/>
    <w:rsid w:val="52FB4EB2"/>
    <w:rsid w:val="5368694A"/>
    <w:rsid w:val="53693586"/>
    <w:rsid w:val="5385786C"/>
    <w:rsid w:val="53B57590"/>
    <w:rsid w:val="53C90F08"/>
    <w:rsid w:val="54BD12D7"/>
    <w:rsid w:val="56D41746"/>
    <w:rsid w:val="571D3A74"/>
    <w:rsid w:val="57C540DC"/>
    <w:rsid w:val="593848C9"/>
    <w:rsid w:val="5A470806"/>
    <w:rsid w:val="5C185C27"/>
    <w:rsid w:val="5C384E7D"/>
    <w:rsid w:val="5CD2084E"/>
    <w:rsid w:val="5F9D3805"/>
    <w:rsid w:val="5FBD1D4D"/>
    <w:rsid w:val="5FEBC3E8"/>
    <w:rsid w:val="5FF773E4"/>
    <w:rsid w:val="602D281F"/>
    <w:rsid w:val="60487659"/>
    <w:rsid w:val="619A3EE4"/>
    <w:rsid w:val="620D28AC"/>
    <w:rsid w:val="62712E97"/>
    <w:rsid w:val="62D25686"/>
    <w:rsid w:val="64E51A25"/>
    <w:rsid w:val="669245B8"/>
    <w:rsid w:val="66B83C92"/>
    <w:rsid w:val="6751773B"/>
    <w:rsid w:val="67BB632F"/>
    <w:rsid w:val="69F10D61"/>
    <w:rsid w:val="6B2276B3"/>
    <w:rsid w:val="6CC4450B"/>
    <w:rsid w:val="6CCD55D3"/>
    <w:rsid w:val="6ECE20D9"/>
    <w:rsid w:val="71535E5D"/>
    <w:rsid w:val="72E247CD"/>
    <w:rsid w:val="751509D3"/>
    <w:rsid w:val="761B5537"/>
    <w:rsid w:val="761D35D3"/>
    <w:rsid w:val="77A80138"/>
    <w:rsid w:val="77F94420"/>
    <w:rsid w:val="78801C2E"/>
    <w:rsid w:val="7B86755B"/>
    <w:rsid w:val="7B9A1A92"/>
    <w:rsid w:val="7C3E7E36"/>
    <w:rsid w:val="7E097FCF"/>
    <w:rsid w:val="7EDF9BC9"/>
    <w:rsid w:val="BE3C70C2"/>
    <w:rsid w:val="F9FF2EF5"/>
    <w:rsid w:val="FD7F4C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0"/>
    <w:pPr>
      <w:spacing w:after="120" w:afterLines="0" w:afterAutospacing="0"/>
    </w:p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qFormat/>
    <w:uiPriority w:val="99"/>
    <w:pPr>
      <w:snapToGrid w:val="0"/>
      <w:jc w:val="left"/>
    </w:pPr>
    <w:rPr>
      <w:rFonts w:eastAsia="仿宋_GB2312"/>
      <w:sz w:val="18"/>
      <w:szCs w:val="18"/>
    </w:rPr>
  </w:style>
  <w:style w:type="paragraph" w:styleId="8">
    <w:name w:val="toc 2"/>
    <w:basedOn w:val="1"/>
    <w:next w:val="1"/>
    <w:qFormat/>
    <w:uiPriority w:val="39"/>
    <w:pPr>
      <w:ind w:firstLine="1063" w:firstLineChars="331"/>
    </w:pPr>
    <w:rPr>
      <w:rFonts w:eastAsia="微软雅黑"/>
      <w:sz w:val="24"/>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w:basedOn w:val="4"/>
    <w:qFormat/>
    <w:uiPriority w:val="0"/>
    <w:pPr>
      <w:ind w:firstLine="420" w:firstLineChars="100"/>
    </w:p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TML Sample"/>
    <w:basedOn w:val="13"/>
    <w:semiHidden/>
    <w:unhideWhenUsed/>
    <w:qFormat/>
    <w:uiPriority w:val="99"/>
    <w:rPr>
      <w:rFonts w:ascii="Courier New" w:hAnsi="Courier New"/>
    </w:rPr>
  </w:style>
  <w:style w:type="paragraph" w:customStyle="1" w:styleId="1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正文"/>
    <w:basedOn w:val="1"/>
    <w:autoRedefine/>
    <w:qFormat/>
    <w:uiPriority w:val="0"/>
    <w:rPr>
      <w:rFonts w:ascii="宋体" w:hAnsi="宋体"/>
      <w:kern w:val="0"/>
    </w:rPr>
  </w:style>
  <w:style w:type="character" w:customStyle="1" w:styleId="17">
    <w:name w:val="页眉 Char"/>
    <w:basedOn w:val="13"/>
    <w:link w:val="6"/>
    <w:qFormat/>
    <w:uiPriority w:val="99"/>
    <w:rPr>
      <w:sz w:val="18"/>
      <w:szCs w:val="18"/>
    </w:rPr>
  </w:style>
  <w:style w:type="character" w:customStyle="1" w:styleId="18">
    <w:name w:val="页脚 Char"/>
    <w:basedOn w:val="13"/>
    <w:link w:val="5"/>
    <w:qFormat/>
    <w:uiPriority w:val="99"/>
    <w:rPr>
      <w:sz w:val="18"/>
      <w:szCs w:val="18"/>
    </w:rPr>
  </w:style>
  <w:style w:type="character" w:customStyle="1" w:styleId="19">
    <w:name w:val="NormalCharacter"/>
    <w:qFormat/>
    <w:uiPriority w:val="0"/>
  </w:style>
  <w:style w:type="paragraph" w:customStyle="1" w:styleId="20">
    <w:name w:val="发文字号"/>
    <w:basedOn w:val="1"/>
    <w:autoRedefine/>
    <w:qFormat/>
    <w:uiPriority w:val="99"/>
    <w:pPr>
      <w:widowControl w:val="0"/>
      <w:spacing w:line="240" w:lineRule="auto"/>
      <w:jc w:val="center"/>
    </w:pPr>
    <w:rPr>
      <w:rFonts w:cs="Times New Roman"/>
      <w:sz w:val="32"/>
      <w:szCs w:val="20"/>
    </w:rPr>
  </w:style>
  <w:style w:type="character" w:customStyle="1" w:styleId="21">
    <w:name w:val="font51"/>
    <w:basedOn w:val="13"/>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3a874052-d8da-4e4f-93e9-eb6c97131343</errorID>
      <errorWord>（</errorWord>
      <group>L1_Punc</group>
      <groupName>标点问题</groupName>
      <ability>L2_Punc_CN</ability>
      <abilityName>标点符号问题</abilityName>
      <candidateList/>
      <explain>同一形式括号套用。</explain>
      <paraID>53EAE59B</paraID>
      <start>96</start>
      <end>97</end>
      <status>ignored</status>
      <modifiedWord/>
      <trackRevisions>false</trackRevisions>
    </reviewItem>
    <reviewItem>
      <errorID>b3fc0025-8c10-447e-8fd5-537daea9eb1d</errorID>
      <errorWord>）</errorWord>
      <group>L1_Punc</group>
      <groupName>标点问题</groupName>
      <ability>L2_Punc_CN</ability>
      <abilityName>标点符号问题</abilityName>
      <candidateList/>
      <explain>同一形式括号套用。</explain>
      <paraID>53EAE59B</paraID>
      <start>112</start>
      <end>113</end>
      <status>ignored</status>
      <modifiedWord/>
      <trackRevisions>false</trackRevisions>
    </reviewItem>
    <reviewItem>
      <errorID>bfa0e56e-c997-45fd-a6c2-942ca8d434e7</errorID>
      <errorWord>（</errorWord>
      <group>L1_Punc</group>
      <groupName>标点问题</groupName>
      <ability>L2_Punc_CN</ability>
      <abilityName>标点符号问题</abilityName>
      <candidateList/>
      <explain>同一形式括号套用。</explain>
      <paraID>53EAE59B</paraID>
      <start>145</start>
      <end>146</end>
      <status>ignored</status>
      <modifiedWord/>
      <trackRevisions>false</trackRevisions>
    </reviewItem>
    <reviewItem>
      <errorID>02130cc5-0521-4299-9e65-1b4ced76c05a</errorID>
      <errorWord>）</errorWord>
      <group>L1_Punc</group>
      <groupName>标点问题</groupName>
      <ability>L2_Punc_CN</ability>
      <abilityName>标点符号问题</abilityName>
      <candidateList/>
      <explain>同一形式括号套用。</explain>
      <paraID>53EAE59B</paraID>
      <start>152</start>
      <end>153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77e18a-5ad7-4d7d-9cf7-d3e267fd3ccc}">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Pages>
  <Words>1534</Words>
  <Characters>1601</Characters>
  <Lines>2</Lines>
  <Paragraphs>1</Paragraphs>
  <TotalTime>2</TotalTime>
  <ScaleCrop>false</ScaleCrop>
  <LinksUpToDate>false</LinksUpToDate>
  <CharactersWithSpaces>1642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2018-08-03T11:24:00Z</dcterms:created>
  <dc:creator>钱飞燕</dc:creator>
  <cp:lastModifiedBy>WPS_1646030637</cp:lastModifiedBy>
  <cp:lastPrinted>2026-03-03T01:20:00Z</cp:lastPrinted>
  <dcterms:modified xsi:type="dcterms:W3CDTF">2026-08-03T09:12:06Z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F3B1301DD3E9434893A8B8325D14BE5A_13</vt:lpwstr>
  </property>
  <property fmtid="{D5CDD505-2E9C-101B-9397-08002B2CF9AE}" pid="4" name="KSOTemplateDocerSaveRecord">
    <vt:lpwstr>eyJoZGlkIjoiMmI0YWYyMjUxYTJhNzM2NDAzMGJjZGNlNzQ5ZGM3YTQiLCJ1c2VySWQiOiIxMzM5NTc1MDI2In0=</vt:lpwstr>
  </property>
</Properties>
</file>