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D5B23">
      <w:pPr>
        <w:spacing w:line="240" w:lineRule="auto"/>
        <w:ind w:left="0"/>
        <w:rPr>
          <w:rFonts w:hint="default" w:ascii="Times New Roman" w:hAnsi="Times New Roman" w:eastAsia="等线" w:cs="Times New Roman"/>
          <w:b/>
          <w:color w:val="000000" w:themeColor="text1"/>
          <w:sz w:val="52"/>
          <w14:textFill>
            <w14:solidFill>
              <w14:schemeClr w14:val="tx1"/>
            </w14:solidFill>
          </w14:textFill>
        </w:rPr>
      </w:pPr>
      <w:bookmarkStart w:id="0" w:name="_GoBack"/>
    </w:p>
    <w:bookmarkEnd w:id="0"/>
    <w:p w14:paraId="7CC9FE2F">
      <w:pPr>
        <w:spacing w:before="480" w:after="480" w:line="288" w:lineRule="auto"/>
        <w:ind w:left="0"/>
        <w:jc w:val="center"/>
        <w:rPr>
          <w:rFonts w:hint="default" w:ascii="Times New Roman" w:hAnsi="Times New Roman" w:cs="Times New Roman"/>
          <w:color w:val="000000" w:themeColor="text1"/>
          <w:sz w:val="18"/>
          <w:szCs w:val="21"/>
          <w14:textFill>
            <w14:solidFill>
              <w14:schemeClr w14:val="tx1"/>
            </w14:solidFill>
          </w14:textFill>
        </w:rPr>
      </w:pPr>
      <w:r>
        <w:rPr>
          <w:rFonts w:hint="eastAsia" w:ascii="Times New Roman" w:hAnsi="Times New Roman" w:eastAsia="等线" w:cs="Times New Roman"/>
          <w:b/>
          <w:color w:val="000000" w:themeColor="text1"/>
          <w:sz w:val="44"/>
          <w:szCs w:val="21"/>
          <w14:textFill>
            <w14:solidFill>
              <w14:schemeClr w14:val="tx1"/>
            </w14:solidFill>
          </w14:textFill>
        </w:rPr>
        <w:t>202</w:t>
      </w:r>
      <w:r>
        <w:rPr>
          <w:rFonts w:hint="eastAsia" w:ascii="Times New Roman" w:hAnsi="Times New Roman" w:eastAsia="等线" w:cs="Times New Roman"/>
          <w:b/>
          <w:color w:val="000000" w:themeColor="text1"/>
          <w:sz w:val="44"/>
          <w:szCs w:val="21"/>
          <w:lang w:val="en-US" w:eastAsia="zh-CN"/>
          <w14:textFill>
            <w14:solidFill>
              <w14:schemeClr w14:val="tx1"/>
            </w14:solidFill>
          </w14:textFill>
        </w:rPr>
        <w:t>6</w:t>
      </w:r>
      <w:r>
        <w:rPr>
          <w:rFonts w:hint="eastAsia" w:ascii="Times New Roman" w:hAnsi="Times New Roman" w:eastAsia="等线" w:cs="Times New Roman"/>
          <w:b/>
          <w:color w:val="000000" w:themeColor="text1"/>
          <w:sz w:val="44"/>
          <w:szCs w:val="21"/>
          <w14:textFill>
            <w14:solidFill>
              <w14:schemeClr w14:val="tx1"/>
            </w14:solidFill>
          </w14:textFill>
        </w:rPr>
        <w:t>-202</w:t>
      </w:r>
      <w:r>
        <w:rPr>
          <w:rFonts w:hint="eastAsia" w:ascii="Times New Roman" w:hAnsi="Times New Roman" w:eastAsia="等线" w:cs="Times New Roman"/>
          <w:b/>
          <w:color w:val="000000" w:themeColor="text1"/>
          <w:sz w:val="44"/>
          <w:szCs w:val="21"/>
          <w:lang w:val="en-US" w:eastAsia="zh-CN"/>
          <w14:textFill>
            <w14:solidFill>
              <w14:schemeClr w14:val="tx1"/>
            </w14:solidFill>
          </w14:textFill>
        </w:rPr>
        <w:t>7</w:t>
      </w:r>
      <w:r>
        <w:rPr>
          <w:rFonts w:hint="eastAsia" w:ascii="Times New Roman" w:hAnsi="Times New Roman" w:eastAsia="等线" w:cs="Times New Roman"/>
          <w:b/>
          <w:color w:val="000000" w:themeColor="text1"/>
          <w:sz w:val="44"/>
          <w:szCs w:val="21"/>
          <w14:textFill>
            <w14:solidFill>
              <w14:schemeClr w14:val="tx1"/>
            </w14:solidFill>
          </w14:textFill>
        </w:rPr>
        <w:t>年度水污染防治服务</w:t>
      </w:r>
      <w:r>
        <w:rPr>
          <w:rFonts w:hint="default" w:ascii="Times New Roman" w:hAnsi="Times New Roman" w:eastAsia="等线" w:cs="Times New Roman"/>
          <w:b/>
          <w:color w:val="000000" w:themeColor="text1"/>
          <w:sz w:val="44"/>
          <w:szCs w:val="21"/>
          <w14:textFill>
            <w14:solidFill>
              <w14:schemeClr w14:val="tx1"/>
            </w14:solidFill>
          </w14:textFill>
        </w:rPr>
        <w:t>项目评分表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5832"/>
        <w:gridCol w:w="720"/>
        <w:gridCol w:w="606"/>
      </w:tblGrid>
      <w:tr w14:paraId="5335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927" w:type="dxa"/>
            <w:noWrap w:val="0"/>
            <w:tcMar>
              <w:top w:w="0" w:type="dxa"/>
              <w:left w:w="108" w:type="dxa"/>
              <w:bottom w:w="0" w:type="dxa"/>
              <w:right w:w="108" w:type="dxa"/>
            </w:tcMar>
            <w:vAlign w:val="center"/>
          </w:tcPr>
          <w:p w14:paraId="5CAE72ED">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b/>
                <w:color w:val="000000" w:themeColor="text1"/>
                <w:sz w:val="22"/>
                <w14:textFill>
                  <w14:solidFill>
                    <w14:schemeClr w14:val="tx1"/>
                  </w14:solidFill>
                </w14:textFill>
              </w:rPr>
            </w:pPr>
            <w:r>
              <w:rPr>
                <w:rFonts w:hint="eastAsia" w:ascii="仿宋" w:hAnsi="仿宋" w:eastAsia="仿宋" w:cs="仿宋"/>
                <w:b/>
                <w:color w:val="000000" w:themeColor="text1"/>
                <w:sz w:val="22"/>
                <w14:textFill>
                  <w14:solidFill>
                    <w14:schemeClr w14:val="tx1"/>
                  </w14:solidFill>
                </w14:textFill>
              </w:rPr>
              <w:t>评分</w:t>
            </w:r>
          </w:p>
          <w:p w14:paraId="0D596B79">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2"/>
                <w14:textFill>
                  <w14:solidFill>
                    <w14:schemeClr w14:val="tx1"/>
                  </w14:solidFill>
                </w14:textFill>
              </w:rPr>
              <w:t>因素</w:t>
            </w:r>
          </w:p>
        </w:tc>
        <w:tc>
          <w:tcPr>
            <w:tcW w:w="5832" w:type="dxa"/>
            <w:noWrap w:val="0"/>
            <w:tcMar>
              <w:top w:w="0" w:type="dxa"/>
              <w:left w:w="108" w:type="dxa"/>
              <w:bottom w:w="0" w:type="dxa"/>
              <w:right w:w="108" w:type="dxa"/>
            </w:tcMar>
            <w:vAlign w:val="center"/>
          </w:tcPr>
          <w:p w14:paraId="3A917429">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2"/>
                <w14:textFill>
                  <w14:solidFill>
                    <w14:schemeClr w14:val="tx1"/>
                  </w14:solidFill>
                </w14:textFill>
              </w:rPr>
              <w:t>评审标准</w:t>
            </w:r>
          </w:p>
        </w:tc>
        <w:tc>
          <w:tcPr>
            <w:tcW w:w="720" w:type="dxa"/>
            <w:noWrap w:val="0"/>
            <w:tcMar>
              <w:top w:w="0" w:type="dxa"/>
              <w:left w:w="108" w:type="dxa"/>
              <w:bottom w:w="0" w:type="dxa"/>
              <w:right w:w="108" w:type="dxa"/>
            </w:tcMar>
            <w:vAlign w:val="center"/>
          </w:tcPr>
          <w:p w14:paraId="190C8252">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2"/>
                <w14:textFill>
                  <w14:solidFill>
                    <w14:schemeClr w14:val="tx1"/>
                  </w14:solidFill>
                </w14:textFill>
              </w:rPr>
              <w:t>分值</w:t>
            </w:r>
          </w:p>
        </w:tc>
        <w:tc>
          <w:tcPr>
            <w:tcW w:w="606" w:type="dxa"/>
            <w:noWrap w:val="0"/>
            <w:tcMar>
              <w:top w:w="0" w:type="dxa"/>
              <w:left w:w="108" w:type="dxa"/>
              <w:bottom w:w="0" w:type="dxa"/>
              <w:right w:w="108" w:type="dxa"/>
            </w:tcMar>
            <w:vAlign w:val="center"/>
          </w:tcPr>
          <w:p w14:paraId="5478B8CA">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b/>
                <w:color w:val="000000" w:themeColor="text1"/>
                <w:sz w:val="22"/>
                <w14:textFill>
                  <w14:solidFill>
                    <w14:schemeClr w14:val="tx1"/>
                  </w14:solidFill>
                </w14:textFill>
              </w:rPr>
            </w:pPr>
          </w:p>
        </w:tc>
      </w:tr>
      <w:tr w14:paraId="6171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trPr>
        <w:tc>
          <w:tcPr>
            <w:tcW w:w="927" w:type="dxa"/>
            <w:noWrap w:val="0"/>
            <w:tcMar>
              <w:top w:w="0" w:type="dxa"/>
              <w:left w:w="108" w:type="dxa"/>
              <w:bottom w:w="0" w:type="dxa"/>
              <w:right w:w="108" w:type="dxa"/>
            </w:tcMar>
            <w:vAlign w:val="center"/>
          </w:tcPr>
          <w:p w14:paraId="78F8FA04">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b/>
                <w:color w:val="000000" w:themeColor="text1"/>
                <w:sz w:val="22"/>
                <w14:textFill>
                  <w14:solidFill>
                    <w14:schemeClr w14:val="tx1"/>
                  </w14:solidFill>
                </w14:textFill>
              </w:rPr>
            </w:pPr>
            <w:r>
              <w:rPr>
                <w:rFonts w:hint="eastAsia" w:ascii="仿宋" w:hAnsi="仿宋" w:eastAsia="仿宋" w:cs="仿宋"/>
                <w:b/>
                <w:color w:val="000000" w:themeColor="text1"/>
                <w:sz w:val="22"/>
                <w14:textFill>
                  <w14:solidFill>
                    <w14:schemeClr w14:val="tx1"/>
                  </w14:solidFill>
                </w14:textFill>
              </w:rPr>
              <w:t>投标</w:t>
            </w:r>
          </w:p>
          <w:p w14:paraId="06FE6F76">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2"/>
                <w14:textFill>
                  <w14:solidFill>
                    <w14:schemeClr w14:val="tx1"/>
                  </w14:solidFill>
                </w14:textFill>
              </w:rPr>
              <w:t>价格</w:t>
            </w:r>
          </w:p>
        </w:tc>
        <w:tc>
          <w:tcPr>
            <w:tcW w:w="5832" w:type="dxa"/>
            <w:noWrap w:val="0"/>
            <w:tcMar>
              <w:top w:w="0" w:type="dxa"/>
              <w:left w:w="108" w:type="dxa"/>
              <w:bottom w:w="0" w:type="dxa"/>
              <w:right w:w="108" w:type="dxa"/>
            </w:tcMar>
            <w:vAlign w:val="center"/>
          </w:tcPr>
          <w:p w14:paraId="1AEB8694">
            <w:pPr>
              <w:pBdr>
                <w:top w:val="none" w:color="000000" w:sz="0" w:space="0"/>
                <w:left w:val="none" w:color="000000" w:sz="0" w:space="0"/>
                <w:bottom w:val="none" w:color="000000" w:sz="0" w:space="0"/>
                <w:right w:val="none" w:color="000000" w:sz="0" w:space="0"/>
              </w:pBdr>
              <w:spacing w:before="0" w:after="0" w:line="240" w:lineRule="auto"/>
              <w:ind w:left="0" w:right="0" w:firstLine="0"/>
              <w:jc w:val="both"/>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采用低价优先法计算，即满足采购文件要求且投标价格最低的投标报价为评标基准价，其价格分为满分。其他投标供应商的价格分按照下列公式计算（小数点后保留两位）：投标报价得分=</w:t>
            </w:r>
            <w:r>
              <w:rPr>
                <w:rFonts w:hint="eastAsia" w:ascii="仿宋" w:hAnsi="仿宋" w:eastAsia="仿宋" w:cs="仿宋"/>
                <w:color w:val="000000" w:themeColor="text1"/>
                <w:sz w:val="22"/>
                <w:lang w:eastAsia="zh-CN"/>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评标基准价／投标报价</w:t>
            </w:r>
            <w:r>
              <w:rPr>
                <w:rFonts w:hint="eastAsia" w:ascii="仿宋" w:hAnsi="仿宋" w:eastAsia="仿宋" w:cs="仿宋"/>
                <w:color w:val="000000" w:themeColor="text1"/>
                <w:sz w:val="22"/>
                <w:lang w:eastAsia="zh-CN"/>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w:t>
            </w:r>
            <w:r>
              <w:rPr>
                <w:rFonts w:hint="eastAsia" w:ascii="仿宋" w:hAnsi="仿宋" w:eastAsia="仿宋" w:cs="仿宋"/>
                <w:color w:val="000000" w:themeColor="text1"/>
                <w:sz w:val="22"/>
                <w:lang w:eastAsia="zh-CN"/>
                <w14:textFill>
                  <w14:solidFill>
                    <w14:schemeClr w14:val="tx1"/>
                  </w14:solidFill>
                </w14:textFill>
              </w:rPr>
              <w:t>投标报价分值</w:t>
            </w:r>
          </w:p>
        </w:tc>
        <w:tc>
          <w:tcPr>
            <w:tcW w:w="720" w:type="dxa"/>
            <w:noWrap w:val="0"/>
            <w:tcMar>
              <w:top w:w="0" w:type="dxa"/>
              <w:left w:w="108" w:type="dxa"/>
              <w:bottom w:w="0" w:type="dxa"/>
              <w:right w:w="108" w:type="dxa"/>
            </w:tcMar>
            <w:vAlign w:val="center"/>
          </w:tcPr>
          <w:p w14:paraId="47C1584B">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default" w:ascii="仿宋" w:hAnsi="仿宋" w:eastAsia="仿宋" w:cs="仿宋"/>
                <w:color w:val="000000" w:themeColor="text1"/>
                <w:lang w:val="en-US"/>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20</w:t>
            </w:r>
          </w:p>
        </w:tc>
        <w:tc>
          <w:tcPr>
            <w:tcW w:w="606" w:type="dxa"/>
            <w:noWrap w:val="0"/>
            <w:tcMar>
              <w:top w:w="0" w:type="dxa"/>
              <w:left w:w="108" w:type="dxa"/>
              <w:bottom w:w="0" w:type="dxa"/>
              <w:right w:w="108" w:type="dxa"/>
            </w:tcMar>
            <w:vAlign w:val="center"/>
          </w:tcPr>
          <w:p w14:paraId="03B9AA1F">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sz w:val="22"/>
                <w:lang w:val="en-US" w:eastAsia="zh-CN"/>
                <w14:textFill>
                  <w14:solidFill>
                    <w14:schemeClr w14:val="tx1"/>
                  </w14:solidFill>
                </w14:textFill>
              </w:rPr>
            </w:pPr>
          </w:p>
        </w:tc>
      </w:tr>
      <w:tr w14:paraId="338D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27" w:type="dxa"/>
            <w:noWrap w:val="0"/>
            <w:tcMar>
              <w:top w:w="0" w:type="dxa"/>
              <w:left w:w="108" w:type="dxa"/>
              <w:bottom w:w="0" w:type="dxa"/>
              <w:right w:w="108" w:type="dxa"/>
            </w:tcMar>
            <w:vAlign w:val="center"/>
          </w:tcPr>
          <w:p w14:paraId="616AE14F">
            <w:pPr>
              <w:jc w:val="center"/>
              <w:rPr>
                <w:rFonts w:hint="eastAsia" w:ascii="仿宋" w:hAnsi="仿宋" w:eastAsia="仿宋" w:cs="仿宋"/>
                <w:b/>
                <w:color w:val="000000" w:themeColor="text1"/>
                <w:sz w:val="22"/>
                <w14:textFill>
                  <w14:solidFill>
                    <w14:schemeClr w14:val="tx1"/>
                  </w14:solidFill>
                </w14:textFill>
              </w:rPr>
            </w:pPr>
            <w:r>
              <w:rPr>
                <w:rFonts w:hint="eastAsia" w:ascii="仿宋" w:hAnsi="仿宋" w:eastAsia="仿宋" w:cs="仿宋"/>
                <w:b/>
                <w:color w:val="000000" w:themeColor="text1"/>
                <w:sz w:val="22"/>
                <w14:textFill>
                  <w14:solidFill>
                    <w14:schemeClr w14:val="tx1"/>
                  </w14:solidFill>
                </w14:textFill>
              </w:rPr>
              <w:t>实施</w:t>
            </w:r>
          </w:p>
          <w:p w14:paraId="2FD724BB">
            <w:pPr>
              <w:jc w:val="center"/>
              <w:rPr>
                <w:rFonts w:hint="eastAsia" w:ascii="仿宋" w:hAnsi="仿宋" w:eastAsia="仿宋" w:cs="仿宋"/>
                <w:b/>
                <w:color w:val="000000" w:themeColor="text1"/>
                <w:sz w:val="22"/>
                <w14:textFill>
                  <w14:solidFill>
                    <w14:schemeClr w14:val="tx1"/>
                  </w14:solidFill>
                </w14:textFill>
              </w:rPr>
            </w:pPr>
            <w:r>
              <w:rPr>
                <w:rFonts w:hint="eastAsia" w:ascii="仿宋" w:hAnsi="仿宋" w:eastAsia="仿宋" w:cs="仿宋"/>
                <w:b/>
                <w:color w:val="000000" w:themeColor="text1"/>
                <w:sz w:val="22"/>
                <w14:textFill>
                  <w14:solidFill>
                    <w14:schemeClr w14:val="tx1"/>
                  </w14:solidFill>
                </w14:textFill>
              </w:rPr>
              <w:t>方案</w:t>
            </w:r>
          </w:p>
        </w:tc>
        <w:tc>
          <w:tcPr>
            <w:tcW w:w="5832" w:type="dxa"/>
            <w:noWrap w:val="0"/>
            <w:tcMar>
              <w:top w:w="0" w:type="dxa"/>
              <w:left w:w="108" w:type="dxa"/>
              <w:bottom w:w="0" w:type="dxa"/>
              <w:right w:w="108" w:type="dxa"/>
            </w:tcMar>
            <w:vAlign w:val="center"/>
          </w:tcPr>
          <w:p w14:paraId="60492ECB">
            <w:pPr>
              <w:pBdr>
                <w:top w:val="none" w:color="000000" w:sz="0" w:space="0"/>
                <w:left w:val="none" w:color="000000" w:sz="0" w:space="0"/>
                <w:bottom w:val="none" w:color="000000" w:sz="0" w:space="0"/>
                <w:right w:val="none" w:color="000000" w:sz="0" w:space="0"/>
              </w:pBdr>
              <w:spacing w:before="0" w:after="0" w:line="240" w:lineRule="auto"/>
              <w:ind w:left="0" w:right="0" w:firstLine="0"/>
              <w:jc w:val="both"/>
              <w:rPr>
                <w:rFonts w:hint="eastAsia" w:ascii="仿宋" w:hAnsi="仿宋" w:eastAsia="仿宋" w:cs="仿宋"/>
                <w:color w:val="000000" w:themeColor="text1"/>
                <w:sz w:val="22"/>
                <w:lang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供应商根据采购人的需求和项目具体内容并结合自身情况制定服务方案。服务方案内容非常完善、翔实，具有非常强的可操作性，项目组织结构非常清晰，最高得20分；服务方案内容比较完善、翔实，具有比较强的可操作性，项目组织结构比较明晰，最高得10分；服务方案内容基本完善、翔实，具有可操作性，项目组织结构基本明晰，最高得5分；无表述，不得分。</w:t>
            </w:r>
          </w:p>
        </w:tc>
        <w:tc>
          <w:tcPr>
            <w:tcW w:w="720" w:type="dxa"/>
            <w:noWrap w:val="0"/>
            <w:tcMar>
              <w:top w:w="0" w:type="dxa"/>
              <w:left w:w="108" w:type="dxa"/>
              <w:bottom w:w="0" w:type="dxa"/>
              <w:right w:w="108" w:type="dxa"/>
            </w:tcMar>
            <w:vAlign w:val="center"/>
          </w:tcPr>
          <w:p w14:paraId="55443144">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20</w:t>
            </w:r>
          </w:p>
        </w:tc>
        <w:tc>
          <w:tcPr>
            <w:tcW w:w="606" w:type="dxa"/>
            <w:noWrap w:val="0"/>
            <w:tcMar>
              <w:top w:w="0" w:type="dxa"/>
              <w:left w:w="108" w:type="dxa"/>
              <w:bottom w:w="0" w:type="dxa"/>
              <w:right w:w="108" w:type="dxa"/>
            </w:tcMar>
            <w:vAlign w:val="center"/>
          </w:tcPr>
          <w:p w14:paraId="4EB6AE21">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sz w:val="22"/>
                <w:lang w:val="en-US" w:eastAsia="zh-CN"/>
                <w14:textFill>
                  <w14:solidFill>
                    <w14:schemeClr w14:val="tx1"/>
                  </w14:solidFill>
                </w14:textFill>
              </w:rPr>
            </w:pPr>
          </w:p>
        </w:tc>
      </w:tr>
      <w:tr w14:paraId="20AE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27" w:type="dxa"/>
            <w:shd w:val="clear" w:color="auto" w:fill="auto"/>
            <w:noWrap w:val="0"/>
            <w:tcMar>
              <w:top w:w="0" w:type="dxa"/>
              <w:left w:w="108" w:type="dxa"/>
              <w:bottom w:w="0" w:type="dxa"/>
              <w:right w:w="108" w:type="dxa"/>
            </w:tcMar>
            <w:vAlign w:val="center"/>
          </w:tcPr>
          <w:p w14:paraId="1825A33D">
            <w:pPr>
              <w:jc w:val="center"/>
              <w:rPr>
                <w:rFonts w:hint="eastAsia" w:ascii="仿宋" w:hAnsi="仿宋" w:eastAsia="仿宋" w:cs="仿宋"/>
                <w:b/>
                <w:color w:val="000000" w:themeColor="text1"/>
                <w:kern w:val="2"/>
                <w:sz w:val="22"/>
                <w:szCs w:val="24"/>
                <w:lang w:val="en-US" w:eastAsia="zh-CN" w:bidi="ar-SA"/>
                <w14:textFill>
                  <w14:solidFill>
                    <w14:schemeClr w14:val="tx1"/>
                  </w14:solidFill>
                </w14:textFill>
              </w:rPr>
            </w:pPr>
            <w:r>
              <w:rPr>
                <w:rFonts w:hint="eastAsia" w:ascii="仿宋" w:hAnsi="仿宋" w:eastAsia="仿宋" w:cs="仿宋"/>
                <w:b/>
                <w:color w:val="000000" w:themeColor="text1"/>
                <w:kern w:val="2"/>
                <w:sz w:val="22"/>
                <w:szCs w:val="24"/>
                <w:lang w:val="en-US" w:eastAsia="zh-CN" w:bidi="ar-SA"/>
                <w14:textFill>
                  <w14:solidFill>
                    <w14:schemeClr w14:val="tx1"/>
                  </w14:solidFill>
                </w14:textFill>
              </w:rPr>
              <w:t>工作</w:t>
            </w:r>
          </w:p>
          <w:p w14:paraId="570636A3">
            <w:pPr>
              <w:jc w:val="center"/>
              <w:rPr>
                <w:rFonts w:hint="default" w:ascii="仿宋" w:hAnsi="仿宋" w:eastAsia="仿宋" w:cs="仿宋"/>
                <w:b/>
                <w:color w:val="000000" w:themeColor="text1"/>
                <w:kern w:val="2"/>
                <w:sz w:val="22"/>
                <w:szCs w:val="24"/>
                <w:lang w:val="en-US" w:eastAsia="zh-CN" w:bidi="ar-SA"/>
                <w14:textFill>
                  <w14:solidFill>
                    <w14:schemeClr w14:val="tx1"/>
                  </w14:solidFill>
                </w14:textFill>
              </w:rPr>
            </w:pPr>
            <w:r>
              <w:rPr>
                <w:rFonts w:hint="eastAsia" w:ascii="仿宋" w:hAnsi="仿宋" w:eastAsia="仿宋" w:cs="仿宋"/>
                <w:b/>
                <w:color w:val="000000" w:themeColor="text1"/>
                <w:kern w:val="2"/>
                <w:sz w:val="22"/>
                <w:szCs w:val="24"/>
                <w:lang w:val="en-US" w:eastAsia="zh-CN" w:bidi="ar-SA"/>
                <w14:textFill>
                  <w14:solidFill>
                    <w14:schemeClr w14:val="tx1"/>
                  </w14:solidFill>
                </w14:textFill>
              </w:rPr>
              <w:t>计划</w:t>
            </w:r>
          </w:p>
        </w:tc>
        <w:tc>
          <w:tcPr>
            <w:tcW w:w="5832" w:type="dxa"/>
            <w:shd w:val="clear" w:color="auto" w:fill="auto"/>
            <w:noWrap w:val="0"/>
            <w:tcMar>
              <w:top w:w="0" w:type="dxa"/>
              <w:left w:w="108" w:type="dxa"/>
              <w:bottom w:w="0" w:type="dxa"/>
              <w:right w:w="108" w:type="dxa"/>
            </w:tcMar>
            <w:vAlign w:val="center"/>
          </w:tcPr>
          <w:p w14:paraId="7055AC95">
            <w:pPr>
              <w:pBdr>
                <w:top w:val="none" w:color="000000" w:sz="0" w:space="0"/>
                <w:left w:val="none" w:color="000000" w:sz="0" w:space="0"/>
                <w:bottom w:val="none" w:color="000000" w:sz="0" w:space="0"/>
                <w:right w:val="none" w:color="000000" w:sz="0" w:space="0"/>
              </w:pBdr>
              <w:spacing w:before="0" w:after="0" w:line="240" w:lineRule="auto"/>
              <w:ind w:left="0" w:right="0" w:firstLine="0"/>
              <w:jc w:val="both"/>
              <w:rPr>
                <w:rFonts w:hint="eastAsia"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根据工作计划的完整性、针对性、可行性等方面进行综合评审。计划非常全面周到，具有非常详细的内容，针对性和可行性都非常强，最高得20分；计划较全面，有一定具体内容，有一定的针对性和可行性，最高得15分；计划有内容但不全面，针对性和可行性较差，最高得10分；无表述，不得分。</w:t>
            </w:r>
          </w:p>
        </w:tc>
        <w:tc>
          <w:tcPr>
            <w:tcW w:w="720" w:type="dxa"/>
            <w:shd w:val="clear" w:color="auto" w:fill="auto"/>
            <w:noWrap w:val="0"/>
            <w:tcMar>
              <w:top w:w="0" w:type="dxa"/>
              <w:left w:w="108" w:type="dxa"/>
              <w:bottom w:w="0" w:type="dxa"/>
              <w:right w:w="108" w:type="dxa"/>
            </w:tcMar>
            <w:vAlign w:val="center"/>
          </w:tcPr>
          <w:p w14:paraId="2B040272">
            <w:pPr>
              <w:pBdr>
                <w:top w:val="none" w:color="000000" w:sz="0" w:space="0"/>
                <w:left w:val="none" w:color="000000" w:sz="0" w:space="0"/>
                <w:bottom w:val="none" w:color="000000" w:sz="0" w:space="0"/>
                <w:right w:val="none" w:color="000000" w:sz="0" w:space="0"/>
              </w:pBdr>
              <w:spacing w:before="0" w:after="0" w:line="240" w:lineRule="auto"/>
              <w:ind w:left="0" w:leftChars="0" w:right="0" w:rightChars="0" w:firstLine="0" w:firstLineChars="0"/>
              <w:jc w:val="center"/>
              <w:rPr>
                <w:rFonts w:hint="eastAsia" w:ascii="仿宋" w:hAnsi="仿宋" w:eastAsia="仿宋" w:cs="仿宋"/>
                <w:color w:val="000000" w:themeColor="text1"/>
                <w:kern w:val="2"/>
                <w:sz w:val="22"/>
                <w:szCs w:val="24"/>
                <w:lang w:val="en-US" w:eastAsia="zh-CN" w:bidi="ar-SA"/>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20</w:t>
            </w:r>
          </w:p>
        </w:tc>
        <w:tc>
          <w:tcPr>
            <w:tcW w:w="606" w:type="dxa"/>
            <w:noWrap w:val="0"/>
            <w:tcMar>
              <w:top w:w="0" w:type="dxa"/>
              <w:left w:w="108" w:type="dxa"/>
              <w:bottom w:w="0" w:type="dxa"/>
              <w:right w:w="108" w:type="dxa"/>
            </w:tcMar>
            <w:vAlign w:val="center"/>
          </w:tcPr>
          <w:p w14:paraId="00C1E082">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sz w:val="22"/>
                <w:lang w:val="en-US" w:eastAsia="zh-CN"/>
                <w14:textFill>
                  <w14:solidFill>
                    <w14:schemeClr w14:val="tx1"/>
                  </w14:solidFill>
                </w14:textFill>
              </w:rPr>
            </w:pPr>
          </w:p>
        </w:tc>
      </w:tr>
      <w:tr w14:paraId="104F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27" w:type="dxa"/>
            <w:shd w:val="clear" w:color="auto" w:fill="auto"/>
            <w:noWrap w:val="0"/>
            <w:tcMar>
              <w:top w:w="0" w:type="dxa"/>
              <w:left w:w="108" w:type="dxa"/>
              <w:bottom w:w="0" w:type="dxa"/>
              <w:right w:w="108" w:type="dxa"/>
            </w:tcMar>
            <w:vAlign w:val="center"/>
          </w:tcPr>
          <w:p w14:paraId="4A4ACE47">
            <w:pPr>
              <w:pBdr>
                <w:top w:val="none" w:color="000000" w:sz="0" w:space="0"/>
                <w:left w:val="none" w:color="000000" w:sz="0" w:space="0"/>
                <w:bottom w:val="none" w:color="000000" w:sz="0" w:space="0"/>
                <w:right w:val="none" w:color="000000" w:sz="0" w:space="0"/>
              </w:pBdr>
              <w:tabs>
                <w:tab w:val="left" w:pos="373"/>
              </w:tabs>
              <w:spacing w:before="0" w:after="0" w:line="240" w:lineRule="auto"/>
              <w:ind w:left="0" w:leftChars="0" w:right="0" w:rightChars="0" w:firstLine="0" w:firstLineChars="0"/>
              <w:jc w:val="center"/>
              <w:rPr>
                <w:rFonts w:hint="eastAsia" w:ascii="仿宋" w:hAnsi="仿宋" w:eastAsia="仿宋" w:cs="仿宋"/>
                <w:b/>
                <w:color w:val="000000" w:themeColor="text1"/>
                <w:sz w:val="22"/>
                <w:lang w:val="en-US" w:eastAsia="zh-CN"/>
                <w14:textFill>
                  <w14:solidFill>
                    <w14:schemeClr w14:val="tx1"/>
                  </w14:solidFill>
                </w14:textFill>
              </w:rPr>
            </w:pPr>
            <w:r>
              <w:rPr>
                <w:rFonts w:hint="eastAsia" w:ascii="仿宋" w:hAnsi="仿宋" w:eastAsia="仿宋" w:cs="仿宋"/>
                <w:b/>
                <w:color w:val="000000" w:themeColor="text1"/>
                <w:sz w:val="22"/>
                <w:lang w:val="en-US" w:eastAsia="zh-CN"/>
                <w14:textFill>
                  <w14:solidFill>
                    <w14:schemeClr w14:val="tx1"/>
                  </w14:solidFill>
                </w14:textFill>
              </w:rPr>
              <w:t>保障</w:t>
            </w:r>
          </w:p>
          <w:p w14:paraId="474F35CC">
            <w:pPr>
              <w:pBdr>
                <w:top w:val="none" w:color="000000" w:sz="0" w:space="0"/>
                <w:left w:val="none" w:color="000000" w:sz="0" w:space="0"/>
                <w:bottom w:val="none" w:color="000000" w:sz="0" w:space="0"/>
                <w:right w:val="none" w:color="000000" w:sz="0" w:space="0"/>
              </w:pBdr>
              <w:tabs>
                <w:tab w:val="left" w:pos="373"/>
              </w:tabs>
              <w:spacing w:before="0" w:after="0" w:line="240" w:lineRule="auto"/>
              <w:ind w:left="0" w:leftChars="0" w:right="0" w:rightChars="0" w:firstLine="0" w:firstLineChars="0"/>
              <w:jc w:val="center"/>
              <w:rPr>
                <w:rFonts w:hint="eastAsia" w:ascii="仿宋" w:hAnsi="仿宋" w:eastAsia="仿宋" w:cs="仿宋"/>
                <w:b/>
                <w:color w:val="000000" w:themeColor="text1"/>
                <w:kern w:val="2"/>
                <w:sz w:val="22"/>
                <w:szCs w:val="24"/>
                <w:lang w:val="en-US" w:eastAsia="zh-CN" w:bidi="ar-SA"/>
                <w14:textFill>
                  <w14:solidFill>
                    <w14:schemeClr w14:val="tx1"/>
                  </w14:solidFill>
                </w14:textFill>
              </w:rPr>
            </w:pPr>
            <w:r>
              <w:rPr>
                <w:rFonts w:hint="eastAsia" w:ascii="仿宋" w:hAnsi="仿宋" w:eastAsia="仿宋" w:cs="仿宋"/>
                <w:b/>
                <w:color w:val="000000" w:themeColor="text1"/>
                <w:sz w:val="22"/>
                <w:lang w:val="en-US" w:eastAsia="zh-CN"/>
                <w14:textFill>
                  <w14:solidFill>
                    <w14:schemeClr w14:val="tx1"/>
                  </w14:solidFill>
                </w14:textFill>
              </w:rPr>
              <w:t>措施</w:t>
            </w:r>
          </w:p>
        </w:tc>
        <w:tc>
          <w:tcPr>
            <w:tcW w:w="5832" w:type="dxa"/>
            <w:shd w:val="clear" w:color="auto" w:fill="auto"/>
            <w:noWrap w:val="0"/>
            <w:tcMar>
              <w:top w:w="0" w:type="dxa"/>
              <w:left w:w="108" w:type="dxa"/>
              <w:bottom w:w="0" w:type="dxa"/>
              <w:right w:w="108" w:type="dxa"/>
            </w:tcMar>
            <w:vAlign w:val="center"/>
          </w:tcPr>
          <w:p w14:paraId="6FB7633D">
            <w:pPr>
              <w:pBdr>
                <w:top w:val="none" w:color="000000" w:sz="0" w:space="0"/>
                <w:left w:val="none" w:color="000000" w:sz="0" w:space="0"/>
                <w:bottom w:val="none" w:color="000000" w:sz="0" w:space="0"/>
                <w:right w:val="none" w:color="000000" w:sz="0" w:space="0"/>
              </w:pBdr>
              <w:spacing w:before="0" w:after="0" w:line="240" w:lineRule="auto"/>
              <w:ind w:left="0" w:right="0" w:firstLine="0"/>
              <w:jc w:val="both"/>
              <w:rPr>
                <w:rFonts w:hint="eastAsia"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根据本项目的服务保障措施的合理性、有效性、科学性和可行性等方面进行综合评审。质量保证及质量保障措施非常合理、有效、科学、可行，最高得10分；措施比较合理、有效、科学、可行，最高得5分；措施基本合理、有效、科学、可行，最高得2分；无表述，不得分。</w:t>
            </w:r>
          </w:p>
        </w:tc>
        <w:tc>
          <w:tcPr>
            <w:tcW w:w="720" w:type="dxa"/>
            <w:noWrap w:val="0"/>
            <w:tcMar>
              <w:top w:w="0" w:type="dxa"/>
              <w:left w:w="108" w:type="dxa"/>
              <w:bottom w:w="0" w:type="dxa"/>
              <w:right w:w="108" w:type="dxa"/>
            </w:tcMar>
            <w:vAlign w:val="center"/>
          </w:tcPr>
          <w:p w14:paraId="4F1D2265">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10</w:t>
            </w:r>
          </w:p>
        </w:tc>
        <w:tc>
          <w:tcPr>
            <w:tcW w:w="606" w:type="dxa"/>
            <w:noWrap w:val="0"/>
            <w:tcMar>
              <w:top w:w="0" w:type="dxa"/>
              <w:left w:w="108" w:type="dxa"/>
              <w:bottom w:w="0" w:type="dxa"/>
              <w:right w:w="108" w:type="dxa"/>
            </w:tcMar>
            <w:vAlign w:val="center"/>
          </w:tcPr>
          <w:p w14:paraId="22755969">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sz w:val="22"/>
                <w:lang w:val="en-US" w:eastAsia="zh-CN"/>
                <w14:textFill>
                  <w14:solidFill>
                    <w14:schemeClr w14:val="tx1"/>
                  </w14:solidFill>
                </w14:textFill>
              </w:rPr>
            </w:pPr>
          </w:p>
        </w:tc>
      </w:tr>
      <w:tr w14:paraId="6CB6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27" w:type="dxa"/>
            <w:noWrap w:val="0"/>
            <w:tcMar>
              <w:top w:w="0" w:type="dxa"/>
              <w:left w:w="108" w:type="dxa"/>
              <w:bottom w:w="0" w:type="dxa"/>
              <w:right w:w="108" w:type="dxa"/>
            </w:tcMar>
            <w:vAlign w:val="center"/>
          </w:tcPr>
          <w:p w14:paraId="576E2520">
            <w:pPr>
              <w:jc w:val="center"/>
              <w:rPr>
                <w:rFonts w:hint="eastAsia" w:ascii="仿宋" w:hAnsi="仿宋" w:eastAsia="仿宋" w:cs="仿宋"/>
                <w:b/>
                <w:color w:val="000000" w:themeColor="text1"/>
                <w:sz w:val="22"/>
                <w:lang w:val="en-US" w:eastAsia="zh-CN"/>
                <w14:textFill>
                  <w14:solidFill>
                    <w14:schemeClr w14:val="tx1"/>
                  </w14:solidFill>
                </w14:textFill>
              </w:rPr>
            </w:pPr>
            <w:r>
              <w:rPr>
                <w:rFonts w:hint="eastAsia" w:ascii="仿宋" w:hAnsi="仿宋" w:eastAsia="仿宋" w:cs="仿宋"/>
                <w:b/>
                <w:color w:val="000000" w:themeColor="text1"/>
                <w:sz w:val="22"/>
                <w:lang w:val="en-US" w:eastAsia="zh-CN"/>
                <w14:textFill>
                  <w14:solidFill>
                    <w14:schemeClr w14:val="tx1"/>
                  </w14:solidFill>
                </w14:textFill>
              </w:rPr>
              <w:t>质量</w:t>
            </w:r>
          </w:p>
          <w:p w14:paraId="1445587D">
            <w:pPr>
              <w:jc w:val="center"/>
              <w:rPr>
                <w:rFonts w:hint="default" w:ascii="仿宋" w:hAnsi="仿宋" w:eastAsia="仿宋" w:cs="仿宋"/>
                <w:b/>
                <w:color w:val="000000" w:themeColor="text1"/>
                <w:sz w:val="22"/>
                <w:lang w:val="en-US" w:eastAsia="zh-CN"/>
                <w14:textFill>
                  <w14:solidFill>
                    <w14:schemeClr w14:val="tx1"/>
                  </w14:solidFill>
                </w14:textFill>
              </w:rPr>
            </w:pPr>
            <w:r>
              <w:rPr>
                <w:rFonts w:hint="eastAsia" w:ascii="仿宋" w:hAnsi="仿宋" w:eastAsia="仿宋" w:cs="仿宋"/>
                <w:b/>
                <w:color w:val="000000" w:themeColor="text1"/>
                <w:sz w:val="22"/>
                <w:lang w:val="en-US" w:eastAsia="zh-CN"/>
                <w14:textFill>
                  <w14:solidFill>
                    <w14:schemeClr w14:val="tx1"/>
                  </w14:solidFill>
                </w14:textFill>
              </w:rPr>
              <w:t>控制</w:t>
            </w:r>
          </w:p>
        </w:tc>
        <w:tc>
          <w:tcPr>
            <w:tcW w:w="5832" w:type="dxa"/>
            <w:noWrap w:val="0"/>
            <w:tcMar>
              <w:top w:w="0" w:type="dxa"/>
              <w:left w:w="108" w:type="dxa"/>
              <w:bottom w:w="0" w:type="dxa"/>
              <w:right w:w="108" w:type="dxa"/>
            </w:tcMar>
            <w:vAlign w:val="center"/>
          </w:tcPr>
          <w:p w14:paraId="50B922C1">
            <w:pPr>
              <w:pBdr>
                <w:top w:val="none" w:color="000000" w:sz="0" w:space="0"/>
                <w:left w:val="none" w:color="000000" w:sz="0" w:space="0"/>
                <w:bottom w:val="none" w:color="000000" w:sz="0" w:space="0"/>
                <w:right w:val="none" w:color="000000" w:sz="0" w:space="0"/>
              </w:pBdr>
              <w:spacing w:before="0" w:after="0" w:line="240" w:lineRule="auto"/>
              <w:ind w:left="0" w:right="0" w:firstLine="0"/>
              <w:jc w:val="both"/>
              <w:rPr>
                <w:rFonts w:hint="eastAsia" w:ascii="仿宋" w:hAnsi="仿宋" w:eastAsia="仿宋" w:cs="仿宋"/>
                <w:color w:val="000000" w:themeColor="text1"/>
                <w:sz w:val="22"/>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制定详细的质量控制措施，涵盖数据采集、分析评价、报告编制全过程，最高得10分；措施较完善，最高得5分；措施基本完善，最高得3分；不完善的，不得分。</w:t>
            </w:r>
          </w:p>
        </w:tc>
        <w:tc>
          <w:tcPr>
            <w:tcW w:w="720" w:type="dxa"/>
            <w:noWrap w:val="0"/>
            <w:tcMar>
              <w:top w:w="0" w:type="dxa"/>
              <w:left w:w="108" w:type="dxa"/>
              <w:bottom w:w="0" w:type="dxa"/>
              <w:right w:w="108" w:type="dxa"/>
            </w:tcMar>
            <w:vAlign w:val="center"/>
          </w:tcPr>
          <w:p w14:paraId="4D717432">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10</w:t>
            </w:r>
          </w:p>
        </w:tc>
        <w:tc>
          <w:tcPr>
            <w:tcW w:w="606" w:type="dxa"/>
            <w:noWrap w:val="0"/>
            <w:tcMar>
              <w:top w:w="0" w:type="dxa"/>
              <w:left w:w="108" w:type="dxa"/>
              <w:bottom w:w="0" w:type="dxa"/>
              <w:right w:w="108" w:type="dxa"/>
            </w:tcMar>
            <w:vAlign w:val="center"/>
          </w:tcPr>
          <w:p w14:paraId="1DF25BCD">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sz w:val="22"/>
                <w:lang w:val="en-US" w:eastAsia="zh-CN"/>
                <w14:textFill>
                  <w14:solidFill>
                    <w14:schemeClr w14:val="tx1"/>
                  </w14:solidFill>
                </w14:textFill>
              </w:rPr>
            </w:pPr>
          </w:p>
        </w:tc>
      </w:tr>
      <w:tr w14:paraId="4B029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27" w:type="dxa"/>
            <w:noWrap w:val="0"/>
            <w:tcMar>
              <w:top w:w="0" w:type="dxa"/>
              <w:left w:w="108" w:type="dxa"/>
              <w:bottom w:w="0" w:type="dxa"/>
              <w:right w:w="108" w:type="dxa"/>
            </w:tcMar>
            <w:vAlign w:val="center"/>
          </w:tcPr>
          <w:p w14:paraId="0C45FFC4">
            <w:pPr>
              <w:pBdr>
                <w:top w:val="none" w:color="000000" w:sz="0" w:space="0"/>
                <w:left w:val="none" w:color="000000" w:sz="0" w:space="0"/>
                <w:bottom w:val="none" w:color="000000" w:sz="0" w:space="0"/>
                <w:right w:val="none" w:color="000000" w:sz="0" w:space="0"/>
              </w:pBdr>
              <w:spacing w:before="0" w:after="0" w:line="240" w:lineRule="auto"/>
              <w:ind w:left="0" w:leftChars="0" w:right="0" w:rightChars="0" w:firstLine="0" w:firstLineChars="0"/>
              <w:jc w:val="center"/>
              <w:rPr>
                <w:rFonts w:hint="eastAsia" w:ascii="仿宋" w:hAnsi="仿宋" w:eastAsia="仿宋" w:cs="仿宋"/>
                <w:color w:val="000000" w:themeColor="text1"/>
                <w:sz w:val="21"/>
                <w:lang w:val="en-US" w:eastAsia="zh-CN" w:bidi="ar-SA"/>
                <w14:textFill>
                  <w14:solidFill>
                    <w14:schemeClr w14:val="tx1"/>
                  </w14:solidFill>
                </w14:textFill>
              </w:rPr>
            </w:pPr>
            <w:r>
              <w:rPr>
                <w:rFonts w:hint="eastAsia" w:ascii="仿宋" w:hAnsi="仿宋" w:eastAsia="仿宋" w:cs="仿宋"/>
                <w:b/>
                <w:color w:val="000000" w:themeColor="text1"/>
                <w:sz w:val="22"/>
                <w14:textFill>
                  <w14:solidFill>
                    <w14:schemeClr w14:val="tx1"/>
                  </w14:solidFill>
                </w14:textFill>
              </w:rPr>
              <w:t>业绩</w:t>
            </w:r>
          </w:p>
        </w:tc>
        <w:tc>
          <w:tcPr>
            <w:tcW w:w="5832" w:type="dxa"/>
            <w:noWrap w:val="0"/>
            <w:tcMar>
              <w:top w:w="0" w:type="dxa"/>
              <w:left w:w="108" w:type="dxa"/>
              <w:bottom w:w="0" w:type="dxa"/>
              <w:right w:w="108" w:type="dxa"/>
            </w:tcMar>
            <w:vAlign w:val="center"/>
          </w:tcPr>
          <w:p w14:paraId="4F89A869">
            <w:pPr>
              <w:pBdr>
                <w:top w:val="none" w:color="000000" w:sz="0" w:space="0"/>
                <w:left w:val="none" w:color="000000" w:sz="0" w:space="0"/>
                <w:bottom w:val="none" w:color="000000" w:sz="0" w:space="0"/>
                <w:right w:val="none" w:color="000000" w:sz="0" w:space="0"/>
              </w:pBdr>
              <w:spacing w:before="0" w:after="0" w:line="240" w:lineRule="auto"/>
              <w:ind w:left="0" w:right="0" w:firstLine="0"/>
              <w:jc w:val="both"/>
              <w:rPr>
                <w:rFonts w:hint="default"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供应商自202</w:t>
            </w:r>
            <w:r>
              <w:rPr>
                <w:rFonts w:hint="eastAsia" w:ascii="仿宋" w:hAnsi="仿宋" w:eastAsia="仿宋" w:cs="仿宋"/>
                <w:color w:val="000000" w:themeColor="text1"/>
                <w:sz w:val="22"/>
                <w:lang w:val="en-US" w:eastAsia="zh-CN"/>
                <w14:textFill>
                  <w14:solidFill>
                    <w14:schemeClr w14:val="tx1"/>
                  </w14:solidFill>
                </w14:textFill>
              </w:rPr>
              <w:t>2</w:t>
            </w:r>
            <w:r>
              <w:rPr>
                <w:rFonts w:hint="eastAsia" w:ascii="仿宋" w:hAnsi="仿宋" w:eastAsia="仿宋" w:cs="仿宋"/>
                <w:color w:val="000000" w:themeColor="text1"/>
                <w:sz w:val="22"/>
                <w14:textFill>
                  <w14:solidFill>
                    <w14:schemeClr w14:val="tx1"/>
                  </w14:solidFill>
                </w14:textFill>
              </w:rPr>
              <w:t>年12月1日（含）以来承担过类似业绩，每提供一个得</w:t>
            </w:r>
            <w:r>
              <w:rPr>
                <w:rFonts w:hint="eastAsia" w:ascii="仿宋" w:hAnsi="仿宋" w:eastAsia="仿宋" w:cs="仿宋"/>
                <w:color w:val="000000" w:themeColor="text1"/>
                <w:sz w:val="22"/>
                <w:lang w:val="en-US" w:eastAsia="zh-CN"/>
                <w14:textFill>
                  <w14:solidFill>
                    <w14:schemeClr w14:val="tx1"/>
                  </w14:solidFill>
                </w14:textFill>
              </w:rPr>
              <w:t>5</w:t>
            </w:r>
            <w:r>
              <w:rPr>
                <w:rFonts w:hint="eastAsia" w:ascii="仿宋" w:hAnsi="仿宋" w:eastAsia="仿宋" w:cs="仿宋"/>
                <w:color w:val="000000" w:themeColor="text1"/>
                <w:sz w:val="22"/>
                <w14:textFill>
                  <w14:solidFill>
                    <w14:schemeClr w14:val="tx1"/>
                  </w14:solidFill>
                </w14:textFill>
              </w:rPr>
              <w:t>分，最高</w:t>
            </w:r>
            <w:r>
              <w:rPr>
                <w:rFonts w:hint="eastAsia" w:ascii="仿宋" w:hAnsi="仿宋" w:eastAsia="仿宋" w:cs="仿宋"/>
                <w:color w:val="000000" w:themeColor="text1"/>
                <w:sz w:val="22"/>
                <w:lang w:val="en-US" w:eastAsia="zh-CN"/>
                <w14:textFill>
                  <w14:solidFill>
                    <w14:schemeClr w14:val="tx1"/>
                  </w14:solidFill>
                </w14:textFill>
              </w:rPr>
              <w:t>10</w:t>
            </w:r>
            <w:r>
              <w:rPr>
                <w:rFonts w:hint="eastAsia" w:ascii="仿宋" w:hAnsi="仿宋" w:eastAsia="仿宋" w:cs="仿宋"/>
                <w:color w:val="000000" w:themeColor="text1"/>
                <w:sz w:val="22"/>
                <w14:textFill>
                  <w14:solidFill>
                    <w14:schemeClr w14:val="tx1"/>
                  </w14:solidFill>
                </w14:textFill>
              </w:rPr>
              <w:t>分。</w:t>
            </w:r>
          </w:p>
        </w:tc>
        <w:tc>
          <w:tcPr>
            <w:tcW w:w="720" w:type="dxa"/>
            <w:noWrap w:val="0"/>
            <w:tcMar>
              <w:top w:w="0" w:type="dxa"/>
              <w:left w:w="108" w:type="dxa"/>
              <w:bottom w:w="0" w:type="dxa"/>
              <w:right w:w="108" w:type="dxa"/>
            </w:tcMar>
            <w:vAlign w:val="center"/>
          </w:tcPr>
          <w:p w14:paraId="47C620A7">
            <w:pPr>
              <w:pBdr>
                <w:top w:val="none" w:color="000000" w:sz="0" w:space="0"/>
                <w:left w:val="none" w:color="000000" w:sz="0" w:space="0"/>
                <w:bottom w:val="none" w:color="000000" w:sz="0" w:space="0"/>
                <w:right w:val="none" w:color="000000" w:sz="0" w:space="0"/>
              </w:pBdr>
              <w:spacing w:before="0" w:after="0" w:line="240" w:lineRule="auto"/>
              <w:ind w:left="0" w:leftChars="0" w:right="0" w:rightChars="0" w:firstLine="0" w:firstLineChars="0"/>
              <w:jc w:val="center"/>
              <w:rPr>
                <w:rFonts w:hint="default" w:ascii="仿宋" w:hAnsi="仿宋" w:eastAsia="仿宋" w:cs="仿宋"/>
                <w:color w:val="000000" w:themeColor="text1"/>
                <w:sz w:val="21"/>
                <w:lang w:val="en-US" w:eastAsia="zh-CN" w:bidi="ar-SA"/>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10</w:t>
            </w:r>
          </w:p>
        </w:tc>
        <w:tc>
          <w:tcPr>
            <w:tcW w:w="606" w:type="dxa"/>
            <w:noWrap w:val="0"/>
            <w:tcMar>
              <w:top w:w="0" w:type="dxa"/>
              <w:left w:w="108" w:type="dxa"/>
              <w:bottom w:w="0" w:type="dxa"/>
              <w:right w:w="108" w:type="dxa"/>
            </w:tcMar>
            <w:vAlign w:val="center"/>
          </w:tcPr>
          <w:p w14:paraId="4386E6E4">
            <w:pPr>
              <w:pBdr>
                <w:top w:val="none" w:color="000000" w:sz="0" w:space="0"/>
                <w:left w:val="none" w:color="000000" w:sz="0" w:space="0"/>
                <w:bottom w:val="none" w:color="000000" w:sz="0" w:space="0"/>
                <w:right w:val="none" w:color="000000" w:sz="0" w:space="0"/>
              </w:pBdr>
              <w:spacing w:before="0" w:after="0" w:line="240" w:lineRule="auto"/>
              <w:ind w:left="0" w:leftChars="0" w:right="0" w:rightChars="0" w:firstLine="0" w:firstLineChars="0"/>
              <w:jc w:val="center"/>
              <w:rPr>
                <w:rFonts w:hint="eastAsia" w:ascii="仿宋" w:hAnsi="仿宋" w:eastAsia="仿宋" w:cs="仿宋"/>
                <w:color w:val="000000" w:themeColor="text1"/>
                <w:sz w:val="22"/>
                <w:lang w:val="en-US" w:eastAsia="zh-CN"/>
                <w14:textFill>
                  <w14:solidFill>
                    <w14:schemeClr w14:val="tx1"/>
                  </w14:solidFill>
                </w14:textFill>
              </w:rPr>
            </w:pPr>
          </w:p>
        </w:tc>
      </w:tr>
      <w:tr w14:paraId="74A9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7" w:type="dxa"/>
            <w:shd w:val="clear" w:color="auto" w:fill="auto"/>
            <w:noWrap w:val="0"/>
            <w:tcMar>
              <w:top w:w="0" w:type="dxa"/>
              <w:left w:w="108" w:type="dxa"/>
              <w:bottom w:w="0" w:type="dxa"/>
              <w:right w:w="108" w:type="dxa"/>
            </w:tcMar>
            <w:vAlign w:val="center"/>
          </w:tcPr>
          <w:p w14:paraId="211049A0">
            <w:pPr>
              <w:pBdr>
                <w:top w:val="none" w:color="000000" w:sz="0" w:space="0"/>
                <w:left w:val="none" w:color="000000" w:sz="0" w:space="0"/>
                <w:bottom w:val="none" w:color="000000" w:sz="0" w:space="0"/>
                <w:right w:val="none" w:color="000000" w:sz="0" w:space="0"/>
              </w:pBdr>
              <w:tabs>
                <w:tab w:val="left" w:pos="373"/>
              </w:tabs>
              <w:spacing w:before="0" w:after="0" w:line="240" w:lineRule="auto"/>
              <w:ind w:left="0" w:leftChars="0" w:right="0" w:rightChars="0" w:firstLine="0" w:firstLineChars="0"/>
              <w:jc w:val="center"/>
              <w:rPr>
                <w:rFonts w:hint="eastAsia" w:ascii="仿宋" w:hAnsi="仿宋" w:eastAsia="仿宋" w:cs="仿宋"/>
                <w:b/>
                <w:color w:val="000000" w:themeColor="text1"/>
                <w:sz w:val="22"/>
                <w:lang w:val="en-US" w:eastAsia="zh-CN"/>
                <w14:textFill>
                  <w14:solidFill>
                    <w14:schemeClr w14:val="tx1"/>
                  </w14:solidFill>
                </w14:textFill>
              </w:rPr>
            </w:pPr>
            <w:r>
              <w:rPr>
                <w:rFonts w:hint="eastAsia" w:ascii="仿宋" w:hAnsi="仿宋" w:eastAsia="仿宋" w:cs="仿宋"/>
                <w:b/>
                <w:color w:val="000000" w:themeColor="text1"/>
                <w:sz w:val="22"/>
                <w:lang w:val="en-US" w:eastAsia="zh-CN"/>
                <w14:textFill>
                  <w14:solidFill>
                    <w14:schemeClr w14:val="tx1"/>
                  </w14:solidFill>
                </w14:textFill>
              </w:rPr>
              <w:t>其他</w:t>
            </w:r>
          </w:p>
          <w:p w14:paraId="012AEA41">
            <w:pPr>
              <w:pBdr>
                <w:top w:val="none" w:color="000000" w:sz="0" w:space="0"/>
                <w:left w:val="none" w:color="000000" w:sz="0" w:space="0"/>
                <w:bottom w:val="none" w:color="000000" w:sz="0" w:space="0"/>
                <w:right w:val="none" w:color="000000" w:sz="0" w:space="0"/>
              </w:pBdr>
              <w:tabs>
                <w:tab w:val="left" w:pos="373"/>
              </w:tabs>
              <w:spacing w:before="0" w:after="0" w:line="240" w:lineRule="auto"/>
              <w:ind w:left="0" w:leftChars="0" w:right="0" w:rightChars="0" w:firstLine="0" w:firstLineChars="0"/>
              <w:jc w:val="center"/>
              <w:rPr>
                <w:rFonts w:hint="eastAsia" w:ascii="仿宋" w:hAnsi="仿宋" w:eastAsia="仿宋" w:cs="仿宋"/>
                <w:b/>
                <w:color w:val="000000" w:themeColor="text1"/>
                <w:sz w:val="22"/>
                <w:lang w:eastAsia="zh-CN"/>
                <w14:textFill>
                  <w14:solidFill>
                    <w14:schemeClr w14:val="tx1"/>
                  </w14:solidFill>
                </w14:textFill>
              </w:rPr>
            </w:pPr>
            <w:r>
              <w:rPr>
                <w:rFonts w:hint="eastAsia" w:ascii="仿宋" w:hAnsi="仿宋" w:eastAsia="仿宋" w:cs="仿宋"/>
                <w:b/>
                <w:color w:val="000000" w:themeColor="text1"/>
                <w:sz w:val="22"/>
                <w:lang w:eastAsia="zh-CN"/>
                <w14:textFill>
                  <w14:solidFill>
                    <w14:schemeClr w14:val="tx1"/>
                  </w14:solidFill>
                </w14:textFill>
              </w:rPr>
              <w:t>服务</w:t>
            </w:r>
          </w:p>
          <w:p w14:paraId="2854AC3A">
            <w:pPr>
              <w:pStyle w:val="9"/>
              <w:jc w:val="both"/>
              <w:rPr>
                <w:rFonts w:hint="default"/>
                <w:color w:val="000000" w:themeColor="text1"/>
                <w:lang w:val="en-US" w:eastAsia="zh-CN"/>
                <w14:textFill>
                  <w14:solidFill>
                    <w14:schemeClr w14:val="tx1"/>
                  </w14:solidFill>
                </w14:textFill>
              </w:rPr>
            </w:pPr>
          </w:p>
        </w:tc>
        <w:tc>
          <w:tcPr>
            <w:tcW w:w="5832" w:type="dxa"/>
            <w:shd w:val="clear" w:color="auto" w:fill="auto"/>
            <w:noWrap w:val="0"/>
            <w:tcMar>
              <w:top w:w="0" w:type="dxa"/>
              <w:left w:w="108" w:type="dxa"/>
              <w:bottom w:w="0" w:type="dxa"/>
              <w:right w:w="108" w:type="dxa"/>
            </w:tcMar>
            <w:vAlign w:val="center"/>
          </w:tcPr>
          <w:p w14:paraId="2A06ADA2">
            <w:pPr>
              <w:pBdr>
                <w:top w:val="none" w:color="000000" w:sz="0" w:space="0"/>
                <w:left w:val="none" w:color="000000" w:sz="0" w:space="0"/>
                <w:bottom w:val="none" w:color="000000" w:sz="0" w:space="0"/>
                <w:right w:val="none" w:color="000000" w:sz="0" w:space="0"/>
              </w:pBdr>
              <w:spacing w:before="0" w:after="0" w:line="240" w:lineRule="auto"/>
              <w:ind w:left="0" w:right="0" w:firstLine="0"/>
              <w:jc w:val="both"/>
              <w:rPr>
                <w:rFonts w:hint="eastAsia" w:ascii="仿宋" w:hAnsi="仿宋" w:eastAsia="仿宋" w:cs="仿宋"/>
                <w:color w:val="000000" w:themeColor="text1"/>
                <w:sz w:val="22"/>
                <w:lang w:val="en-US" w:eastAsia="zh-CN"/>
                <w14:textFill>
                  <w14:solidFill>
                    <w14:schemeClr w14:val="tx1"/>
                  </w14:solidFill>
                </w14:textFill>
              </w:rPr>
            </w:pPr>
            <w:r>
              <w:rPr>
                <w:rFonts w:hint="eastAsia" w:ascii="仿宋" w:hAnsi="仿宋" w:eastAsia="仿宋" w:cs="仿宋"/>
                <w:color w:val="000000" w:themeColor="text1"/>
                <w:sz w:val="22"/>
                <w14:textFill>
                  <w14:solidFill>
                    <w14:schemeClr w14:val="tx1"/>
                  </w14:solidFill>
                </w14:textFill>
              </w:rPr>
              <w:t>（1）服务方案、措施、保障体系内容完善、针对性强、切实可行</w:t>
            </w:r>
            <w:r>
              <w:rPr>
                <w:rFonts w:hint="eastAsia" w:ascii="仿宋" w:hAnsi="仿宋" w:eastAsia="仿宋" w:cs="仿宋"/>
                <w:color w:val="000000" w:themeColor="text1"/>
                <w:sz w:val="22"/>
                <w:lang w:eastAsia="zh-CN"/>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响应时间</w:t>
            </w:r>
            <w:r>
              <w:rPr>
                <w:rFonts w:hint="eastAsia" w:ascii="仿宋" w:hAnsi="仿宋" w:eastAsia="仿宋" w:cs="仿宋"/>
                <w:color w:val="000000" w:themeColor="text1"/>
                <w:sz w:val="22"/>
                <w:lang w:eastAsia="zh-CN"/>
                <w14:textFill>
                  <w14:solidFill>
                    <w14:schemeClr w14:val="tx1"/>
                  </w14:solidFill>
                </w14:textFill>
              </w:rPr>
              <w:t>短</w:t>
            </w:r>
            <w:r>
              <w:rPr>
                <w:rFonts w:hint="eastAsia" w:ascii="仿宋" w:hAnsi="仿宋" w:eastAsia="仿宋" w:cs="仿宋"/>
                <w:color w:val="000000" w:themeColor="text1"/>
                <w:sz w:val="22"/>
                <w14:textFill>
                  <w14:solidFill>
                    <w14:schemeClr w14:val="tx1"/>
                  </w14:solidFill>
                </w14:textFill>
              </w:rPr>
              <w:t>，应急保障人力及物资安排充足的</w:t>
            </w:r>
            <w:r>
              <w:rPr>
                <w:rFonts w:hint="eastAsia" w:ascii="仿宋" w:hAnsi="仿宋" w:eastAsia="仿宋" w:cs="仿宋"/>
                <w:color w:val="000000" w:themeColor="text1"/>
                <w:sz w:val="22"/>
                <w:lang w:val="en-US" w:eastAsia="zh-CN"/>
                <w14:textFill>
                  <w14:solidFill>
                    <w14:schemeClr w14:val="tx1"/>
                  </w14:solidFill>
                </w14:textFill>
              </w:rPr>
              <w:t>最高</w:t>
            </w:r>
            <w:r>
              <w:rPr>
                <w:rFonts w:hint="eastAsia" w:ascii="仿宋" w:hAnsi="仿宋" w:eastAsia="仿宋" w:cs="仿宋"/>
                <w:color w:val="000000" w:themeColor="text1"/>
                <w:sz w:val="22"/>
                <w14:textFill>
                  <w14:solidFill>
                    <w14:schemeClr w14:val="tx1"/>
                  </w14:solidFill>
                </w14:textFill>
              </w:rPr>
              <w:t>得</w:t>
            </w:r>
            <w:r>
              <w:rPr>
                <w:rFonts w:hint="eastAsia" w:ascii="仿宋" w:hAnsi="仿宋" w:eastAsia="仿宋" w:cs="仿宋"/>
                <w:color w:val="000000" w:themeColor="text1"/>
                <w:sz w:val="22"/>
                <w:lang w:val="en-US" w:eastAsia="zh-CN"/>
                <w14:textFill>
                  <w14:solidFill>
                    <w14:schemeClr w14:val="tx1"/>
                  </w14:solidFill>
                </w14:textFill>
              </w:rPr>
              <w:t>10</w:t>
            </w:r>
            <w:r>
              <w:rPr>
                <w:rFonts w:hint="eastAsia" w:ascii="仿宋" w:hAnsi="仿宋" w:eastAsia="仿宋" w:cs="仿宋"/>
                <w:color w:val="000000" w:themeColor="text1"/>
                <w:sz w:val="22"/>
                <w14:textFill>
                  <w14:solidFill>
                    <w14:schemeClr w14:val="tx1"/>
                  </w14:solidFill>
                </w14:textFill>
              </w:rPr>
              <w:t>分；（2）服务方案针对性较强</w:t>
            </w:r>
            <w:r>
              <w:rPr>
                <w:rFonts w:hint="eastAsia" w:ascii="仿宋" w:hAnsi="仿宋" w:eastAsia="仿宋" w:cs="仿宋"/>
                <w:color w:val="000000" w:themeColor="text1"/>
                <w:sz w:val="22"/>
                <w:lang w:eastAsia="zh-CN"/>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服务流程及内容较具体</w:t>
            </w:r>
            <w:r>
              <w:rPr>
                <w:rFonts w:hint="eastAsia" w:ascii="仿宋" w:hAnsi="仿宋" w:eastAsia="仿宋" w:cs="仿宋"/>
                <w:color w:val="000000" w:themeColor="text1"/>
                <w:sz w:val="22"/>
                <w:lang w:eastAsia="zh-CN"/>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应急保障人力及物资准备较充足</w:t>
            </w:r>
            <w:r>
              <w:rPr>
                <w:rFonts w:hint="eastAsia" w:ascii="仿宋" w:hAnsi="仿宋" w:eastAsia="仿宋" w:cs="仿宋"/>
                <w:color w:val="000000" w:themeColor="text1"/>
                <w:sz w:val="22"/>
                <w:lang w:eastAsia="zh-CN"/>
                <w14:textFill>
                  <w14:solidFill>
                    <w14:schemeClr w14:val="tx1"/>
                  </w14:solidFill>
                </w14:textFill>
              </w:rPr>
              <w:t>，</w:t>
            </w:r>
            <w:r>
              <w:rPr>
                <w:rFonts w:hint="eastAsia" w:ascii="仿宋" w:hAnsi="仿宋" w:eastAsia="仿宋" w:cs="仿宋"/>
                <w:color w:val="000000" w:themeColor="text1"/>
                <w:sz w:val="22"/>
                <w:lang w:val="en-US" w:eastAsia="zh-CN"/>
                <w14:textFill>
                  <w14:solidFill>
                    <w14:schemeClr w14:val="tx1"/>
                  </w14:solidFill>
                </w14:textFill>
              </w:rPr>
              <w:t>最高</w:t>
            </w:r>
            <w:r>
              <w:rPr>
                <w:rFonts w:hint="eastAsia" w:ascii="仿宋" w:hAnsi="仿宋" w:eastAsia="仿宋" w:cs="仿宋"/>
                <w:color w:val="000000" w:themeColor="text1"/>
                <w:sz w:val="22"/>
                <w14:textFill>
                  <w14:solidFill>
                    <w14:schemeClr w14:val="tx1"/>
                  </w14:solidFill>
                </w14:textFill>
              </w:rPr>
              <w:t>得</w:t>
            </w:r>
            <w:r>
              <w:rPr>
                <w:rFonts w:hint="eastAsia" w:ascii="仿宋" w:hAnsi="仿宋" w:eastAsia="仿宋" w:cs="仿宋"/>
                <w:color w:val="000000" w:themeColor="text1"/>
                <w:sz w:val="22"/>
                <w:lang w:val="en-US" w:eastAsia="zh-CN"/>
                <w14:textFill>
                  <w14:solidFill>
                    <w14:schemeClr w14:val="tx1"/>
                  </w14:solidFill>
                </w14:textFill>
              </w:rPr>
              <w:t>7</w:t>
            </w:r>
            <w:r>
              <w:rPr>
                <w:rFonts w:hint="eastAsia" w:ascii="仿宋" w:hAnsi="仿宋" w:eastAsia="仿宋" w:cs="仿宋"/>
                <w:color w:val="000000" w:themeColor="text1"/>
                <w:sz w:val="22"/>
                <w14:textFill>
                  <w14:solidFill>
                    <w14:schemeClr w14:val="tx1"/>
                  </w14:solidFill>
                </w14:textFill>
              </w:rPr>
              <w:t>分；（3）有基本服务流程及内容，响应时间、服务人员匹配基本满足需求的</w:t>
            </w:r>
            <w:r>
              <w:rPr>
                <w:rFonts w:hint="eastAsia" w:ascii="仿宋" w:hAnsi="仿宋" w:eastAsia="仿宋" w:cs="仿宋"/>
                <w:color w:val="000000" w:themeColor="text1"/>
                <w:sz w:val="22"/>
                <w:lang w:val="en-US" w:eastAsia="zh-CN"/>
                <w14:textFill>
                  <w14:solidFill>
                    <w14:schemeClr w14:val="tx1"/>
                  </w14:solidFill>
                </w14:textFill>
              </w:rPr>
              <w:t>最高</w:t>
            </w:r>
            <w:r>
              <w:rPr>
                <w:rFonts w:hint="eastAsia" w:ascii="仿宋" w:hAnsi="仿宋" w:eastAsia="仿宋" w:cs="仿宋"/>
                <w:color w:val="000000" w:themeColor="text1"/>
                <w:sz w:val="22"/>
                <w14:textFill>
                  <w14:solidFill>
                    <w14:schemeClr w14:val="tx1"/>
                  </w14:solidFill>
                </w14:textFill>
              </w:rPr>
              <w:t>得</w:t>
            </w:r>
            <w:r>
              <w:rPr>
                <w:rFonts w:hint="eastAsia" w:ascii="仿宋" w:hAnsi="仿宋" w:eastAsia="仿宋" w:cs="仿宋"/>
                <w:color w:val="000000" w:themeColor="text1"/>
                <w:sz w:val="22"/>
                <w:lang w:val="en-US" w:eastAsia="zh-CN"/>
                <w14:textFill>
                  <w14:solidFill>
                    <w14:schemeClr w14:val="tx1"/>
                  </w14:solidFill>
                </w14:textFill>
              </w:rPr>
              <w:t>5</w:t>
            </w:r>
            <w:r>
              <w:rPr>
                <w:rFonts w:hint="eastAsia" w:ascii="仿宋" w:hAnsi="仿宋" w:eastAsia="仿宋" w:cs="仿宋"/>
                <w:color w:val="000000" w:themeColor="text1"/>
                <w:sz w:val="22"/>
                <w14:textFill>
                  <w14:solidFill>
                    <w14:schemeClr w14:val="tx1"/>
                  </w14:solidFill>
                </w14:textFill>
              </w:rPr>
              <w:t>分；（4）服务方案</w:t>
            </w:r>
            <w:r>
              <w:rPr>
                <w:rFonts w:hint="eastAsia" w:ascii="仿宋" w:hAnsi="仿宋" w:eastAsia="仿宋" w:cs="仿宋"/>
                <w:color w:val="000000" w:themeColor="text1"/>
                <w:sz w:val="22"/>
                <w:lang w:val="en-US" w:eastAsia="zh-CN"/>
                <w14:textFill>
                  <w14:solidFill>
                    <w14:schemeClr w14:val="tx1"/>
                  </w14:solidFill>
                </w14:textFill>
              </w:rPr>
              <w:t>一般，</w:t>
            </w:r>
            <w:r>
              <w:rPr>
                <w:rFonts w:hint="eastAsia" w:ascii="仿宋" w:hAnsi="仿宋" w:eastAsia="仿宋" w:cs="仿宋"/>
                <w:color w:val="000000" w:themeColor="text1"/>
                <w:sz w:val="22"/>
                <w14:textFill>
                  <w14:solidFill>
                    <w14:schemeClr w14:val="tx1"/>
                  </w14:solidFill>
                </w14:textFill>
              </w:rPr>
              <w:t>响应时间、服务人员匹配</w:t>
            </w:r>
            <w:r>
              <w:rPr>
                <w:rFonts w:hint="eastAsia" w:ascii="仿宋" w:hAnsi="仿宋" w:eastAsia="仿宋" w:cs="仿宋"/>
                <w:color w:val="000000" w:themeColor="text1"/>
                <w:sz w:val="22"/>
                <w:lang w:val="en-US" w:eastAsia="zh-CN"/>
                <w14:textFill>
                  <w14:solidFill>
                    <w14:schemeClr w14:val="tx1"/>
                  </w14:solidFill>
                </w14:textFill>
              </w:rPr>
              <w:t>一般，最高得3分；</w:t>
            </w:r>
            <w:r>
              <w:rPr>
                <w:rFonts w:hint="eastAsia" w:ascii="仿宋" w:hAnsi="仿宋" w:eastAsia="仿宋" w:cs="仿宋"/>
                <w:color w:val="000000" w:themeColor="text1"/>
                <w:sz w:val="22"/>
                <w:lang w:eastAsia="zh-CN"/>
                <w14:textFill>
                  <w14:solidFill>
                    <w14:schemeClr w14:val="tx1"/>
                  </w14:solidFill>
                </w14:textFill>
              </w:rPr>
              <w:t>（</w:t>
            </w:r>
            <w:r>
              <w:rPr>
                <w:rFonts w:hint="eastAsia" w:ascii="仿宋" w:hAnsi="仿宋" w:eastAsia="仿宋" w:cs="仿宋"/>
                <w:color w:val="000000" w:themeColor="text1"/>
                <w:sz w:val="22"/>
                <w:lang w:val="en-US" w:eastAsia="zh-CN"/>
                <w14:textFill>
                  <w14:solidFill>
                    <w14:schemeClr w14:val="tx1"/>
                  </w14:solidFill>
                </w14:textFill>
              </w:rPr>
              <w:t>5</w:t>
            </w:r>
            <w:r>
              <w:rPr>
                <w:rFonts w:hint="eastAsia" w:ascii="仿宋" w:hAnsi="仿宋" w:eastAsia="仿宋" w:cs="仿宋"/>
                <w:color w:val="000000" w:themeColor="text1"/>
                <w:sz w:val="22"/>
                <w:lang w:eastAsia="zh-CN"/>
                <w14:textFill>
                  <w14:solidFill>
                    <w14:schemeClr w14:val="tx1"/>
                  </w14:solidFill>
                </w14:textFill>
              </w:rPr>
              <w:t>）</w:t>
            </w:r>
            <w:r>
              <w:rPr>
                <w:rFonts w:hint="eastAsia" w:ascii="仿宋" w:hAnsi="仿宋" w:eastAsia="仿宋" w:cs="仿宋"/>
                <w:color w:val="000000" w:themeColor="text1"/>
                <w:sz w:val="22"/>
                <w14:textFill>
                  <w14:solidFill>
                    <w14:schemeClr w14:val="tx1"/>
                  </w14:solidFill>
                </w14:textFill>
              </w:rPr>
              <w:t>服务方案</w:t>
            </w:r>
            <w:r>
              <w:rPr>
                <w:rFonts w:hint="eastAsia" w:ascii="仿宋" w:hAnsi="仿宋" w:eastAsia="仿宋" w:cs="仿宋"/>
                <w:color w:val="000000" w:themeColor="text1"/>
                <w:sz w:val="22"/>
                <w:lang w:val="en-US" w:eastAsia="zh-CN"/>
                <w14:textFill>
                  <w14:solidFill>
                    <w14:schemeClr w14:val="tx1"/>
                  </w14:solidFill>
                </w14:textFill>
              </w:rPr>
              <w:t>较差，方案不完整，得1分。</w:t>
            </w:r>
          </w:p>
        </w:tc>
        <w:tc>
          <w:tcPr>
            <w:tcW w:w="720" w:type="dxa"/>
            <w:shd w:val="clear" w:color="auto" w:fill="auto"/>
            <w:noWrap w:val="0"/>
            <w:tcMar>
              <w:top w:w="0" w:type="dxa"/>
              <w:left w:w="108" w:type="dxa"/>
              <w:bottom w:w="0" w:type="dxa"/>
              <w:right w:w="108" w:type="dxa"/>
            </w:tcMar>
            <w:vAlign w:val="center"/>
          </w:tcPr>
          <w:p w14:paraId="6DCB47AE">
            <w:pPr>
              <w:pBdr>
                <w:top w:val="none" w:color="000000" w:sz="0" w:space="0"/>
                <w:left w:val="none" w:color="000000" w:sz="0" w:space="0"/>
                <w:bottom w:val="none" w:color="000000" w:sz="0" w:space="0"/>
                <w:right w:val="none" w:color="000000" w:sz="0" w:space="0"/>
              </w:pBdr>
              <w:spacing w:before="0" w:after="0" w:line="240" w:lineRule="auto"/>
              <w:ind w:left="0" w:leftChars="0" w:right="0" w:rightChars="0" w:firstLine="0" w:firstLineChars="0"/>
              <w:jc w:val="center"/>
              <w:rPr>
                <w:rFonts w:hint="eastAsia" w:ascii="仿宋" w:hAnsi="仿宋" w:eastAsia="仿宋" w:cs="仿宋"/>
                <w:color w:val="000000" w:themeColor="text1"/>
                <w:kern w:val="2"/>
                <w:sz w:val="21"/>
                <w:szCs w:val="24"/>
                <w:lang w:val="en-US" w:eastAsia="zh-CN" w:bidi="ar-SA"/>
                <w14:textFill>
                  <w14:solidFill>
                    <w14:schemeClr w14:val="tx1"/>
                  </w14:solidFill>
                </w14:textFill>
              </w:rPr>
            </w:pPr>
            <w:r>
              <w:rPr>
                <w:rFonts w:hint="eastAsia" w:ascii="仿宋" w:hAnsi="仿宋" w:eastAsia="仿宋" w:cs="仿宋"/>
                <w:color w:val="000000" w:themeColor="text1"/>
                <w:sz w:val="22"/>
                <w:lang w:val="en-US" w:eastAsia="zh-CN"/>
                <w14:textFill>
                  <w14:solidFill>
                    <w14:schemeClr w14:val="tx1"/>
                  </w14:solidFill>
                </w14:textFill>
              </w:rPr>
              <w:t>10</w:t>
            </w:r>
          </w:p>
        </w:tc>
        <w:tc>
          <w:tcPr>
            <w:tcW w:w="606" w:type="dxa"/>
            <w:noWrap w:val="0"/>
            <w:tcMar>
              <w:top w:w="0" w:type="dxa"/>
              <w:left w:w="108" w:type="dxa"/>
              <w:bottom w:w="0" w:type="dxa"/>
              <w:right w:w="108" w:type="dxa"/>
            </w:tcMar>
            <w:vAlign w:val="center"/>
          </w:tcPr>
          <w:p w14:paraId="257F02F3">
            <w:pPr>
              <w:pBdr>
                <w:top w:val="none" w:color="000000" w:sz="0" w:space="0"/>
                <w:left w:val="none" w:color="000000" w:sz="0" w:space="0"/>
                <w:bottom w:val="none" w:color="000000" w:sz="0" w:space="0"/>
                <w:right w:val="none" w:color="000000" w:sz="0" w:space="0"/>
              </w:pBdr>
              <w:spacing w:before="0" w:after="0" w:line="240" w:lineRule="auto"/>
              <w:ind w:left="0" w:right="0" w:firstLine="0"/>
              <w:jc w:val="center"/>
              <w:rPr>
                <w:rFonts w:hint="eastAsia" w:ascii="仿宋" w:hAnsi="仿宋" w:eastAsia="仿宋" w:cs="仿宋"/>
                <w:color w:val="000000" w:themeColor="text1"/>
                <w:lang w:val="en-US" w:eastAsia="zh-CN"/>
                <w14:textFill>
                  <w14:solidFill>
                    <w14:schemeClr w14:val="tx1"/>
                  </w14:solidFill>
                </w14:textFill>
              </w:rPr>
            </w:pPr>
          </w:p>
        </w:tc>
      </w:tr>
    </w:tbl>
    <w:p w14:paraId="3813CB90">
      <w:pPr>
        <w:jc w:val="left"/>
        <w:rPr>
          <w:rFonts w:hint="eastAsia" w:ascii="方正仿宋_GBK" w:hAnsi="方正仿宋_GBK" w:eastAsia="方正仿宋_GBK" w:cs="方正仿宋_GBK"/>
          <w:color w:val="000000" w:themeColor="text1"/>
          <w:sz w:val="32"/>
          <w:szCs w:val="40"/>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B4CD8"/>
    <w:rsid w:val="03FC2EB9"/>
    <w:rsid w:val="04193AD8"/>
    <w:rsid w:val="08DD6AC8"/>
    <w:rsid w:val="099E1F14"/>
    <w:rsid w:val="130C6140"/>
    <w:rsid w:val="13DD6445"/>
    <w:rsid w:val="29A94694"/>
    <w:rsid w:val="3B0E03F8"/>
    <w:rsid w:val="41DB3CC4"/>
    <w:rsid w:val="45290142"/>
    <w:rsid w:val="5A84202D"/>
    <w:rsid w:val="5C221683"/>
    <w:rsid w:val="5D953794"/>
    <w:rsid w:val="66B20FE7"/>
    <w:rsid w:val="6828049B"/>
    <w:rsid w:val="6C962374"/>
    <w:rsid w:val="6E1A0886"/>
    <w:rsid w:val="70594452"/>
    <w:rsid w:val="70D13D6E"/>
    <w:rsid w:val="717855B0"/>
    <w:rsid w:val="71946BA2"/>
    <w:rsid w:val="74B12BB1"/>
    <w:rsid w:val="76B55F8C"/>
    <w:rsid w:val="7AD563B2"/>
    <w:rsid w:val="7CAF6B09"/>
    <w:rsid w:val="7E0A4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rPr>
      <w:rFonts w:ascii="仿宋_GB2312" w:hAnsi="宋体" w:eastAsia="仿宋_GB2312"/>
      <w:kern w:val="0"/>
      <w:sz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0">
    <w:name w:val="Table Text"/>
    <w:basedOn w:val="1"/>
    <w:semiHidden/>
    <w:qFormat/>
    <w:uiPriority w:val="0"/>
    <w:rPr>
      <w:rFonts w:ascii="宋体" w:hAnsi="宋体" w:eastAsia="宋体" w:cs="宋体"/>
      <w:sz w:val="14"/>
      <w:szCs w:val="1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7276ffa4-8e0f-4e6f-9849-a8a9f9dce41f</errorID>
      <errorWord>；</errorWord>
      <group>L1_Punc</group>
      <groupName>标点问题</groupName>
      <ability>L2_Punc_CN</ability>
      <abilityName>标点符号问题</abilityName>
      <candidateList>
        <item>。</item>
      </candidateList>
      <explain/>
      <paraID>7D775E7E</paraID>
      <start>61</start>
      <end>62</end>
      <status>modified</status>
      <modifiedWord>。</modifiedWord>
      <trackRevisions>false</trackRevisions>
    </reviewItem>
    <reviewItem>
      <errorID>faf20c07-91e9-4b4d-a401-d9c9589d6271</errorID>
      <errorWord>实施方案</errorWord>
      <group>L1_Word</group>
      <groupName>字词问题</groupName>
      <ability>L2_Typo</ability>
      <abilityName>字词错误</abilityName>
      <candidateList>
        <item>服务方案</item>
      </candidateList>
      <explain/>
      <paraID>60492ECB</paraID>
      <start>118</start>
      <end>122</end>
      <status>modified</status>
      <modifiedWord>服务方案</modifiedWord>
      <trackRevisions>false</trackRevisions>
    </reviewItem>
    <reviewItem>
      <errorID>2c6e1edb-d521-46ea-ab87-941ab2dae73c</errorID>
      <errorWord>有</errorWord>
      <group>L1_Grammar</group>
      <groupName>语法问题</groupName>
      <ability>L2_Grammar</ability>
      <abilityName>语法错误</abilityName>
      <candidateList>
        <item>计划有</item>
      </candidateList>
      <explain/>
      <paraID>7055AC95</paraID>
      <start>99</start>
      <end>102</end>
      <status>modified</status>
      <modifiedWord>计划有</modifiedWord>
      <trackRevisions>false</trackRevisions>
    </reviewItem>
    <reviewItem>
      <errorID>df3b7334-238f-453e-a77c-6bae62d72f2c</errorID>
      <errorWord>差</errorWord>
      <group>L1_Word</group>
      <groupName>字词问题</groupName>
      <ability>L2_Typo</ability>
      <abilityName>字词错误</abilityName>
      <candidateList>
        <item>较差</item>
      </candidateList>
      <explain/>
      <paraID>7055AC95</paraID>
      <start>116</start>
      <end>118</end>
      <status>modified</status>
      <modifiedWord>较差</modifiedWord>
      <trackRevisions>false</trackRevisions>
    </reviewItem>
    <reviewItem>
      <errorID>ade44f54-ce94-45c8-a647-d1c4b76c8a1f</errorID>
      <errorWord>比较</errorWord>
      <group>L1_Grammar</group>
      <groupName>语法问题</groupName>
      <ability>L2_Grammar</ability>
      <abilityName>语法错误</abilityName>
      <candidateList>
        <item>措施比较</item>
      </candidateList>
      <explain/>
      <paraID>6FB7633D</paraID>
      <start>70</start>
      <end>74</end>
      <status>modified</status>
      <modifiedWord>措施比较</modifiedWord>
      <trackRevisions>false</trackRevisions>
    </reviewItem>
    <reviewItem>
      <errorID>800fc780-295d-4876-b694-ef0c2465aa60</errorID>
      <errorWord>基本</errorWord>
      <group>L1_Grammar</group>
      <groupName>语法问题</groupName>
      <ability>L2_Grammar</ability>
      <abilityName>语法错误</abilityName>
      <candidateList>
        <item>措施基本</item>
      </candidateList>
      <explain/>
      <paraID>6FB7633D</paraID>
      <start>92</start>
      <end>96</end>
      <status>modified</status>
      <modifiedWord>措施基本</modifiedWord>
      <trackRevisions>false</trackRevisions>
    </reviewItem>
    <reviewItem>
      <errorID>b87a6feb-aa91-4fd4-b2e4-4208d56fed6b</errorID>
      <errorWord>全过程的</errorWord>
      <group>L1_Political</group>
      <groupName>政治性问题</groupName>
      <ability>L2_Keyword</ability>
      <abilityName>固定表述</abilityName>
      <candidateList>
        <item>全过程</item>
      </candidateList>
      <explain>此处内容疑似含有固定表述相关错误，建议核查。</explain>
      <paraID>50B922C1</paraID>
      <start>28</start>
      <end>31</end>
      <status>modified</status>
      <modifiedWord>全过程</modifiedWord>
      <trackRevisions>false</trackRevisions>
    </reviewItem>
    <reviewItem>
      <errorID>57d2f289-4d80-457c-8a0e-2952e5c5fea6</errorID>
      <errorWord>完善的</errorWord>
      <group>L1_Word</group>
      <groupName>字词问题</groupName>
      <ability>L2_Typo</ability>
      <abilityName>字词错误</abilityName>
      <candidateList>
        <item>完善</item>
      </candidateList>
      <explain/>
      <paraID>50B922C1</paraID>
      <start>42</start>
      <end>44</end>
      <status>modified</status>
      <modifiedWord>完善</modifiedWord>
      <trackRevisions>false</trackRevisions>
    </reviewItem>
    <reviewItem>
      <errorID>0ef5f029-3e33-4d7c-9de1-7116619c4845</errorID>
      <errorWord>完善的</errorWord>
      <group>L1_Word</group>
      <groupName>字词问题</groupName>
      <ability>L2_Typo</ability>
      <abilityName>字词错误</abilityName>
      <candidateList>
        <item>完善</item>
      </candidateList>
      <explain/>
      <paraID>50B922C1</paraID>
      <start>55</start>
      <end>57</end>
      <status>modified</status>
      <modifiedWord>完善</modifiedWord>
      <trackRevisions>false</trackRevisions>
    </reviewItem>
  </reviewItems>
  <config/>
</contractReview>
</file>

<file path=customXml/itemProps1.xml><?xml version="1.0" encoding="utf-8"?>
<ds:datastoreItem xmlns:ds="http://schemas.openxmlformats.org/officeDocument/2006/customXml" ds:itemID="{380f07b0-fc7d-4d02-a8dc-ae3030b9b368}">
  <ds:schemaRefs/>
</ds:datastoreItem>
</file>

<file path=docProps/app.xml><?xml version="1.0" encoding="utf-8"?>
<Properties xmlns="http://schemas.openxmlformats.org/officeDocument/2006/extended-properties" xmlns:vt="http://schemas.openxmlformats.org/officeDocument/2006/docPropsVTypes">
  <Template>Normal.dotm</Template>
  <Pages>2</Pages>
  <Words>733</Words>
  <Characters>804</Characters>
  <Lines>0</Lines>
  <Paragraphs>0</Paragraphs>
  <TotalTime>5</TotalTime>
  <ScaleCrop>false</ScaleCrop>
  <LinksUpToDate>false</LinksUpToDate>
  <CharactersWithSpaces>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2026-07-30T06:11:00Z</dcterms:created>
  <dc:creator>Administrator</dc:creator>
  <cp:lastModifiedBy>WPS_1646030637</cp:lastModifiedBy>
  <dcterms:modified xsi:type="dcterms:W3CDTF">2026-08-03T09:03:20Z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eyJoZGlkIjoiMmI0YWYyMjUxYTJhNzM2NDAzMGJjZGNlNzQ5ZGM3YTQiLCJ1c2VySWQiOiIxMzM5NTc1MDI2In0=</vt:lpwstr>
  </property>
  <property fmtid="{D5CDD505-2E9C-101B-9397-08002B2CF9AE}" pid="4" name="ICV">
    <vt:lpwstr>4DEB0BC69CDF4F619D4FFED69DC903D5_13</vt:lpwstr>
  </property>
</Properties>
</file>