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numPr>
          <w:ilvl w:val="0"/>
          <w:numId w:val="0"/>
        </w:numPr>
        <w:topLinePunct w:val="0"/>
        <w:jc w:val="center"/>
        <w:rPr>
          <w:rFonts w:hint="eastAsia" w:ascii="方正小标宋简体" w:hAnsi="方正小标宋简体" w:eastAsia="方正小标宋简体" w:cs="方正小标宋简体"/>
          <w:b w:val="0"/>
          <w:sz w:val="44"/>
          <w:szCs w:val="44"/>
          <w:lang w:val="en" w:eastAsia="zh-CN"/>
        </w:rPr>
      </w:pPr>
      <w:r>
        <w:rPr>
          <w:rFonts w:hint="eastAsia" w:ascii="方正小标宋简体" w:hAnsi="方正小标宋简体" w:eastAsia="方正小标宋简体" w:cs="方正小标宋简体"/>
          <w:sz w:val="44"/>
          <w:szCs w:val="44"/>
        </w:rPr>
        <w:t>2026－2028年度江宁区环境质量及污染源监测服务项目</w:t>
      </w:r>
      <w:r>
        <w:rPr>
          <w:rFonts w:hint="eastAsia" w:ascii="方正小标宋简体" w:hAnsi="方正小标宋简体" w:eastAsia="方正小标宋简体" w:cs="方正小标宋简体"/>
          <w:sz w:val="44"/>
          <w:szCs w:val="44"/>
          <w:lang w:eastAsia="zh-CN"/>
        </w:rPr>
        <w:t>采购需求公示</w:t>
      </w:r>
    </w:p>
    <w:p>
      <w:pPr>
        <w:pStyle w:val="11"/>
        <w:bidi w:val="0"/>
        <w:spacing w:beforeAutospacing="0" w:afterAutospacing="0" w:line="300" w:lineRule="exact"/>
        <w:rPr>
          <w:rFonts w:hint="eastAsia"/>
          <w:lang w:eastAsia="zh-CN"/>
        </w:rPr>
      </w:pPr>
      <w:bookmarkStart w:id="5" w:name="_GoBack"/>
      <w:bookmarkEnd w:id="5"/>
    </w:p>
    <w:p>
      <w:pPr>
        <w:pStyle w:val="11"/>
        <w:bidi w:val="0"/>
        <w:spacing w:beforeAutospacing="0" w:afterAutospacing="0" w:line="300" w:lineRule="exact"/>
        <w:rPr>
          <w:rFonts w:hint="eastAsia"/>
          <w:lang w:eastAsia="zh-CN"/>
        </w:rPr>
      </w:pPr>
    </w:p>
    <w:p>
      <w:pPr>
        <w:pStyle w:val="2"/>
        <w:numPr>
          <w:ilvl w:val="0"/>
          <w:numId w:val="0"/>
        </w:numPr>
        <w:topLinePunct w:val="0"/>
        <w:bidi w:val="0"/>
        <w:ind w:left="0" w:leftChars="0" w:firstLine="640"/>
        <w:rPr>
          <w:rFonts w:hint="eastAsia" w:ascii="黑体" w:hAnsi="黑体" w:eastAsia="黑体" w:cs="黑体"/>
          <w:b w:val="0"/>
          <w:szCs w:val="32"/>
        </w:rPr>
      </w:pPr>
      <w:r>
        <w:rPr>
          <w:rFonts w:hint="eastAsia"/>
          <w:lang w:eastAsia="zh-CN"/>
        </w:rPr>
        <w:t>一、</w:t>
      </w:r>
      <w:r>
        <w:t>项目基本情况</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采购人：南京市江宁生态环境局</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项目名称：2026</w:t>
      </w:r>
      <w:r>
        <w:rPr>
          <w:rFonts w:hint="eastAsia" w:ascii="方正仿宋_GB2312" w:hAnsi="方正仿宋_GB2312" w:eastAsia="方正仿宋_GB2312" w:cs="方正仿宋_GB2312"/>
          <w:lang w:val="en-US" w:eastAsia="zh-CN"/>
        </w:rPr>
        <w:t>-</w:t>
      </w:r>
      <w:r>
        <w:rPr>
          <w:rFonts w:ascii="Times New Roman" w:hAnsi="Times New Roman" w:eastAsia="仿宋_GB2312" w:cs="仿宋_GB2312"/>
          <w:sz w:val="32"/>
          <w:szCs w:val="32"/>
        </w:rPr>
        <w:t>2028年度江宁区环境质量及污染源监测服务项目</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委托方式：分散采购</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采购类型：服务</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采购方式：公开招标采购</w:t>
      </w:r>
    </w:p>
    <w:p>
      <w:pPr>
        <w:pStyle w:val="11"/>
        <w:widowControl/>
        <w:rPr>
          <w:rFonts w:ascii="Times New Roman" w:hAnsi="Times New Roman" w:eastAsia="仿宋_GB2312" w:cs="仿宋_GB2312"/>
          <w:color w:val="FF0000"/>
          <w:sz w:val="32"/>
          <w:szCs w:val="32"/>
        </w:rPr>
      </w:pPr>
      <w:r>
        <w:rPr>
          <w:rFonts w:ascii="Times New Roman" w:hAnsi="Times New Roman" w:eastAsia="仿宋_GB2312" w:cs="仿宋_GB2312"/>
          <w:sz w:val="32"/>
          <w:szCs w:val="32"/>
        </w:rPr>
        <w:t>预算金额（元）：960万元</w:t>
      </w:r>
      <w:r>
        <w:rPr>
          <w:rFonts w:ascii="Times New Roman" w:hAnsi="Times New Roman" w:eastAsia="仿宋_GB2312" w:cs="仿宋_GB2312"/>
          <w:color w:val="000000" w:themeColor="text1"/>
          <w:sz w:val="32"/>
          <w:szCs w:val="32"/>
          <w14:textFill>
            <w14:solidFill>
              <w14:schemeClr w14:val="tx1"/>
            </w14:solidFill>
          </w14:textFill>
        </w:rPr>
        <w:t>（480万元／年）</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最高限价（元）：480万元／年（采购包</w:t>
      </w:r>
      <w:r>
        <w:rPr>
          <w:rFonts w:hint="eastAsia" w:cs="仿宋_GB2312"/>
          <w:sz w:val="32"/>
          <w:szCs w:val="32"/>
          <w:lang w:val="en-US" w:eastAsia="zh-CN"/>
        </w:rPr>
        <w:t>一</w:t>
      </w:r>
      <w:r>
        <w:rPr>
          <w:rFonts w:hint="eastAsia" w:cs="仿宋_GB2312"/>
          <w:sz w:val="32"/>
          <w:szCs w:val="32"/>
          <w:lang w:eastAsia="zh-CN"/>
        </w:rPr>
        <w:t>：</w:t>
      </w:r>
      <w:r>
        <w:rPr>
          <w:rFonts w:ascii="Times New Roman" w:hAnsi="Times New Roman" w:eastAsia="仿宋_GB2312" w:cs="仿宋_GB2312"/>
          <w:sz w:val="32"/>
          <w:szCs w:val="32"/>
        </w:rPr>
        <w:t>80万元／年；采购包</w:t>
      </w:r>
      <w:r>
        <w:rPr>
          <w:rFonts w:hint="eastAsia" w:cs="仿宋_GB2312"/>
          <w:sz w:val="32"/>
          <w:szCs w:val="32"/>
          <w:lang w:val="en-US" w:eastAsia="zh-CN"/>
        </w:rPr>
        <w:t>二：</w:t>
      </w:r>
      <w:r>
        <w:rPr>
          <w:rFonts w:ascii="Times New Roman" w:hAnsi="Times New Roman" w:eastAsia="仿宋_GB2312" w:cs="仿宋_GB2312"/>
          <w:sz w:val="32"/>
          <w:szCs w:val="32"/>
        </w:rPr>
        <w:t>70万元／年；采购包</w:t>
      </w:r>
      <w:r>
        <w:rPr>
          <w:rFonts w:hint="eastAsia" w:cs="仿宋_GB2312"/>
          <w:sz w:val="32"/>
          <w:szCs w:val="32"/>
          <w:lang w:val="en-US" w:eastAsia="zh-CN"/>
        </w:rPr>
        <w:t>三</w:t>
      </w:r>
      <w:r>
        <w:rPr>
          <w:rFonts w:hint="eastAsia" w:cs="仿宋_GB2312"/>
          <w:sz w:val="32"/>
          <w:szCs w:val="32"/>
          <w:lang w:eastAsia="zh-CN"/>
        </w:rPr>
        <w:t>：</w:t>
      </w:r>
      <w:r>
        <w:rPr>
          <w:rFonts w:ascii="Times New Roman" w:hAnsi="Times New Roman" w:eastAsia="仿宋_GB2312" w:cs="仿宋_GB2312"/>
          <w:sz w:val="32"/>
          <w:szCs w:val="32"/>
        </w:rPr>
        <w:t>70万元／年；采购包</w:t>
      </w:r>
      <w:r>
        <w:rPr>
          <w:rFonts w:hint="eastAsia" w:cs="仿宋_GB2312"/>
          <w:sz w:val="32"/>
          <w:szCs w:val="32"/>
          <w:lang w:val="en-US" w:eastAsia="zh-CN"/>
        </w:rPr>
        <w:t>四</w:t>
      </w:r>
      <w:r>
        <w:rPr>
          <w:rFonts w:hint="eastAsia" w:cs="仿宋_GB2312"/>
          <w:sz w:val="32"/>
          <w:szCs w:val="32"/>
          <w:lang w:eastAsia="zh-CN"/>
        </w:rPr>
        <w:t>：</w:t>
      </w:r>
      <w:r>
        <w:rPr>
          <w:rFonts w:ascii="Times New Roman" w:hAnsi="Times New Roman" w:eastAsia="仿宋_GB2312" w:cs="仿宋_GB2312"/>
          <w:sz w:val="32"/>
          <w:szCs w:val="32"/>
        </w:rPr>
        <w:t>85万元／年；采购包</w:t>
      </w:r>
      <w:r>
        <w:rPr>
          <w:rFonts w:hint="eastAsia" w:cs="仿宋_GB2312"/>
          <w:sz w:val="32"/>
          <w:szCs w:val="32"/>
          <w:lang w:val="en-US" w:eastAsia="zh-CN"/>
        </w:rPr>
        <w:t>五</w:t>
      </w:r>
      <w:r>
        <w:rPr>
          <w:rFonts w:hint="eastAsia" w:cs="仿宋_GB2312"/>
          <w:sz w:val="32"/>
          <w:szCs w:val="32"/>
          <w:lang w:eastAsia="zh-CN"/>
        </w:rPr>
        <w:t>：</w:t>
      </w:r>
      <w:r>
        <w:rPr>
          <w:rFonts w:ascii="Times New Roman" w:hAnsi="Times New Roman" w:eastAsia="仿宋_GB2312" w:cs="仿宋_GB2312"/>
          <w:sz w:val="32"/>
          <w:szCs w:val="32"/>
        </w:rPr>
        <w:t>80万元／年；采购包</w:t>
      </w:r>
      <w:r>
        <w:rPr>
          <w:rFonts w:hint="eastAsia" w:cs="仿宋_GB2312"/>
          <w:sz w:val="32"/>
          <w:szCs w:val="32"/>
          <w:lang w:val="en-US" w:eastAsia="zh-CN"/>
        </w:rPr>
        <w:t>六</w:t>
      </w:r>
      <w:r>
        <w:rPr>
          <w:rFonts w:hint="eastAsia" w:cs="仿宋_GB2312"/>
          <w:sz w:val="32"/>
          <w:szCs w:val="32"/>
          <w:lang w:eastAsia="zh-CN"/>
        </w:rPr>
        <w:t>：</w:t>
      </w:r>
      <w:r>
        <w:rPr>
          <w:rFonts w:ascii="Times New Roman" w:hAnsi="Times New Roman" w:eastAsia="仿宋_GB2312" w:cs="仿宋_GB2312"/>
          <w:sz w:val="32"/>
          <w:szCs w:val="32"/>
        </w:rPr>
        <w:t>95万元／年），本项目按照费率报价，控制价费率为70％，供应商报价费率超过最高控制价费率的为无效报价，按照无效响应处理。</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标项名称：</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包一：9个尾矿库监测任务</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包二：3个垃圾填埋场（轿子山、水阁、江南灰渣）3个总排口监测任务</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包三：光大环保、中联水泥废气监测任务</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包四：水质提升河道、涉水环境问题河流（沟渠、涵洞）监测及应急处理设施监测</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包五：省考断面跟踪监测、城市建成区水体、泵站排口及水库监测</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包六：重点断面水环境质量监测及泵站水质监测</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数量：1 项</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合同履行期限：二年，合同一年一签。</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本项目（否）联合体投标。</w:t>
      </w:r>
    </w:p>
    <w:p>
      <w:pPr>
        <w:pStyle w:val="2"/>
        <w:numPr>
          <w:ilvl w:val="0"/>
          <w:numId w:val="0"/>
        </w:numPr>
        <w:topLinePunct w:val="0"/>
        <w:bidi w:val="0"/>
        <w:ind w:left="0" w:leftChars="0" w:firstLine="640"/>
        <w:rPr>
          <w:rFonts w:hint="eastAsia" w:ascii="黑体" w:hAnsi="黑体" w:eastAsia="黑体" w:cs="黑体"/>
          <w:b w:val="0"/>
          <w:szCs w:val="32"/>
        </w:rPr>
      </w:pPr>
      <w:r>
        <w:rPr>
          <w:rFonts w:hint="eastAsia"/>
          <w:lang w:eastAsia="zh-CN"/>
        </w:rPr>
        <w:t>二、</w:t>
      </w:r>
      <w:r>
        <w:t>投标人资格</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pacing w:val="-6"/>
          <w:sz w:val="32"/>
          <w:szCs w:val="32"/>
          <w:lang w:eastAsia="zh-CN"/>
        </w:rPr>
        <w:t>1.</w:t>
      </w:r>
      <w:r>
        <w:rPr>
          <w:rFonts w:hint="eastAsia" w:ascii="仿宋" w:hAnsi="仿宋" w:eastAsia="仿宋" w:cs="仿宋"/>
          <w:spacing w:val="3"/>
          <w:sz w:val="32"/>
          <w:szCs w:val="32"/>
          <w:lang w:eastAsia="zh-CN"/>
        </w:rPr>
        <w:t xml:space="preserve"> </w:t>
      </w:r>
      <w:r>
        <w:rPr>
          <w:rFonts w:ascii="Times New Roman" w:hAnsi="Times New Roman" w:eastAsia="仿宋_GB2312" w:cs="仿宋_GB2312"/>
          <w:spacing w:val="3"/>
          <w:sz w:val="32"/>
          <w:szCs w:val="32"/>
        </w:rPr>
        <w:t>满足《中华人民共和国政府采购法》第二十二条第一</w:t>
      </w:r>
      <w:r>
        <w:rPr>
          <w:rFonts w:ascii="Times New Roman" w:hAnsi="Times New Roman" w:eastAsia="仿宋_GB2312" w:cs="仿宋_GB2312"/>
          <w:spacing w:val="-6"/>
          <w:sz w:val="32"/>
          <w:szCs w:val="32"/>
        </w:rPr>
        <w:t>款</w:t>
      </w:r>
      <w:r>
        <w:rPr>
          <w:rFonts w:ascii="Times New Roman" w:hAnsi="Times New Roman" w:eastAsia="仿宋_GB2312" w:cs="仿宋_GB2312"/>
          <w:sz w:val="32"/>
          <w:szCs w:val="32"/>
        </w:rPr>
        <w:t>规定：</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法人或者其他组织的营业执照等证明文件，自然人的身份证明。</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上一年度的财务状况报告（成立不满一年不需提供）（提供信用承诺表）。</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依法缴纳税收和社会保障资金的相关材料（提供信用承诺书）。</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具备履行合同所必需的设备和专业技术能力的书面声明（提供信用承诺书）。</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（5）</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参加政府采购活动前3年内在经营活动中没有重大违法记录的书面声明（提供信用承诺书）。</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（6）</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法律、行政法规规定的其他条件。 </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落实政府采购政策需满足的资格要求：</w:t>
      </w:r>
    </w:p>
    <w:p>
      <w:pPr>
        <w:rPr>
          <w:rFonts w:ascii="Times New Roman" w:hAnsi="Times New Roman" w:eastAsia="仿宋_GB2312" w:cs="仿宋_GB2312"/>
          <w:sz w:val="32"/>
          <w:szCs w:val="32"/>
          <w:lang w:eastAsia="zh-CN"/>
        </w:rPr>
      </w:pPr>
      <w:r>
        <w:rPr>
          <w:rFonts w:ascii="Times New Roman" w:hAnsi="Times New Roman" w:eastAsia="仿宋_GB2312" w:cs="仿宋_GB2312"/>
          <w:sz w:val="32"/>
          <w:szCs w:val="32"/>
        </w:rPr>
        <w:t>（1）根据《关于在政府采购活动中推行信用承诺制的通知》宁财购通〔2021〕5号规定， 参加南京地区政府采购活动的供应商，应以书面形式向采购人或政府采购代理机构作出信用承诺。供应商应尽早做好承诺工作，点击</w:t>
      </w:r>
      <w:r>
        <w:rPr>
          <w:rFonts w:hint="eastAsia" w:ascii="Times New Roman" w:hAnsi="Times New Roman" w:eastAsia="仿宋_GB2312" w:cs="仿宋_GB2312"/>
          <w:sz w:val="32"/>
          <w:szCs w:val="32"/>
          <w:lang w:eastAsia="zh-CN"/>
        </w:rPr>
        <w:t>“南京公共采购信息网”首页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代表签字并加盖单位公章，随响应文件一并递交。</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在政府采购资格审查环节，供应商只需提供书面《南京市政府采购供应商信用记录表暨信用承诺书》，即可替代以下证明材料：</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（1）</w:t>
      </w:r>
      <w:r>
        <w:rPr>
          <w:rFonts w:ascii="Times New Roman" w:hAnsi="Times New Roman" w:eastAsia="仿宋_GB2312" w:cs="仿宋_GB2312"/>
          <w:sz w:val="32"/>
          <w:szCs w:val="32"/>
        </w:rPr>
        <w:t>符合国家相关规定的财务状况报告；</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（2）</w:t>
      </w:r>
      <w:r>
        <w:rPr>
          <w:rFonts w:ascii="Times New Roman" w:hAnsi="Times New Roman" w:eastAsia="仿宋_GB2312" w:cs="仿宋_GB2312"/>
          <w:sz w:val="32"/>
          <w:szCs w:val="32"/>
        </w:rPr>
        <w:t>依法缴纳税收的证明材料；</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（3）</w:t>
      </w:r>
      <w:r>
        <w:rPr>
          <w:rFonts w:ascii="Times New Roman" w:hAnsi="Times New Roman" w:eastAsia="仿宋_GB2312" w:cs="仿宋_GB2312"/>
          <w:sz w:val="32"/>
          <w:szCs w:val="32"/>
        </w:rPr>
        <w:t>依法缴纳社会保障资金的证明材料；</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（4）</w:t>
      </w:r>
      <w:r>
        <w:rPr>
          <w:rFonts w:ascii="Times New Roman" w:hAnsi="Times New Roman" w:eastAsia="仿宋_GB2312" w:cs="仿宋_GB2312"/>
          <w:sz w:val="32"/>
          <w:szCs w:val="32"/>
        </w:rPr>
        <w:t>具备履行政府采购合同所必需的设备和专业技术能力的证明材料；</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（5）</w:t>
      </w:r>
      <w:r>
        <w:rPr>
          <w:rFonts w:ascii="Times New Roman" w:hAnsi="Times New Roman" w:eastAsia="仿宋_GB2312" w:cs="仿宋_GB2312"/>
          <w:sz w:val="32"/>
          <w:szCs w:val="32"/>
        </w:rPr>
        <w:t>参加政府采购活动前三年内在经营活动中没有重大违法记录的证明材料；</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（6）</w:t>
      </w:r>
      <w:r>
        <w:rPr>
          <w:rFonts w:ascii="Times New Roman" w:hAnsi="Times New Roman" w:eastAsia="仿宋_GB2312" w:cs="仿宋_GB2312"/>
          <w:sz w:val="32"/>
          <w:szCs w:val="32"/>
        </w:rPr>
        <w:t>未被列入失信被执行人、重大税收违法失信主体、政府采购严重违法失信行为记录名单的证明材料。</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供应商在中标（成交）后，应按采购文件要求，将上述由信用承诺书替代的证明材料提交采购人或采购代理机构核验。经核验无误后，由采购人或采购代理机构发出中标（成交）通知书。</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供应商涉及以下情形的，不适用信用承诺：</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（1）</w:t>
      </w:r>
      <w:r>
        <w:rPr>
          <w:rFonts w:ascii="Times New Roman" w:hAnsi="Times New Roman" w:eastAsia="仿宋_GB2312" w:cs="仿宋_GB2312"/>
          <w:sz w:val="32"/>
          <w:szCs w:val="32"/>
        </w:rPr>
        <w:t>供应商被列入严重失信主体名单；</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（2）</w:t>
      </w:r>
      <w:r>
        <w:rPr>
          <w:rFonts w:ascii="Times New Roman" w:hAnsi="Times New Roman" w:eastAsia="仿宋_GB2312" w:cs="仿宋_GB2312"/>
          <w:sz w:val="32"/>
          <w:szCs w:val="32"/>
        </w:rPr>
        <w:t>被相关监管部门作出行政处罚且尚在处罚有效期内；</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（3）</w:t>
      </w:r>
      <w:r>
        <w:rPr>
          <w:rFonts w:ascii="Times New Roman" w:hAnsi="Times New Roman" w:eastAsia="仿宋_GB2312" w:cs="仿宋_GB2312"/>
          <w:sz w:val="32"/>
          <w:szCs w:val="32"/>
        </w:rPr>
        <w:t>其他法律、行政法规规定的不适用信用承诺的情形。</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供应商对信用承诺内容的真实性、合法性、有效性负责。如作出</w:t>
      </w:r>
      <w:r>
        <w:rPr>
          <w:rFonts w:ascii="Times New Roman" w:hAnsi="Times New Roman" w:eastAsia="仿宋_GB2312" w:cs="仿宋_GB2312"/>
          <w:spacing w:val="-2"/>
          <w:sz w:val="32"/>
          <w:szCs w:val="32"/>
        </w:rPr>
        <w:t>虚假信用承诺，视同为</w:t>
      </w:r>
      <w:r>
        <w:rPr>
          <w:rFonts w:ascii="Times New Roman" w:hAnsi="Times New Roman" w:eastAsia="仿宋_GB2312" w:cs="仿宋_GB2312"/>
          <w:spacing w:val="-1"/>
          <w:sz w:val="32"/>
          <w:szCs w:val="32"/>
        </w:rPr>
        <w:t>“</w:t>
      </w:r>
      <w:r>
        <w:rPr>
          <w:rFonts w:ascii="Times New Roman" w:hAnsi="Times New Roman" w:eastAsia="仿宋_GB2312" w:cs="仿宋_GB2312"/>
          <w:spacing w:val="-2"/>
          <w:sz w:val="32"/>
          <w:szCs w:val="32"/>
        </w:rPr>
        <w:t>提供虚假材料谋取中标</w:t>
      </w:r>
      <w:r>
        <w:rPr>
          <w:rFonts w:ascii="Times New Roman" w:hAnsi="Times New Roman" w:eastAsia="仿宋_GB2312" w:cs="仿宋_GB2312"/>
          <w:spacing w:val="-1"/>
          <w:sz w:val="32"/>
          <w:szCs w:val="32"/>
        </w:rPr>
        <w:t>、</w:t>
      </w:r>
      <w:r>
        <w:rPr>
          <w:rFonts w:ascii="Times New Roman" w:hAnsi="Times New Roman" w:eastAsia="仿宋_GB2312" w:cs="仿宋_GB2312"/>
          <w:spacing w:val="-2"/>
          <w:sz w:val="32"/>
          <w:szCs w:val="32"/>
        </w:rPr>
        <w:t>成交”的违</w:t>
      </w:r>
      <w:r>
        <w:rPr>
          <w:rFonts w:ascii="Times New Roman" w:hAnsi="Times New Roman" w:eastAsia="仿宋_GB2312" w:cs="仿宋_GB2312"/>
          <w:spacing w:val="-6"/>
          <w:sz w:val="32"/>
          <w:szCs w:val="32"/>
        </w:rPr>
        <w:t>法</w:t>
      </w:r>
      <w:r>
        <w:rPr>
          <w:rFonts w:ascii="Times New Roman" w:hAnsi="Times New Roman" w:eastAsia="仿宋_GB2312" w:cs="仿宋_GB2312"/>
          <w:sz w:val="32"/>
          <w:szCs w:val="32"/>
        </w:rPr>
        <w:t>行为。</w:t>
      </w:r>
    </w:p>
    <w:p>
      <w:pPr>
        <w:pStyle w:val="11"/>
        <w:widowControl/>
        <w:numPr>
          <w:ilvl w:val="0"/>
          <w:numId w:val="0"/>
        </w:numPr>
        <w:ind w:left="0" w:leftChars="0" w:firstLine="616"/>
        <w:rPr>
          <w:rFonts w:hint="eastAsia" w:ascii="Times New Roman" w:hAnsi="Times New Roman" w:eastAsia="仿宋_GB2312" w:cs="仿宋_GB2312"/>
          <w:b w:val="0"/>
          <w:sz w:val="32"/>
          <w:szCs w:val="32"/>
          <w:lang w:eastAsia="zh-CN"/>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如属于专门面向中小企业采购的项目，供应商应为中小微企业、监狱企业、残疾人福利性单位</w:t>
      </w:r>
      <w:r>
        <w:rPr>
          <w:rFonts w:hint="eastAsia" w:cs="仿宋_GB2312"/>
          <w:sz w:val="32"/>
          <w:szCs w:val="32"/>
          <w:lang w:eastAsia="zh-CN"/>
        </w:rPr>
        <w:t>。</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本项目采用以下第（4）种方式落实政府采购促进中小企业发展的要求：</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（1）</w:t>
      </w:r>
      <w:r>
        <w:rPr>
          <w:rFonts w:ascii="Times New Roman" w:hAnsi="Times New Roman" w:eastAsia="仿宋_GB2312" w:cs="仿宋_GB2312"/>
          <w:sz w:val="32"/>
          <w:szCs w:val="32"/>
        </w:rPr>
        <w:t>本项目整体专门面向中小企业采购服务。</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（2）</w:t>
      </w:r>
      <w:r>
        <w:rPr>
          <w:rFonts w:ascii="Times New Roman" w:hAnsi="Times New Roman" w:eastAsia="仿宋_GB2312" w:cs="仿宋_GB2312"/>
          <w:sz w:val="32"/>
          <w:szCs w:val="32"/>
        </w:rPr>
        <w:t>本项目整体专门面向小微企业采购服务。</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（3）</w:t>
      </w:r>
      <w:r>
        <w:rPr>
          <w:rFonts w:ascii="Times New Roman" w:hAnsi="Times New Roman" w:eastAsia="仿宋_GB2312" w:cs="仿宋_GB2312"/>
          <w:sz w:val="32"/>
          <w:szCs w:val="32"/>
        </w:rPr>
        <w:t>本项目通过以下方式预留部分采购份额采购中小企业服务：①本项目要求供应商以联合体形式参加，企业合同金额应当达到的比例为％。②本项目要求供应商进行合同分包，企业合同金额应当达到的比例为％。</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（4）</w:t>
      </w:r>
      <w:r>
        <w:rPr>
          <w:rFonts w:ascii="Times New Roman" w:hAnsi="Times New Roman" w:eastAsia="仿宋_GB2312" w:cs="仿宋_GB2312"/>
          <w:sz w:val="32"/>
          <w:szCs w:val="32"/>
        </w:rPr>
        <w:t>本项目为非预留份额的采购项目或采购包，执行价格扣除优惠政策，具体详见采购文件。</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本项目的特定资格要求：</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（1）</w:t>
      </w:r>
      <w:r>
        <w:rPr>
          <w:rFonts w:ascii="Times New Roman" w:hAnsi="Times New Roman" w:eastAsia="仿宋_GB2312" w:cs="仿宋_GB2312"/>
          <w:sz w:val="32"/>
          <w:szCs w:val="32"/>
        </w:rPr>
        <w:t>供应商应具备省级及以上市场监管部门颁发的有效期内的检验检测机构资质认定证书；</w:t>
      </w:r>
    </w:p>
    <w:p>
      <w:pPr>
        <w:pStyle w:val="11"/>
        <w:widowControl/>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（2）</w:t>
      </w:r>
      <w:r>
        <w:rPr>
          <w:rFonts w:ascii="Times New Roman" w:hAnsi="Times New Roman" w:eastAsia="仿宋_GB2312" w:cs="仿宋_GB2312"/>
          <w:sz w:val="32"/>
          <w:szCs w:val="32"/>
        </w:rPr>
        <w:t>根据《江苏省生态环境厅关于净化生态环境监测服务市场环境的通知》（苏环办〔2023〕122号）第五条的规定，承担生态环境部门委托监督性监测服务的环境监测机构，不得同时承接同一排污单位自行监测委托服务，本项目要求投标人提供不同时承接的承诺书，如后期履约过程中发现并查实存在同时承接的情形将终止合同</w:t>
      </w:r>
      <w:r>
        <w:rPr>
          <w:rFonts w:hint="eastAsia" w:cs="仿宋_GB2312"/>
          <w:sz w:val="32"/>
          <w:szCs w:val="32"/>
          <w:lang w:eastAsia="zh-CN"/>
        </w:rPr>
        <w:t>。</w:t>
      </w:r>
      <w:r>
        <w:rPr>
          <w:rFonts w:ascii="Times New Roman" w:hAnsi="Times New Roman" w:eastAsia="仿宋_GB2312" w:cs="仿宋_GB2312"/>
          <w:sz w:val="32"/>
          <w:szCs w:val="32"/>
        </w:rPr>
        <w:t>（提供承诺书，格式自拟）。</w:t>
      </w:r>
    </w:p>
    <w:p>
      <w:pPr>
        <w:pStyle w:val="2"/>
        <w:numPr>
          <w:ilvl w:val="0"/>
          <w:numId w:val="0"/>
        </w:numPr>
        <w:topLinePunct w:val="0"/>
        <w:bidi w:val="0"/>
        <w:ind w:left="0" w:leftChars="0" w:firstLine="640"/>
        <w:rPr>
          <w:rFonts w:hint="eastAsia" w:ascii="黑体" w:hAnsi="黑体" w:eastAsia="黑体" w:cs="黑体"/>
          <w:b w:val="0"/>
          <w:szCs w:val="32"/>
        </w:rPr>
      </w:pPr>
      <w:r>
        <w:rPr>
          <w:rFonts w:hint="eastAsia"/>
          <w:lang w:eastAsia="zh-CN"/>
        </w:rPr>
        <w:t>三、</w:t>
      </w:r>
      <w:r>
        <w:t>采购需求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项目名称： 2026－2028年度江宁区环境质量及污染源监测服务项目</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服务期要求：</w:t>
      </w:r>
      <w:r>
        <w:rPr>
          <w:rFonts w:hint="eastAsia" w:cs="仿宋_GB2312"/>
          <w:sz w:val="32"/>
          <w:szCs w:val="32"/>
          <w:lang w:eastAsia="zh-CN"/>
        </w:rPr>
        <w:t>两年</w:t>
      </w:r>
      <w:r>
        <w:rPr>
          <w:rFonts w:ascii="Times New Roman" w:hAnsi="Times New Roman" w:eastAsia="仿宋_GB2312" w:cs="仿宋_GB2312"/>
          <w:color w:val="000000"/>
          <w:sz w:val="32"/>
          <w:szCs w:val="32"/>
        </w:rPr>
        <w:t>，合同一年一签。</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服务内容及范围：</w:t>
      </w:r>
    </w:p>
    <w:p>
      <w:pPr>
        <w:pStyle w:val="11"/>
        <w:widowControl/>
        <w:rPr>
          <w:rFonts w:ascii="Times New Roman" w:hAnsi="Times New Roman" w:eastAsia="仿宋_GB2312" w:cs="仿宋_GB2312"/>
          <w:b/>
          <w:bCs/>
          <w:sz w:val="32"/>
          <w:szCs w:val="32"/>
        </w:rPr>
      </w:pPr>
      <w:r>
        <w:rPr>
          <w:rFonts w:ascii="Times New Roman" w:hAnsi="Times New Roman" w:eastAsia="仿宋_GB2312" w:cs="仿宋_GB2312"/>
          <w:b/>
          <w:bCs/>
          <w:sz w:val="32"/>
          <w:szCs w:val="32"/>
        </w:rPr>
        <w:t>包</w:t>
      </w:r>
      <w:r>
        <w:rPr>
          <w:rFonts w:hint="eastAsia" w:cs="仿宋_GB2312"/>
          <w:b/>
          <w:bCs/>
          <w:sz w:val="32"/>
          <w:szCs w:val="32"/>
          <w:lang w:val="en-US" w:eastAsia="zh-CN"/>
        </w:rPr>
        <w:t>一</w:t>
      </w:r>
      <w:r>
        <w:rPr>
          <w:rFonts w:hint="eastAsia" w:cs="仿宋_GB2312"/>
          <w:b/>
          <w:bCs/>
          <w:sz w:val="32"/>
          <w:szCs w:val="32"/>
          <w:lang w:eastAsia="zh-CN"/>
        </w:rPr>
        <w:t>：</w:t>
      </w:r>
      <w:r>
        <w:rPr>
          <w:rFonts w:ascii="Times New Roman" w:hAnsi="Times New Roman" w:eastAsia="仿宋_GB2312" w:cs="仿宋_GB2312"/>
          <w:b/>
          <w:bCs/>
          <w:sz w:val="32"/>
          <w:szCs w:val="32"/>
        </w:rPr>
        <w:t>9个尾矿库监测任务</w:t>
      </w:r>
    </w:p>
    <w:p>
      <w:pPr>
        <w:pStyle w:val="11"/>
        <w:widowControl/>
        <w:numPr>
          <w:ilvl w:val="0"/>
          <w:numId w:val="1"/>
        </w:numPr>
        <w:rPr>
          <w:rFonts w:ascii="Times New Roman" w:hAnsi="Times New Roman" w:eastAsia="仿宋_GB2312" w:cs="仿宋_GB2312"/>
          <w:sz w:val="32"/>
          <w:szCs w:val="32"/>
        </w:rPr>
      </w:pPr>
      <w:r>
        <w:rPr>
          <w:rFonts w:ascii="Times New Roman" w:hAnsi="Times New Roman" w:eastAsia="仿宋_GB2312" w:cs="仿宋_GB2312"/>
          <w:sz w:val="32"/>
          <w:szCs w:val="32"/>
        </w:rPr>
        <w:t>9个尾矿库</w:t>
      </w:r>
      <w:r>
        <w:rPr>
          <w:rFonts w:hint="eastAsia" w:cs="仿宋_GB2312"/>
          <w:sz w:val="32"/>
          <w:szCs w:val="32"/>
          <w:lang w:eastAsia="zh-CN"/>
        </w:rPr>
        <w:t>，</w:t>
      </w:r>
      <w:r>
        <w:rPr>
          <w:rFonts w:ascii="Times New Roman" w:hAnsi="Times New Roman" w:eastAsia="仿宋_GB2312" w:cs="仿宋_GB2312"/>
          <w:sz w:val="32"/>
          <w:szCs w:val="32"/>
        </w:rPr>
        <w:t>废水监测：14个点位，地表水监测：12个点位，监测指标：pH、高锰酸盐指数、化学需氧量、氨氮、总磷、总氮、总铜、总锌、氟化物、总硒、总砷、总汞、总镉、总铅、氰化物、硫化物、铁、锰、钼、钴、锑、镍、钡、钒、银，地下水监测：42个点位，一年两次。土壤监测：pH、六价铬、镍、铜、砷、汞、铅、镉、铁、锰、铬、挥发性有机物，一年一次，26个点位。</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另有约50家企业信访监测或执法监测，废水监测指标包含但不限于：pH、CODcr、SS、氨氮、总磷、总氮、悬浮物、石油类、动植物油、LAS、氟化物、五日生化需氧量、挥发酚、粪大肠、总氰化物、总铜、色度及常规重金属；废气监测指标包含但不限于：非甲烷总烃、低浓度颗粒物、二氧化硫、氮氧化物、烟气黑度、苯系物、锡及其化合物、硫化氢、氨、臭气浓度、氟化物、氯化氢、硫酸雾等。</w:t>
      </w:r>
    </w:p>
    <w:p>
      <w:pPr>
        <w:pStyle w:val="11"/>
        <w:widowControl/>
        <w:numPr>
          <w:ilvl w:val="0"/>
          <w:numId w:val="0"/>
        </w:numPr>
        <w:ind w:left="0" w:leftChars="0" w:firstLine="616"/>
        <w:rPr>
          <w:rFonts w:hint="eastAsia" w:ascii="Times New Roman" w:hAnsi="Times New Roman" w:eastAsia="仿宋_GB2312" w:cs="仿宋_GB2312"/>
          <w:b w:val="0"/>
          <w:sz w:val="32"/>
          <w:szCs w:val="32"/>
          <w:lang w:eastAsia="zh-CN"/>
        </w:rPr>
      </w:pPr>
      <w:r>
        <w:rPr>
          <w:rFonts w:hint="eastAsia" w:cs="仿宋_GB2312"/>
          <w:sz w:val="32"/>
          <w:szCs w:val="32"/>
          <w:lang w:eastAsia="zh-CN"/>
        </w:rPr>
        <w:t>5.</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其他临时交办的应急监测任务等</w:t>
      </w:r>
      <w:r>
        <w:rPr>
          <w:rFonts w:hint="eastAsia" w:cs="仿宋_GB2312"/>
          <w:sz w:val="32"/>
          <w:szCs w:val="32"/>
          <w:lang w:eastAsia="zh-CN"/>
        </w:rPr>
        <w:t>。</w:t>
      </w:r>
    </w:p>
    <w:p>
      <w:pPr>
        <w:pStyle w:val="11"/>
        <w:widowControl/>
        <w:rPr>
          <w:rFonts w:ascii="Times New Roman" w:hAnsi="Times New Roman" w:eastAsia="仿宋_GB2312" w:cs="仿宋_GB2312"/>
          <w:b/>
          <w:bCs/>
          <w:sz w:val="32"/>
          <w:szCs w:val="32"/>
        </w:rPr>
      </w:pPr>
      <w:r>
        <w:rPr>
          <w:rFonts w:ascii="Times New Roman" w:hAnsi="Times New Roman" w:eastAsia="仿宋_GB2312" w:cs="仿宋_GB2312"/>
          <w:b/>
          <w:bCs/>
          <w:sz w:val="32"/>
          <w:szCs w:val="32"/>
        </w:rPr>
        <w:t>包</w:t>
      </w:r>
      <w:r>
        <w:rPr>
          <w:rFonts w:hint="eastAsia" w:cs="仿宋_GB2312"/>
          <w:b/>
          <w:bCs/>
          <w:sz w:val="32"/>
          <w:szCs w:val="32"/>
          <w:lang w:val="en-US" w:eastAsia="zh-CN"/>
        </w:rPr>
        <w:t>二</w:t>
      </w:r>
      <w:r>
        <w:rPr>
          <w:rFonts w:hint="eastAsia" w:cs="仿宋_GB2312"/>
          <w:b/>
          <w:bCs/>
          <w:sz w:val="32"/>
          <w:szCs w:val="32"/>
          <w:lang w:eastAsia="zh-CN"/>
        </w:rPr>
        <w:t>：</w:t>
      </w:r>
      <w:r>
        <w:rPr>
          <w:rFonts w:ascii="Times New Roman" w:hAnsi="Times New Roman" w:eastAsia="仿宋_GB2312" w:cs="仿宋_GB2312"/>
          <w:b/>
          <w:bCs/>
          <w:sz w:val="32"/>
          <w:szCs w:val="32"/>
        </w:rPr>
        <w:t>3个垃圾填埋场（轿子山、水阁、江南灰渣）3个总排口监测任务</w:t>
      </w:r>
    </w:p>
    <w:p>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1. 3个垃圾填埋场（轿子山、水阁、江南灰渣）3个总排口监测指标：色度、pH、化学需氧量、五日生化需氧量、悬浮物、总氮、氨氮、总磷、粪大肠菌群、总汞、总镉、总铬、六价铬、总砷、总铅，一年两次。</w:t>
      </w:r>
    </w:p>
    <w:p>
      <w:pPr>
        <w:pStyle w:val="11"/>
        <w:widowControl/>
        <w:numPr>
          <w:ilvl w:val="0"/>
          <w:numId w:val="0"/>
        </w:numPr>
        <w:ind w:left="0" w:leftChars="0" w:firstLine="616"/>
        <w:rPr>
          <w:rFonts w:hint="eastAsia" w:ascii="Times New Roman" w:hAnsi="Times New Roman" w:eastAsia="仿宋_GB2312" w:cs="仿宋_GB2312"/>
          <w:b w:val="0"/>
          <w:sz w:val="32"/>
          <w:szCs w:val="32"/>
          <w:lang w:eastAsia="zh-CN"/>
        </w:rPr>
      </w:pPr>
      <w:r>
        <w:rPr>
          <w:rFonts w:hint="eastAsia" w:cs="仿宋_GB2312"/>
          <w:sz w:val="32"/>
          <w:szCs w:val="32"/>
          <w:lang w:eastAsia="zh-CN"/>
        </w:rPr>
        <w:t>6.</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另有约50家企业信访监测或执法监测，废水监测指标包含但不限于：pH、CODcr、SS、氨氮、总磷、总氮、悬浮物、石油类、动植物油、LAS、氟化物、五日生化需氧量、挥发酚、粪大肠、总氰化物、总铜、色度及常规重金属；废气监测指标包含但不限于：非甲烷总烃、低浓度颗粒物、二氧化硫、氮氧化物、烟气黑度、苯系物、锡及其化合物、硫化氢、氨、臭气浓度、氟化物、氯化氢、硫酸雾等</w:t>
      </w:r>
      <w:r>
        <w:rPr>
          <w:rFonts w:hint="eastAsia" w:cs="仿宋_GB2312"/>
          <w:sz w:val="32"/>
          <w:szCs w:val="32"/>
          <w:lang w:eastAsia="zh-CN"/>
        </w:rPr>
        <w:t>。</w:t>
      </w:r>
    </w:p>
    <w:p>
      <w:pPr>
        <w:pStyle w:val="11"/>
        <w:widowControl/>
        <w:numPr>
          <w:ilvl w:val="0"/>
          <w:numId w:val="0"/>
        </w:numPr>
        <w:ind w:left="0" w:leftChars="0" w:firstLine="616"/>
        <w:rPr>
          <w:rFonts w:hint="eastAsia" w:ascii="Times New Roman" w:hAnsi="Times New Roman" w:eastAsia="仿宋_GB2312" w:cs="仿宋_GB2312"/>
          <w:b w:val="0"/>
          <w:sz w:val="32"/>
          <w:szCs w:val="32"/>
          <w:lang w:eastAsia="zh-CN"/>
        </w:rPr>
      </w:pPr>
      <w:r>
        <w:rPr>
          <w:rFonts w:hint="eastAsia" w:cs="仿宋_GB2312"/>
          <w:sz w:val="32"/>
          <w:szCs w:val="32"/>
          <w:lang w:eastAsia="zh-CN"/>
        </w:rPr>
        <w:t>7.</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其他临时交办的应急监测任务等</w:t>
      </w:r>
      <w:r>
        <w:rPr>
          <w:rFonts w:hint="eastAsia" w:cs="仿宋_GB2312"/>
          <w:sz w:val="32"/>
          <w:szCs w:val="32"/>
          <w:lang w:eastAsia="zh-CN"/>
        </w:rPr>
        <w:t>。</w:t>
      </w:r>
    </w:p>
    <w:p>
      <w:pPr>
        <w:pStyle w:val="11"/>
        <w:widowControl/>
        <w:rPr>
          <w:rFonts w:ascii="Times New Roman" w:hAnsi="Times New Roman" w:eastAsia="仿宋_GB2312" w:cs="仿宋_GB2312"/>
          <w:b/>
          <w:bCs/>
          <w:sz w:val="32"/>
          <w:szCs w:val="32"/>
        </w:rPr>
      </w:pPr>
      <w:r>
        <w:rPr>
          <w:rFonts w:ascii="Times New Roman" w:hAnsi="Times New Roman" w:eastAsia="仿宋_GB2312" w:cs="仿宋_GB2312"/>
          <w:b/>
          <w:bCs/>
          <w:sz w:val="32"/>
          <w:szCs w:val="32"/>
        </w:rPr>
        <w:t>包</w:t>
      </w:r>
      <w:r>
        <w:rPr>
          <w:rFonts w:hint="eastAsia" w:cs="仿宋_GB2312"/>
          <w:b/>
          <w:bCs/>
          <w:sz w:val="32"/>
          <w:szCs w:val="32"/>
          <w:lang w:val="en-US" w:eastAsia="zh-CN"/>
        </w:rPr>
        <w:t>三</w:t>
      </w:r>
      <w:r>
        <w:rPr>
          <w:rFonts w:ascii="Times New Roman" w:hAnsi="Times New Roman" w:eastAsia="仿宋_GB2312" w:cs="仿宋_GB2312"/>
          <w:b/>
          <w:bCs/>
          <w:sz w:val="32"/>
          <w:szCs w:val="32"/>
        </w:rPr>
        <w:t>：光大环保、中联水泥废气监测任务</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光大环保7个有组织废气监测：二氧化碳、甲烷、颗粒物（1小时平均）、氮氧化物（1小时平均）、二氧化硫（1小时平均）、氯化氢（1小时平均）、汞及其化合物、镉、铊及其化合物、锑、砷、铅、铬、钴、铜、锰、镍及其化合物、二噁英类、一氧化碳（1小时平均）、炉渣热灼减率，每季度监测1次，全年7个排口全覆盖；中联水泥3＃窑炉窑尾协同处置废气处理设施废气监测：二氧化硫、氮氧化物、颗粒物、氨、氟化氢、氯化氢、汞及其化合物、铊、镉、铅、砷及其化合物、二噁英类，一年监测一次。</w:t>
      </w:r>
    </w:p>
    <w:p>
      <w:pPr>
        <w:pStyle w:val="11"/>
        <w:widowControl/>
        <w:numPr>
          <w:ilvl w:val="0"/>
          <w:numId w:val="0"/>
        </w:numPr>
        <w:ind w:left="0" w:leftChars="0" w:firstLine="616"/>
        <w:rPr>
          <w:rFonts w:hint="eastAsia" w:cs="仿宋_GB2312"/>
          <w:sz w:val="32"/>
          <w:szCs w:val="32"/>
          <w:lang w:val="en-US" w:eastAsia="zh-CN"/>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另有约50家企业信访监测或执法监测，废水监测指标包含但不限于：pH、CODcr、SS、氨氮、总磷、总氮、悬浮物、石油类、动植物油、LAS、氟化物、五日生化需氧量、挥发酚、粪大肠、总氰化物、总铜、色度及常规重金属；废气监测指标包含但不限于：非甲烷总烃、低浓度颗粒物、二氧化硫、氮氧化物、烟气黑度、苯系物、锡及其化合物、硫化氢、氨、臭气浓度、氟化物、氯化氢、硫酸雾</w:t>
      </w:r>
      <w:r>
        <w:rPr>
          <w:rFonts w:hint="eastAsia" w:cs="仿宋_GB2312"/>
          <w:sz w:val="32"/>
          <w:szCs w:val="32"/>
          <w:lang w:val="en-US" w:eastAsia="zh-CN"/>
        </w:rPr>
        <w:t>等。</w:t>
      </w:r>
    </w:p>
    <w:p>
      <w:pPr>
        <w:pStyle w:val="11"/>
        <w:widowControl/>
        <w:numPr>
          <w:ilvl w:val="0"/>
          <w:numId w:val="0"/>
        </w:numPr>
        <w:ind w:left="0" w:leftChars="0" w:firstLine="616"/>
        <w:rPr>
          <w:rFonts w:hint="eastAsia" w:ascii="Times New Roman" w:hAnsi="Times New Roman" w:eastAsia="仿宋_GB2312" w:cs="仿宋_GB2312"/>
          <w:b w:val="0"/>
          <w:sz w:val="32"/>
          <w:szCs w:val="32"/>
          <w:lang w:eastAsia="zh-CN"/>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其他临时交办的应急监测任务等</w:t>
      </w:r>
      <w:r>
        <w:rPr>
          <w:rFonts w:hint="eastAsia" w:cs="仿宋_GB2312"/>
          <w:sz w:val="32"/>
          <w:szCs w:val="32"/>
          <w:lang w:eastAsia="zh-CN"/>
        </w:rPr>
        <w:t>。</w:t>
      </w:r>
    </w:p>
    <w:p>
      <w:pPr>
        <w:pStyle w:val="11"/>
        <w:widowControl/>
        <w:rPr>
          <w:rFonts w:ascii="Times New Roman" w:hAnsi="Times New Roman" w:eastAsia="仿宋_GB2312" w:cs="仿宋_GB2312"/>
          <w:b/>
          <w:bCs/>
          <w:sz w:val="32"/>
          <w:szCs w:val="32"/>
        </w:rPr>
      </w:pPr>
      <w:r>
        <w:rPr>
          <w:rFonts w:ascii="Times New Roman" w:hAnsi="Times New Roman" w:eastAsia="仿宋_GB2312" w:cs="仿宋_GB2312"/>
          <w:b/>
          <w:bCs/>
          <w:sz w:val="32"/>
          <w:szCs w:val="32"/>
        </w:rPr>
        <w:t>包</w:t>
      </w:r>
      <w:r>
        <w:rPr>
          <w:rFonts w:hint="eastAsia" w:cs="仿宋_GB2312"/>
          <w:b/>
          <w:bCs/>
          <w:sz w:val="32"/>
          <w:szCs w:val="32"/>
          <w:lang w:val="en-US" w:eastAsia="zh-CN"/>
        </w:rPr>
        <w:t>四</w:t>
      </w:r>
      <w:r>
        <w:rPr>
          <w:rFonts w:ascii="Times New Roman" w:hAnsi="Times New Roman" w:eastAsia="仿宋_GB2312" w:cs="仿宋_GB2312"/>
          <w:b/>
          <w:bCs/>
          <w:sz w:val="32"/>
          <w:szCs w:val="32"/>
        </w:rPr>
        <w:t>：水质提升河道、涉水环境问题河流（沟渠、涵洞）监测及应急处理设施监测</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水质提升河道监测：共121条河道，其中约192个点位，每月监测1次；约40个点位，每半年监测1次。监测项目：pH、溶解氧、高锰酸盐、氨氮、总磷等因子（具体按上级文件要求）。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涉水环境问题河流（沟渠、涵洞）监测：鞭鞍河、玉带圩、金村沟三条河道，共10个点位，每月监测2次。监测项目：pH、溶解氧、氨氮、总磷、化学需氧量、高锰酸盐、氧化还原电位等因子（具体按上级文件要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应急处理设施监测：约28个点位（会根据设备使用情况增减），每月监测2次。监测项目：pH、化学需氧量、氨氮、总磷、总氮等因子（具体按上级文件要求）。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临时交办监测任务：一年约350个监测频次，监测项目具体按上级文件要求。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5.</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重点河道溯源及其他临时交办监测任务等。</w:t>
      </w:r>
    </w:p>
    <w:p>
      <w:pPr>
        <w:pStyle w:val="11"/>
        <w:widowControl/>
        <w:rPr>
          <w:rFonts w:ascii="Times New Roman" w:hAnsi="Times New Roman" w:eastAsia="仿宋_GB2312" w:cs="仿宋_GB2312"/>
          <w:b/>
          <w:bCs/>
          <w:sz w:val="32"/>
          <w:szCs w:val="32"/>
        </w:rPr>
      </w:pPr>
      <w:r>
        <w:rPr>
          <w:rFonts w:ascii="Times New Roman" w:hAnsi="Times New Roman" w:eastAsia="仿宋_GB2312" w:cs="仿宋_GB2312"/>
          <w:b/>
          <w:bCs/>
          <w:sz w:val="32"/>
          <w:szCs w:val="32"/>
        </w:rPr>
        <w:t>包</w:t>
      </w:r>
      <w:r>
        <w:rPr>
          <w:rFonts w:hint="eastAsia" w:cs="仿宋_GB2312"/>
          <w:b/>
          <w:bCs/>
          <w:sz w:val="32"/>
          <w:szCs w:val="32"/>
          <w:lang w:val="en-US" w:eastAsia="zh-CN"/>
        </w:rPr>
        <w:t>五</w:t>
      </w:r>
      <w:r>
        <w:rPr>
          <w:rFonts w:ascii="Times New Roman" w:hAnsi="Times New Roman" w:eastAsia="仿宋_GB2312" w:cs="仿宋_GB2312"/>
          <w:b/>
          <w:bCs/>
          <w:sz w:val="32"/>
          <w:szCs w:val="32"/>
        </w:rPr>
        <w:t xml:space="preserve">：省考断面跟踪监测、城市建成区水体、泵站排口及水库监测 </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省考断面跟踪监测：约13个点位，每月28日至下月15日连续监测。监测项目：pH、溶解氧、高锰酸盐指数、氨氮及其他近年来出现过超标的指标（具体按上级文件要求）。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城市建成区水体消劣提质监测：11条河，不少于11个点位，每季度1次。监测项目氨氮、总磷、化学需氧量、溶解氧、水深、透明度（具体按上级文件要求）。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泵站及排口监测：约10个点位，每月监测1次。监测项目：pH、溶解氧、高锰酸盐、化学需氧量、氨氮等因子（具体按上级文件要求）。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水库水质监测：约72座水库，一年监测一次。监测项目：pH、溶解氧、高锰酸盐、氨氮、总磷等因子（具体按上级文件要求）。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5.</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临时交办监测任务：一年约450个监测频次，监测项目具体按上级文件要求。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6.</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重点河道溯源及其他临时交办监测任务等。</w:t>
      </w:r>
    </w:p>
    <w:p>
      <w:pPr>
        <w:pStyle w:val="11"/>
        <w:widowControl/>
        <w:rPr>
          <w:rFonts w:ascii="Times New Roman" w:hAnsi="Times New Roman" w:eastAsia="仿宋_GB2312" w:cs="仿宋_GB2312"/>
          <w:sz w:val="32"/>
          <w:szCs w:val="32"/>
        </w:rPr>
      </w:pPr>
      <w:r>
        <w:rPr>
          <w:rFonts w:ascii="Times New Roman" w:hAnsi="Times New Roman" w:eastAsia="仿宋_GB2312" w:cs="仿宋_GB2312"/>
          <w:b/>
          <w:bCs/>
          <w:sz w:val="32"/>
          <w:szCs w:val="32"/>
        </w:rPr>
        <w:t>包</w:t>
      </w:r>
      <w:r>
        <w:rPr>
          <w:rFonts w:hint="eastAsia" w:cs="仿宋_GB2312"/>
          <w:b/>
          <w:bCs/>
          <w:sz w:val="32"/>
          <w:szCs w:val="32"/>
          <w:lang w:val="en-US" w:eastAsia="zh-CN"/>
        </w:rPr>
        <w:t>六</w:t>
      </w:r>
      <w:r>
        <w:rPr>
          <w:rFonts w:ascii="Times New Roman" w:hAnsi="Times New Roman" w:eastAsia="仿宋_GB2312" w:cs="仿宋_GB2312"/>
          <w:b/>
          <w:bCs/>
          <w:sz w:val="32"/>
          <w:szCs w:val="32"/>
        </w:rPr>
        <w:t>：重点断面水环境质量监测及泵站水质监测</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重点断面水质监测：约59个点位（含国省市区考核断面、交界断面等），每月监测2次，1次为24项全项</w:t>
      </w:r>
      <w:r>
        <w:rPr>
          <w:rFonts w:hint="eastAsia" w:cs="仿宋_GB2312"/>
          <w:sz w:val="32"/>
          <w:szCs w:val="32"/>
          <w:lang w:eastAsia="zh-CN"/>
        </w:rPr>
        <w:t>监测，</w:t>
      </w:r>
      <w:r>
        <w:rPr>
          <w:rFonts w:ascii="Times New Roman" w:hAnsi="Times New Roman" w:eastAsia="仿宋_GB2312" w:cs="仿宋_GB2312"/>
          <w:sz w:val="32"/>
          <w:szCs w:val="32"/>
        </w:rPr>
        <w:t>1次监测项目为pH、水温、溶解氧、高锰酸盐、氨氮、总磷等因子（具体按上级文件要求）。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重点泵站水质监测：约49个点位，其中43个点位每月监测1次，剩余6个点位每半年监测1次。监测项目：pH、溶解氧、高锰酸盐、化学需氧量、氨氮</w:t>
      </w:r>
      <w:r>
        <w:rPr>
          <w:rFonts w:hint="eastAsia" w:cs="仿宋_GB2312"/>
          <w:sz w:val="32"/>
          <w:szCs w:val="32"/>
          <w:lang w:eastAsia="zh-CN"/>
        </w:rPr>
        <w:t>等</w:t>
      </w:r>
      <w:r>
        <w:rPr>
          <w:rFonts w:ascii="Times New Roman" w:hAnsi="Times New Roman" w:eastAsia="仿宋_GB2312" w:cs="仿宋_GB2312"/>
          <w:sz w:val="32"/>
          <w:szCs w:val="32"/>
        </w:rPr>
        <w:t>（具体按上级文件要求）。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排涝泵站监测：约20个泵站，每月监测2次。监测项目：pH、溶解氧、高锰酸盐、化学需氧量、氨氮</w:t>
      </w:r>
      <w:r>
        <w:rPr>
          <w:rFonts w:hint="eastAsia" w:cs="仿宋_GB2312"/>
          <w:sz w:val="32"/>
          <w:szCs w:val="32"/>
          <w:lang w:eastAsia="zh-CN"/>
        </w:rPr>
        <w:t>等</w:t>
      </w:r>
      <w:r>
        <w:rPr>
          <w:rFonts w:ascii="Times New Roman" w:hAnsi="Times New Roman" w:eastAsia="仿宋_GB2312" w:cs="仿宋_GB2312"/>
          <w:sz w:val="32"/>
          <w:szCs w:val="32"/>
        </w:rPr>
        <w:t>（具体按上级文件要求）。</w:t>
      </w:r>
    </w:p>
    <w:p>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重点河道溯源及其他临时交办</w:t>
      </w:r>
      <w:r>
        <w:rPr>
          <w:rFonts w:hint="eastAsia" w:cs="仿宋_GB2312"/>
          <w:sz w:val="32"/>
          <w:szCs w:val="32"/>
          <w:lang w:eastAsia="zh-CN"/>
        </w:rPr>
        <w:t>的监测任务</w:t>
      </w:r>
      <w:r>
        <w:rPr>
          <w:rFonts w:ascii="Times New Roman" w:hAnsi="Times New Roman" w:eastAsia="仿宋_GB2312" w:cs="仿宋_GB2312"/>
          <w:sz w:val="32"/>
          <w:szCs w:val="32"/>
        </w:rPr>
        <w:t>。</w:t>
      </w:r>
    </w:p>
    <w:p>
      <w:pPr>
        <w:pStyle w:val="2"/>
        <w:pageBreakBefore w:val="0"/>
        <w:widowControl/>
        <w:numPr>
          <w:ilvl w:val="0"/>
          <w:numId w:val="0"/>
        </w:numPr>
        <w:kinsoku/>
        <w:wordWrap/>
        <w:overflowPunct/>
        <w:topLinePunct w:val="0"/>
        <w:autoSpaceDE/>
        <w:autoSpaceDN/>
        <w:bidi w:val="0"/>
        <w:adjustRightInd/>
        <w:snapToGrid/>
        <w:spacing w:line="520" w:lineRule="exact"/>
        <w:ind w:left="0" w:leftChars="0" w:firstLine="640"/>
        <w:textAlignment w:val="auto"/>
        <w:rPr>
          <w:rFonts w:hint="eastAsia" w:ascii="黑体" w:hAnsi="黑体" w:eastAsia="黑体" w:cs="黑体"/>
          <w:b w:val="0"/>
          <w:szCs w:val="32"/>
        </w:rPr>
      </w:pPr>
      <w:bookmarkStart w:id="0" w:name="_Toc461096449"/>
      <w:r>
        <w:rPr>
          <w:rFonts w:hint="eastAsia"/>
          <w:lang w:eastAsia="zh-CN"/>
        </w:rPr>
        <w:t>四、</w:t>
      </w:r>
      <w:r>
        <w:t>服务</w:t>
      </w:r>
      <w:bookmarkEnd w:id="0"/>
      <w:r>
        <w:t>要求</w:t>
      </w:r>
    </w:p>
    <w:p>
      <w:pPr>
        <w:pStyle w:val="11"/>
        <w:pageBreakBefore w:val="0"/>
        <w:widowControl/>
        <w:numPr>
          <w:ilvl w:val="0"/>
          <w:numId w:val="0"/>
        </w:numPr>
        <w:kinsoku/>
        <w:wordWrap/>
        <w:overflowPunct/>
        <w:topLinePunct w:val="0"/>
        <w:autoSpaceDE/>
        <w:autoSpaceDN/>
        <w:bidi w:val="0"/>
        <w:adjustRightInd/>
        <w:snapToGrid/>
        <w:spacing w:line="520" w:lineRule="exact"/>
        <w:ind w:left="0" w:leftChars="0" w:firstLine="616"/>
        <w:textAlignment w:val="auto"/>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每季度第一个月10日前（节假日前延），江宁生态环境局将例行检测任务单下达给相应中标供应商；区生态环境局综合考虑供应商服务质量、响应程度、完成任务的便捷性等因素，下达临时性检测任务。</w:t>
      </w:r>
    </w:p>
    <w:p>
      <w:pPr>
        <w:pStyle w:val="11"/>
        <w:pageBreakBefore w:val="0"/>
        <w:widowControl/>
        <w:numPr>
          <w:ilvl w:val="0"/>
          <w:numId w:val="0"/>
        </w:numPr>
        <w:kinsoku/>
        <w:wordWrap/>
        <w:overflowPunct/>
        <w:topLinePunct w:val="0"/>
        <w:autoSpaceDE/>
        <w:autoSpaceDN/>
        <w:bidi w:val="0"/>
        <w:adjustRightInd/>
        <w:snapToGrid/>
        <w:spacing w:line="520" w:lineRule="exact"/>
        <w:ind w:left="0" w:leftChars="0" w:firstLine="616"/>
        <w:textAlignment w:val="auto"/>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遇有复杂检测任务，中标供应商需在接到检测工作任务后5个工作日内提交检测工作方案；方案审查合格后，10个工作日内完成检测任务。</w:t>
      </w:r>
    </w:p>
    <w:p>
      <w:pPr>
        <w:pStyle w:val="11"/>
        <w:pageBreakBefore w:val="0"/>
        <w:widowControl/>
        <w:numPr>
          <w:ilvl w:val="0"/>
          <w:numId w:val="0"/>
        </w:numPr>
        <w:kinsoku/>
        <w:wordWrap/>
        <w:overflowPunct/>
        <w:topLinePunct w:val="0"/>
        <w:autoSpaceDE/>
        <w:autoSpaceDN/>
        <w:bidi w:val="0"/>
        <w:adjustRightInd/>
        <w:snapToGrid/>
        <w:spacing w:line="520" w:lineRule="exact"/>
        <w:ind w:left="0" w:leftChars="0" w:firstLine="616"/>
        <w:textAlignment w:val="auto"/>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中标供应商一般应在每月10日前（节假日顺延）提交上月例行任务正式检测报告（报表）；临时检测任务一般</w:t>
      </w:r>
      <w:r>
        <w:rPr>
          <w:rFonts w:hint="eastAsia" w:cs="仿宋_GB2312"/>
          <w:sz w:val="32"/>
          <w:szCs w:val="32"/>
          <w:lang w:eastAsia="zh-CN"/>
        </w:rPr>
        <w:t>应在</w:t>
      </w:r>
      <w:r>
        <w:rPr>
          <w:rFonts w:ascii="Times New Roman" w:hAnsi="Times New Roman" w:eastAsia="仿宋_GB2312" w:cs="仿宋_GB2312"/>
          <w:sz w:val="32"/>
          <w:szCs w:val="32"/>
        </w:rPr>
        <w:t>入场检测后5个工作日内提交正式检测报告（报表），复杂检测任务</w:t>
      </w:r>
      <w:r>
        <w:rPr>
          <w:rFonts w:hint="eastAsia" w:cs="仿宋_GB2312"/>
          <w:sz w:val="32"/>
          <w:szCs w:val="32"/>
          <w:lang w:eastAsia="zh-CN"/>
        </w:rPr>
        <w:t>应在</w:t>
      </w:r>
      <w:r>
        <w:rPr>
          <w:rFonts w:ascii="Times New Roman" w:hAnsi="Times New Roman" w:eastAsia="仿宋_GB2312" w:cs="仿宋_GB2312"/>
          <w:sz w:val="32"/>
          <w:szCs w:val="32"/>
        </w:rPr>
        <w:t>入场检测后10个工作日内提交正式检测报告（报表）。区生态环境局对时限有特殊要求的，以区生态环境局要求为准。</w:t>
      </w:r>
    </w:p>
    <w:p>
      <w:pPr>
        <w:pStyle w:val="2"/>
        <w:pageBreakBefore w:val="0"/>
        <w:widowControl/>
        <w:numPr>
          <w:ilvl w:val="0"/>
          <w:numId w:val="0"/>
        </w:numPr>
        <w:kinsoku/>
        <w:wordWrap/>
        <w:overflowPunct/>
        <w:topLinePunct w:val="0"/>
        <w:autoSpaceDE/>
        <w:autoSpaceDN/>
        <w:bidi w:val="0"/>
        <w:adjustRightInd/>
        <w:snapToGrid/>
        <w:spacing w:line="520" w:lineRule="exact"/>
        <w:ind w:left="0" w:leftChars="0" w:firstLine="640"/>
        <w:textAlignment w:val="auto"/>
        <w:rPr>
          <w:rFonts w:hint="eastAsia" w:ascii="黑体" w:hAnsi="黑体" w:eastAsia="黑体" w:cs="黑体"/>
          <w:b w:val="0"/>
          <w:szCs w:val="32"/>
        </w:rPr>
      </w:pPr>
      <w:bookmarkStart w:id="1" w:name="_Toc515545413"/>
      <w:bookmarkStart w:id="2" w:name="_Toc461096450"/>
      <w:r>
        <w:rPr>
          <w:rFonts w:hint="eastAsia"/>
          <w:lang w:eastAsia="zh-CN"/>
        </w:rPr>
        <w:t>五、</w:t>
      </w:r>
      <w:r>
        <w:t>付款条件</w:t>
      </w:r>
      <w:bookmarkEnd w:id="1"/>
      <w:bookmarkEnd w:id="2"/>
    </w:p>
    <w:p>
      <w:pPr>
        <w:pStyle w:val="11"/>
        <w:pageBreakBefore w:val="0"/>
        <w:widowControl/>
        <w:kinsoku/>
        <w:wordWrap/>
        <w:overflowPunct/>
        <w:topLinePunct w:val="0"/>
        <w:autoSpaceDE/>
        <w:autoSpaceDN/>
        <w:bidi w:val="0"/>
        <w:adjustRightInd/>
        <w:snapToGrid/>
        <w:spacing w:line="520" w:lineRule="exact"/>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签订合同一个月内</w:t>
      </w:r>
      <w:r>
        <w:rPr>
          <w:rFonts w:hint="eastAsia" w:cs="仿宋_GB2312"/>
          <w:sz w:val="32"/>
          <w:szCs w:val="32"/>
          <w:lang w:eastAsia="zh-CN"/>
        </w:rPr>
        <w:t>支付</w:t>
      </w:r>
      <w:r>
        <w:rPr>
          <w:rFonts w:ascii="Times New Roman" w:hAnsi="Times New Roman" w:eastAsia="仿宋_GB2312" w:cs="仿宋_GB2312"/>
          <w:sz w:val="32"/>
          <w:szCs w:val="32"/>
        </w:rPr>
        <w:t>合同款项50％，中标半年后</w:t>
      </w:r>
      <w:r>
        <w:rPr>
          <w:rFonts w:hint="eastAsia" w:cs="仿宋_GB2312"/>
          <w:sz w:val="32"/>
          <w:szCs w:val="32"/>
          <w:lang w:eastAsia="zh-CN"/>
        </w:rPr>
        <w:t>支付</w:t>
      </w:r>
      <w:r>
        <w:rPr>
          <w:rFonts w:ascii="Times New Roman" w:hAnsi="Times New Roman" w:eastAsia="仿宋_GB2312" w:cs="仿宋_GB2312"/>
          <w:sz w:val="32"/>
          <w:szCs w:val="32"/>
        </w:rPr>
        <w:t>合同款项45％，5％</w:t>
      </w:r>
      <w:r>
        <w:rPr>
          <w:rFonts w:hint="eastAsia" w:cs="仿宋_GB2312"/>
          <w:sz w:val="32"/>
          <w:szCs w:val="32"/>
          <w:lang w:eastAsia="zh-CN"/>
        </w:rPr>
        <w:t>作为质量</w:t>
      </w:r>
      <w:r>
        <w:rPr>
          <w:rFonts w:ascii="Times New Roman" w:hAnsi="Times New Roman" w:eastAsia="仿宋_GB2312" w:cs="仿宋_GB2312"/>
          <w:sz w:val="32"/>
          <w:szCs w:val="32"/>
        </w:rPr>
        <w:t>保证金，每个中标单位的实际工作量不得少于每个标的总额，相应检测项目任务单及费用核算单为支撑台账，费用计算公式为：（采样费＋样品前处理费＋样品分析费＋报告编制费）×投标折扣率</w:t>
      </w:r>
      <w:r>
        <w:rPr>
          <w:rFonts w:ascii="Times New Roman" w:hAnsi="Times New Roman" w:eastAsia="仿宋_GB2312" w:cs="仿宋_GB2312"/>
          <w:b/>
          <w:sz w:val="32"/>
          <w:szCs w:val="32"/>
        </w:rPr>
        <w:t>。</w:t>
      </w:r>
    </w:p>
    <w:p>
      <w:pPr>
        <w:pStyle w:val="11"/>
        <w:pageBreakBefore w:val="0"/>
        <w:widowControl/>
        <w:kinsoku/>
        <w:wordWrap/>
        <w:overflowPunct/>
        <w:topLinePunct w:val="0"/>
        <w:autoSpaceDE/>
        <w:autoSpaceDN/>
        <w:bidi w:val="0"/>
        <w:adjustRightInd/>
        <w:snapToGrid/>
        <w:spacing w:line="520" w:lineRule="exact"/>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注：本项目年度支出总额受预算控制，本项目每年支出合计不得突破年度预算，采购人做好项目费用使用情况统计，中标单位需完成约定工作事项。</w:t>
      </w:r>
    </w:p>
    <w:p>
      <w:pPr>
        <w:pStyle w:val="11"/>
        <w:widowControl/>
        <w:numPr>
          <w:ilvl w:val="0"/>
          <w:numId w:val="0"/>
        </w:numPr>
        <w:topLinePunct w:val="0"/>
        <w:ind w:left="0" w:leftChars="0" w:firstLine="640"/>
        <w:rPr>
          <w:rFonts w:ascii="宋体" w:hAnsi="宋体" w:eastAsia="宋体" w:cs="仿宋"/>
          <w:bCs/>
          <w:lang w:eastAsia="zh-CN"/>
        </w:rPr>
      </w:pPr>
      <w:r>
        <w:rPr>
          <w:rStyle w:val="43"/>
          <w:rFonts w:hint="eastAsia" w:eastAsia="黑体"/>
          <w:lang w:eastAsia="zh-CN"/>
        </w:rPr>
        <w:t>六、</w:t>
      </w:r>
      <w:r>
        <w:rPr>
          <w:rStyle w:val="43"/>
        </w:rPr>
        <w:t>评标办法</w:t>
      </w:r>
      <w:r>
        <w:rPr>
          <w:rFonts w:ascii="Times New Roman" w:hAnsi="Times New Roman" w:eastAsia="仿宋_GB2312" w:cs="仿宋_GB2312"/>
          <w:b/>
          <w:sz w:val="32"/>
          <w:szCs w:val="32"/>
        </w:rPr>
        <w:t>：</w:t>
      </w:r>
      <w:r>
        <w:rPr>
          <w:rFonts w:ascii="Times New Roman" w:hAnsi="Times New Roman" w:eastAsia="仿宋_GB2312" w:cs="仿宋_GB2312"/>
          <w:sz w:val="32"/>
          <w:szCs w:val="32"/>
        </w:rPr>
        <w:t>综合评分法（技术商务80分；报价20分）</w:t>
      </w:r>
    </w:p>
    <w:p>
      <w:pPr>
        <w:pStyle w:val="42"/>
        <w:widowControl/>
      </w:pPr>
    </w:p>
    <w:p>
      <w:pPr>
        <w:pStyle w:val="42"/>
        <w:widowControl/>
      </w:pPr>
      <w:r>
        <w:t>表1：检测项目费用核算单</w:t>
      </w:r>
    </w:p>
    <w:tbl>
      <w:tblPr>
        <w:tblStyle w:val="16"/>
        <w:tblW w:w="4998" w:type="pct"/>
        <w:jc w:val="center"/>
        <w:tblLayout w:type="autofit"/>
        <w:tblCellMar>
          <w:top w:w="0" w:type="dxa"/>
          <w:left w:w="108" w:type="dxa"/>
          <w:bottom w:w="0" w:type="dxa"/>
          <w:right w:w="108" w:type="dxa"/>
        </w:tblCellMar>
      </w:tblPr>
      <w:tblGrid>
        <w:gridCol w:w="1179"/>
        <w:gridCol w:w="1259"/>
        <w:gridCol w:w="766"/>
        <w:gridCol w:w="1417"/>
        <w:gridCol w:w="650"/>
        <w:gridCol w:w="2099"/>
        <w:gridCol w:w="839"/>
        <w:gridCol w:w="848"/>
      </w:tblGrid>
      <w:tr>
        <w:tblPrEx>
          <w:tblCellMar>
            <w:top w:w="0" w:type="dxa"/>
            <w:left w:w="108" w:type="dxa"/>
            <w:bottom w:w="0" w:type="dxa"/>
            <w:right w:w="108" w:type="dxa"/>
          </w:tblCellMar>
        </w:tblPrEx>
        <w:trPr>
          <w:trHeight w:val="510" w:hRule="atLeast"/>
          <w:jc w:val="center"/>
        </w:trPr>
        <w:tc>
          <w:tcPr>
            <w:tcW w:w="134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检测项目号</w:t>
            </w:r>
          </w:p>
        </w:tc>
        <w:tc>
          <w:tcPr>
            <w:tcW w:w="3653" w:type="pct"/>
            <w:gridSpan w:val="6"/>
            <w:tcBorders>
              <w:top w:val="single" w:color="auto" w:sz="4" w:space="0"/>
              <w:left w:val="nil"/>
              <w:bottom w:val="single" w:color="auto" w:sz="4" w:space="0"/>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454" w:hRule="exac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工作内容</w:t>
            </w:r>
          </w:p>
        </w:tc>
      </w:tr>
      <w:tr>
        <w:tblPrEx>
          <w:tblCellMar>
            <w:top w:w="0" w:type="dxa"/>
            <w:left w:w="108" w:type="dxa"/>
            <w:bottom w:w="0" w:type="dxa"/>
            <w:right w:w="108" w:type="dxa"/>
          </w:tblCellMar>
        </w:tblPrEx>
        <w:trPr>
          <w:trHeight w:val="454" w:hRule="exact"/>
          <w:jc w:val="center"/>
        </w:trPr>
        <w:tc>
          <w:tcPr>
            <w:tcW w:w="651" w:type="pct"/>
            <w:tcBorders>
              <w:top w:val="nil"/>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序号</w:t>
            </w:r>
          </w:p>
        </w:tc>
        <w:tc>
          <w:tcPr>
            <w:tcW w:w="694" w:type="pct"/>
            <w:tcBorders>
              <w:top w:val="nil"/>
              <w:left w:val="nil"/>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检测类别</w:t>
            </w:r>
          </w:p>
        </w:tc>
        <w:tc>
          <w:tcPr>
            <w:tcW w:w="1564"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检测项目</w:t>
            </w:r>
          </w:p>
        </w:tc>
        <w:tc>
          <w:tcPr>
            <w:tcW w:w="2088" w:type="pct"/>
            <w:gridSpan w:val="3"/>
            <w:tcBorders>
              <w:top w:val="nil"/>
              <w:left w:val="nil"/>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检测频次</w:t>
            </w:r>
          </w:p>
        </w:tc>
      </w:tr>
      <w:tr>
        <w:tblPrEx>
          <w:tblCellMar>
            <w:top w:w="0" w:type="dxa"/>
            <w:left w:w="108" w:type="dxa"/>
            <w:bottom w:w="0" w:type="dxa"/>
            <w:right w:w="108" w:type="dxa"/>
          </w:tblCellMar>
        </w:tblPrEx>
        <w:trPr>
          <w:trHeight w:val="454" w:hRule="exact"/>
          <w:jc w:val="center"/>
        </w:trPr>
        <w:tc>
          <w:tcPr>
            <w:tcW w:w="651" w:type="pct"/>
            <w:tcBorders>
              <w:top w:val="nil"/>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1</w:t>
            </w:r>
          </w:p>
        </w:tc>
        <w:tc>
          <w:tcPr>
            <w:tcW w:w="694" w:type="pct"/>
            <w:tcBorders>
              <w:top w:val="nil"/>
              <w:left w:val="nil"/>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废水</w:t>
            </w:r>
          </w:p>
        </w:tc>
        <w:tc>
          <w:tcPr>
            <w:tcW w:w="1564"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仿宋"/>
              </w:rPr>
            </w:pPr>
          </w:p>
        </w:tc>
        <w:tc>
          <w:tcPr>
            <w:tcW w:w="2088" w:type="pct"/>
            <w:gridSpan w:val="3"/>
            <w:tcBorders>
              <w:top w:val="nil"/>
              <w:left w:val="nil"/>
              <w:bottom w:val="single" w:color="auto" w:sz="4" w:space="0"/>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454" w:hRule="exact"/>
          <w:jc w:val="center"/>
        </w:trPr>
        <w:tc>
          <w:tcPr>
            <w:tcW w:w="651" w:type="pct"/>
            <w:tcBorders>
              <w:top w:val="nil"/>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2</w:t>
            </w:r>
          </w:p>
        </w:tc>
        <w:tc>
          <w:tcPr>
            <w:tcW w:w="694" w:type="pct"/>
            <w:tcBorders>
              <w:top w:val="nil"/>
              <w:left w:val="nil"/>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废气</w:t>
            </w:r>
          </w:p>
        </w:tc>
        <w:tc>
          <w:tcPr>
            <w:tcW w:w="1564"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仿宋"/>
              </w:rPr>
            </w:pPr>
          </w:p>
        </w:tc>
        <w:tc>
          <w:tcPr>
            <w:tcW w:w="2088" w:type="pct"/>
            <w:gridSpan w:val="3"/>
            <w:tcBorders>
              <w:top w:val="nil"/>
              <w:left w:val="nil"/>
              <w:bottom w:val="single" w:color="auto" w:sz="4" w:space="0"/>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454" w:hRule="exact"/>
          <w:jc w:val="center"/>
        </w:trPr>
        <w:tc>
          <w:tcPr>
            <w:tcW w:w="651" w:type="pct"/>
            <w:tcBorders>
              <w:top w:val="nil"/>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3</w:t>
            </w:r>
          </w:p>
        </w:tc>
        <w:tc>
          <w:tcPr>
            <w:tcW w:w="694" w:type="pct"/>
            <w:tcBorders>
              <w:top w:val="nil"/>
              <w:left w:val="nil"/>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噪声</w:t>
            </w:r>
          </w:p>
        </w:tc>
        <w:tc>
          <w:tcPr>
            <w:tcW w:w="1564"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仿宋"/>
              </w:rPr>
            </w:pPr>
          </w:p>
        </w:tc>
        <w:tc>
          <w:tcPr>
            <w:tcW w:w="2088" w:type="pct"/>
            <w:gridSpan w:val="3"/>
            <w:tcBorders>
              <w:top w:val="nil"/>
              <w:left w:val="nil"/>
              <w:bottom w:val="single" w:color="auto" w:sz="4" w:space="0"/>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454" w:hRule="exact"/>
          <w:jc w:val="center"/>
        </w:trPr>
        <w:tc>
          <w:tcPr>
            <w:tcW w:w="65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4</w:t>
            </w:r>
          </w:p>
        </w:tc>
        <w:tc>
          <w:tcPr>
            <w:tcW w:w="694" w:type="pct"/>
            <w:tcBorders>
              <w:top w:val="single" w:color="auto" w:sz="4" w:space="0"/>
              <w:left w:val="nil"/>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其他</w:t>
            </w:r>
          </w:p>
        </w:tc>
        <w:tc>
          <w:tcPr>
            <w:tcW w:w="1564"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仿宋"/>
              </w:rPr>
            </w:pPr>
          </w:p>
        </w:tc>
        <w:tc>
          <w:tcPr>
            <w:tcW w:w="2088" w:type="pct"/>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454" w:hRule="exact"/>
          <w:jc w:val="center"/>
        </w:trPr>
        <w:tc>
          <w:tcPr>
            <w:tcW w:w="5000" w:type="pct"/>
            <w:gridSpan w:val="8"/>
            <w:tcBorders>
              <w:top w:val="nil"/>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检测费用</w:t>
            </w:r>
          </w:p>
        </w:tc>
      </w:tr>
      <w:tr>
        <w:tblPrEx>
          <w:tblCellMar>
            <w:top w:w="0" w:type="dxa"/>
            <w:left w:w="108" w:type="dxa"/>
            <w:bottom w:w="0" w:type="dxa"/>
            <w:right w:w="108" w:type="dxa"/>
          </w:tblCellMar>
        </w:tblPrEx>
        <w:trPr>
          <w:trHeight w:val="454" w:hRule="exact"/>
          <w:jc w:val="center"/>
        </w:trPr>
        <w:tc>
          <w:tcPr>
            <w:tcW w:w="651" w:type="pct"/>
            <w:tcBorders>
              <w:top w:val="nil"/>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1</w:t>
            </w:r>
          </w:p>
        </w:tc>
        <w:tc>
          <w:tcPr>
            <w:tcW w:w="694" w:type="pct"/>
            <w:tcBorders>
              <w:top w:val="nil"/>
              <w:left w:val="nil"/>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采样费</w:t>
            </w:r>
          </w:p>
        </w:tc>
        <w:tc>
          <w:tcPr>
            <w:tcW w:w="3653" w:type="pct"/>
            <w:gridSpan w:val="6"/>
            <w:tcBorders>
              <w:top w:val="nil"/>
              <w:left w:val="nil"/>
              <w:bottom w:val="single" w:color="auto" w:sz="4" w:space="0"/>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454" w:hRule="exact"/>
          <w:jc w:val="center"/>
        </w:trPr>
        <w:tc>
          <w:tcPr>
            <w:tcW w:w="651" w:type="pct"/>
            <w:tcBorders>
              <w:top w:val="nil"/>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2</w:t>
            </w:r>
          </w:p>
        </w:tc>
        <w:tc>
          <w:tcPr>
            <w:tcW w:w="694" w:type="pct"/>
            <w:tcBorders>
              <w:top w:val="nil"/>
              <w:left w:val="nil"/>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前处理费</w:t>
            </w:r>
          </w:p>
        </w:tc>
        <w:tc>
          <w:tcPr>
            <w:tcW w:w="3653" w:type="pct"/>
            <w:gridSpan w:val="6"/>
            <w:tcBorders>
              <w:top w:val="nil"/>
              <w:left w:val="nil"/>
              <w:bottom w:val="single" w:color="auto" w:sz="4" w:space="0"/>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454" w:hRule="exact"/>
          <w:jc w:val="center"/>
        </w:trPr>
        <w:tc>
          <w:tcPr>
            <w:tcW w:w="651" w:type="pct"/>
            <w:tcBorders>
              <w:top w:val="nil"/>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3</w:t>
            </w:r>
          </w:p>
        </w:tc>
        <w:tc>
          <w:tcPr>
            <w:tcW w:w="694" w:type="pct"/>
            <w:tcBorders>
              <w:top w:val="nil"/>
              <w:left w:val="nil"/>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分析费</w:t>
            </w:r>
          </w:p>
        </w:tc>
        <w:tc>
          <w:tcPr>
            <w:tcW w:w="3653" w:type="pct"/>
            <w:gridSpan w:val="6"/>
            <w:tcBorders>
              <w:top w:val="nil"/>
              <w:left w:val="nil"/>
              <w:bottom w:val="single" w:color="auto" w:sz="4" w:space="0"/>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454" w:hRule="exact"/>
          <w:jc w:val="center"/>
        </w:trPr>
        <w:tc>
          <w:tcPr>
            <w:tcW w:w="651" w:type="pct"/>
            <w:tcBorders>
              <w:top w:val="nil"/>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4</w:t>
            </w:r>
          </w:p>
        </w:tc>
        <w:tc>
          <w:tcPr>
            <w:tcW w:w="694" w:type="pct"/>
            <w:tcBorders>
              <w:top w:val="nil"/>
              <w:left w:val="nil"/>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报告编制费</w:t>
            </w:r>
          </w:p>
        </w:tc>
        <w:tc>
          <w:tcPr>
            <w:tcW w:w="3653" w:type="pct"/>
            <w:gridSpan w:val="6"/>
            <w:tcBorders>
              <w:top w:val="nil"/>
              <w:left w:val="nil"/>
              <w:bottom w:val="single" w:color="auto" w:sz="4" w:space="0"/>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454" w:hRule="exact"/>
          <w:jc w:val="center"/>
        </w:trPr>
        <w:tc>
          <w:tcPr>
            <w:tcW w:w="651" w:type="pct"/>
            <w:tcBorders>
              <w:top w:val="nil"/>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5</w:t>
            </w:r>
          </w:p>
        </w:tc>
        <w:tc>
          <w:tcPr>
            <w:tcW w:w="694" w:type="pct"/>
            <w:tcBorders>
              <w:top w:val="nil"/>
              <w:left w:val="nil"/>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合计费用</w:t>
            </w:r>
          </w:p>
        </w:tc>
        <w:tc>
          <w:tcPr>
            <w:tcW w:w="3653" w:type="pct"/>
            <w:gridSpan w:val="6"/>
            <w:tcBorders>
              <w:top w:val="nil"/>
              <w:left w:val="nil"/>
              <w:bottom w:val="single" w:color="auto" w:sz="4" w:space="0"/>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510" w:hRule="atLeast"/>
          <w:jc w:val="center"/>
        </w:trPr>
        <w:tc>
          <w:tcPr>
            <w:tcW w:w="5000" w:type="pct"/>
            <w:gridSpan w:val="8"/>
            <w:tcBorders>
              <w:top w:val="nil"/>
              <w:left w:val="single" w:color="auto" w:sz="4" w:space="0"/>
              <w:bottom w:val="single" w:color="auto" w:sz="4" w:space="0"/>
              <w:right w:val="single" w:color="auto" w:sz="4" w:space="0"/>
            </w:tcBorders>
            <w:vAlign w:val="center"/>
          </w:tcPr>
          <w:p>
            <w:pPr>
              <w:jc w:val="center"/>
              <w:rPr>
                <w:rFonts w:ascii="宋体" w:hAnsi="宋体" w:eastAsia="宋体" w:cs="仿宋"/>
              </w:rPr>
            </w:pPr>
            <w:r>
              <w:rPr>
                <w:rFonts w:hint="eastAsia" w:ascii="宋体" w:hAnsi="宋体" w:eastAsia="宋体" w:cs="仿宋"/>
              </w:rPr>
              <w:t>双方确认</w:t>
            </w:r>
          </w:p>
        </w:tc>
      </w:tr>
      <w:tr>
        <w:tblPrEx>
          <w:tblCellMar>
            <w:top w:w="0" w:type="dxa"/>
            <w:left w:w="108" w:type="dxa"/>
            <w:bottom w:w="0" w:type="dxa"/>
            <w:right w:w="108" w:type="dxa"/>
          </w:tblCellMar>
        </w:tblPrEx>
        <w:trPr>
          <w:trHeight w:val="285" w:hRule="atLeast"/>
          <w:jc w:val="center"/>
        </w:trPr>
        <w:tc>
          <w:tcPr>
            <w:tcW w:w="651" w:type="pct"/>
            <w:tcBorders>
              <w:top w:val="nil"/>
              <w:left w:val="single" w:color="auto" w:sz="4" w:space="0"/>
              <w:bottom w:val="nil"/>
              <w:right w:val="nil"/>
            </w:tcBorders>
            <w:vAlign w:val="center"/>
          </w:tcPr>
          <w:p>
            <w:pPr>
              <w:jc w:val="center"/>
              <w:rPr>
                <w:rFonts w:ascii="宋体" w:hAnsi="宋体" w:eastAsia="宋体" w:cs="仿宋"/>
              </w:rPr>
            </w:pPr>
          </w:p>
        </w:tc>
        <w:tc>
          <w:tcPr>
            <w:tcW w:w="694" w:type="pct"/>
            <w:tcBorders>
              <w:top w:val="nil"/>
              <w:left w:val="nil"/>
              <w:bottom w:val="nil"/>
              <w:right w:val="nil"/>
            </w:tcBorders>
            <w:vAlign w:val="center"/>
          </w:tcPr>
          <w:p>
            <w:pPr>
              <w:jc w:val="center"/>
              <w:rPr>
                <w:rFonts w:ascii="宋体" w:hAnsi="宋体" w:eastAsia="宋体" w:cs="仿宋"/>
              </w:rPr>
            </w:pPr>
          </w:p>
        </w:tc>
        <w:tc>
          <w:tcPr>
            <w:tcW w:w="423" w:type="pct"/>
            <w:tcBorders>
              <w:top w:val="nil"/>
              <w:left w:val="nil"/>
              <w:bottom w:val="nil"/>
              <w:right w:val="nil"/>
            </w:tcBorders>
            <w:vAlign w:val="center"/>
          </w:tcPr>
          <w:p>
            <w:pPr>
              <w:jc w:val="center"/>
              <w:rPr>
                <w:rFonts w:ascii="宋体" w:hAnsi="宋体" w:eastAsia="宋体" w:cs="仿宋"/>
              </w:rPr>
            </w:pPr>
          </w:p>
        </w:tc>
        <w:tc>
          <w:tcPr>
            <w:tcW w:w="782" w:type="pct"/>
            <w:tcBorders>
              <w:top w:val="nil"/>
              <w:left w:val="nil"/>
              <w:bottom w:val="nil"/>
              <w:right w:val="single" w:color="auto" w:sz="4" w:space="0"/>
            </w:tcBorders>
            <w:vAlign w:val="center"/>
          </w:tcPr>
          <w:p>
            <w:pPr>
              <w:jc w:val="center"/>
              <w:rPr>
                <w:rFonts w:ascii="宋体" w:hAnsi="宋体" w:eastAsia="宋体" w:cs="仿宋"/>
              </w:rPr>
            </w:pPr>
          </w:p>
        </w:tc>
        <w:tc>
          <w:tcPr>
            <w:tcW w:w="358" w:type="pct"/>
            <w:tcBorders>
              <w:top w:val="nil"/>
              <w:left w:val="nil"/>
              <w:bottom w:val="nil"/>
              <w:right w:val="nil"/>
            </w:tcBorders>
            <w:vAlign w:val="center"/>
          </w:tcPr>
          <w:p>
            <w:pPr>
              <w:jc w:val="center"/>
              <w:rPr>
                <w:rFonts w:ascii="宋体" w:hAnsi="宋体" w:eastAsia="宋体" w:cs="仿宋"/>
              </w:rPr>
            </w:pPr>
          </w:p>
        </w:tc>
        <w:tc>
          <w:tcPr>
            <w:tcW w:w="1159" w:type="pct"/>
            <w:tcBorders>
              <w:top w:val="nil"/>
              <w:left w:val="nil"/>
              <w:bottom w:val="nil"/>
              <w:right w:val="nil"/>
            </w:tcBorders>
            <w:vAlign w:val="center"/>
          </w:tcPr>
          <w:p>
            <w:pPr>
              <w:jc w:val="center"/>
              <w:rPr>
                <w:rFonts w:ascii="宋体" w:hAnsi="宋体" w:eastAsia="宋体" w:cs="仿宋"/>
              </w:rPr>
            </w:pPr>
          </w:p>
        </w:tc>
        <w:tc>
          <w:tcPr>
            <w:tcW w:w="463" w:type="pct"/>
            <w:tcBorders>
              <w:top w:val="nil"/>
              <w:left w:val="nil"/>
              <w:bottom w:val="nil"/>
              <w:right w:val="nil"/>
            </w:tcBorders>
            <w:vAlign w:val="center"/>
          </w:tcPr>
          <w:p>
            <w:pPr>
              <w:jc w:val="center"/>
              <w:rPr>
                <w:rFonts w:ascii="宋体" w:hAnsi="宋体" w:eastAsia="宋体" w:cs="仿宋"/>
              </w:rPr>
            </w:pPr>
          </w:p>
        </w:tc>
        <w:tc>
          <w:tcPr>
            <w:tcW w:w="466" w:type="pct"/>
            <w:tcBorders>
              <w:top w:val="nil"/>
              <w:left w:val="nil"/>
              <w:bottom w:val="nil"/>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285" w:hRule="atLeast"/>
          <w:jc w:val="center"/>
        </w:trPr>
        <w:tc>
          <w:tcPr>
            <w:tcW w:w="1346" w:type="pct"/>
            <w:gridSpan w:val="2"/>
            <w:tcBorders>
              <w:top w:val="nil"/>
              <w:left w:val="single" w:color="auto" w:sz="4" w:space="0"/>
              <w:bottom w:val="nil"/>
              <w:right w:val="nil"/>
            </w:tcBorders>
            <w:vAlign w:val="center"/>
          </w:tcPr>
          <w:p>
            <w:pPr>
              <w:jc w:val="center"/>
              <w:rPr>
                <w:rFonts w:ascii="宋体" w:hAnsi="宋体" w:eastAsia="宋体" w:cs="仿宋"/>
              </w:rPr>
            </w:pPr>
            <w:r>
              <w:rPr>
                <w:rFonts w:hint="eastAsia" w:ascii="宋体" w:hAnsi="宋体" w:eastAsia="宋体" w:cs="仿宋"/>
              </w:rPr>
              <w:t>甲方责任人：</w:t>
            </w:r>
          </w:p>
        </w:tc>
        <w:tc>
          <w:tcPr>
            <w:tcW w:w="423" w:type="pct"/>
            <w:tcBorders>
              <w:top w:val="nil"/>
              <w:left w:val="nil"/>
              <w:bottom w:val="nil"/>
              <w:right w:val="nil"/>
            </w:tcBorders>
            <w:vAlign w:val="center"/>
          </w:tcPr>
          <w:p>
            <w:pPr>
              <w:jc w:val="center"/>
              <w:rPr>
                <w:rFonts w:ascii="宋体" w:hAnsi="宋体" w:eastAsia="宋体" w:cs="仿宋"/>
              </w:rPr>
            </w:pPr>
          </w:p>
        </w:tc>
        <w:tc>
          <w:tcPr>
            <w:tcW w:w="782" w:type="pct"/>
            <w:tcBorders>
              <w:top w:val="nil"/>
              <w:left w:val="nil"/>
              <w:bottom w:val="nil"/>
              <w:right w:val="single" w:color="auto" w:sz="4" w:space="0"/>
            </w:tcBorders>
            <w:vAlign w:val="center"/>
          </w:tcPr>
          <w:p>
            <w:pPr>
              <w:jc w:val="center"/>
              <w:rPr>
                <w:rFonts w:ascii="宋体" w:hAnsi="宋体" w:eastAsia="宋体" w:cs="仿宋"/>
              </w:rPr>
            </w:pPr>
          </w:p>
        </w:tc>
        <w:tc>
          <w:tcPr>
            <w:tcW w:w="1517" w:type="pct"/>
            <w:gridSpan w:val="2"/>
            <w:tcBorders>
              <w:top w:val="nil"/>
              <w:left w:val="nil"/>
              <w:bottom w:val="nil"/>
              <w:right w:val="nil"/>
            </w:tcBorders>
            <w:vAlign w:val="center"/>
          </w:tcPr>
          <w:p>
            <w:pPr>
              <w:jc w:val="center"/>
              <w:rPr>
                <w:rFonts w:ascii="宋体" w:hAnsi="宋体" w:eastAsia="宋体" w:cs="仿宋"/>
              </w:rPr>
            </w:pPr>
            <w:r>
              <w:rPr>
                <w:rFonts w:hint="eastAsia" w:ascii="宋体" w:hAnsi="宋体" w:eastAsia="宋体" w:cs="仿宋"/>
              </w:rPr>
              <w:t>乙方责任人：</w:t>
            </w:r>
          </w:p>
        </w:tc>
        <w:tc>
          <w:tcPr>
            <w:tcW w:w="463" w:type="pct"/>
            <w:tcBorders>
              <w:top w:val="nil"/>
              <w:left w:val="nil"/>
              <w:bottom w:val="nil"/>
              <w:right w:val="nil"/>
            </w:tcBorders>
            <w:vAlign w:val="center"/>
          </w:tcPr>
          <w:p>
            <w:pPr>
              <w:jc w:val="center"/>
              <w:rPr>
                <w:rFonts w:ascii="宋体" w:hAnsi="宋体" w:eastAsia="宋体" w:cs="仿宋"/>
              </w:rPr>
            </w:pPr>
          </w:p>
        </w:tc>
        <w:tc>
          <w:tcPr>
            <w:tcW w:w="466" w:type="pct"/>
            <w:tcBorders>
              <w:top w:val="nil"/>
              <w:left w:val="nil"/>
              <w:bottom w:val="nil"/>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285" w:hRule="atLeast"/>
          <w:jc w:val="center"/>
        </w:trPr>
        <w:tc>
          <w:tcPr>
            <w:tcW w:w="651" w:type="pct"/>
            <w:tcBorders>
              <w:top w:val="nil"/>
              <w:left w:val="single" w:color="auto" w:sz="4" w:space="0"/>
              <w:bottom w:val="nil"/>
              <w:right w:val="nil"/>
            </w:tcBorders>
            <w:vAlign w:val="center"/>
          </w:tcPr>
          <w:p>
            <w:pPr>
              <w:jc w:val="center"/>
              <w:rPr>
                <w:rFonts w:ascii="宋体" w:hAnsi="宋体" w:eastAsia="宋体" w:cs="仿宋"/>
              </w:rPr>
            </w:pPr>
          </w:p>
        </w:tc>
        <w:tc>
          <w:tcPr>
            <w:tcW w:w="694" w:type="pct"/>
            <w:tcBorders>
              <w:top w:val="nil"/>
              <w:left w:val="nil"/>
              <w:bottom w:val="nil"/>
              <w:right w:val="nil"/>
            </w:tcBorders>
            <w:vAlign w:val="center"/>
          </w:tcPr>
          <w:p>
            <w:pPr>
              <w:jc w:val="right"/>
              <w:rPr>
                <w:rFonts w:ascii="宋体" w:hAnsi="宋体" w:eastAsia="宋体" w:cs="仿宋"/>
              </w:rPr>
            </w:pPr>
          </w:p>
        </w:tc>
        <w:tc>
          <w:tcPr>
            <w:tcW w:w="423" w:type="pct"/>
            <w:tcBorders>
              <w:top w:val="nil"/>
              <w:left w:val="nil"/>
              <w:bottom w:val="nil"/>
              <w:right w:val="nil"/>
            </w:tcBorders>
            <w:vAlign w:val="center"/>
          </w:tcPr>
          <w:p>
            <w:pPr>
              <w:jc w:val="center"/>
              <w:rPr>
                <w:rFonts w:ascii="宋体" w:hAnsi="宋体" w:eastAsia="宋体" w:cs="仿宋"/>
              </w:rPr>
            </w:pPr>
          </w:p>
        </w:tc>
        <w:tc>
          <w:tcPr>
            <w:tcW w:w="782" w:type="pct"/>
            <w:tcBorders>
              <w:top w:val="nil"/>
              <w:left w:val="nil"/>
              <w:bottom w:val="nil"/>
              <w:right w:val="single" w:color="auto" w:sz="4" w:space="0"/>
            </w:tcBorders>
            <w:vAlign w:val="center"/>
          </w:tcPr>
          <w:p>
            <w:pPr>
              <w:jc w:val="both"/>
              <w:rPr>
                <w:rFonts w:ascii="宋体" w:hAnsi="宋体" w:eastAsia="宋体" w:cs="仿宋"/>
              </w:rPr>
            </w:pPr>
          </w:p>
        </w:tc>
        <w:tc>
          <w:tcPr>
            <w:tcW w:w="358" w:type="pct"/>
            <w:tcBorders>
              <w:top w:val="nil"/>
              <w:left w:val="nil"/>
              <w:bottom w:val="nil"/>
              <w:right w:val="nil"/>
            </w:tcBorders>
            <w:vAlign w:val="center"/>
          </w:tcPr>
          <w:p>
            <w:pPr>
              <w:jc w:val="center"/>
              <w:rPr>
                <w:rFonts w:ascii="宋体" w:hAnsi="宋体" w:eastAsia="宋体" w:cs="仿宋"/>
              </w:rPr>
            </w:pPr>
          </w:p>
        </w:tc>
        <w:tc>
          <w:tcPr>
            <w:tcW w:w="1159" w:type="pct"/>
            <w:tcBorders>
              <w:top w:val="nil"/>
              <w:left w:val="nil"/>
              <w:bottom w:val="nil"/>
              <w:right w:val="nil"/>
            </w:tcBorders>
            <w:vAlign w:val="center"/>
          </w:tcPr>
          <w:p>
            <w:pPr>
              <w:jc w:val="center"/>
              <w:rPr>
                <w:rFonts w:ascii="宋体" w:hAnsi="宋体" w:eastAsia="宋体" w:cs="仿宋"/>
              </w:rPr>
            </w:pPr>
          </w:p>
        </w:tc>
        <w:tc>
          <w:tcPr>
            <w:tcW w:w="929" w:type="pct"/>
            <w:gridSpan w:val="2"/>
            <w:tcBorders>
              <w:top w:val="nil"/>
              <w:left w:val="nil"/>
              <w:bottom w:val="nil"/>
              <w:right w:val="single" w:color="auto" w:sz="4" w:space="0"/>
            </w:tcBorders>
            <w:vAlign w:val="center"/>
          </w:tcPr>
          <w:p>
            <w:pPr>
              <w:jc w:val="center"/>
              <w:rPr>
                <w:rFonts w:ascii="宋体" w:hAnsi="宋体" w:eastAsia="宋体" w:cs="仿宋"/>
              </w:rPr>
            </w:pPr>
          </w:p>
          <w:p>
            <w:pPr>
              <w:jc w:val="center"/>
              <w:rPr>
                <w:rFonts w:ascii="宋体" w:hAnsi="宋体" w:eastAsia="宋体" w:cs="仿宋"/>
              </w:rPr>
            </w:pPr>
          </w:p>
        </w:tc>
      </w:tr>
      <w:tr>
        <w:tblPrEx>
          <w:tblCellMar>
            <w:top w:w="0" w:type="dxa"/>
            <w:left w:w="108" w:type="dxa"/>
            <w:bottom w:w="0" w:type="dxa"/>
            <w:right w:w="108" w:type="dxa"/>
          </w:tblCellMar>
        </w:tblPrEx>
        <w:trPr>
          <w:trHeight w:val="285" w:hRule="atLeast"/>
          <w:jc w:val="center"/>
        </w:trPr>
        <w:tc>
          <w:tcPr>
            <w:tcW w:w="651" w:type="pct"/>
            <w:tcBorders>
              <w:top w:val="nil"/>
              <w:left w:val="single" w:color="auto" w:sz="4" w:space="0"/>
              <w:bottom w:val="nil"/>
              <w:right w:val="nil"/>
            </w:tcBorders>
            <w:vAlign w:val="center"/>
          </w:tcPr>
          <w:p>
            <w:pPr>
              <w:jc w:val="center"/>
              <w:rPr>
                <w:rFonts w:ascii="宋体" w:hAnsi="宋体" w:eastAsia="宋体" w:cs="仿宋"/>
              </w:rPr>
            </w:pPr>
          </w:p>
        </w:tc>
        <w:tc>
          <w:tcPr>
            <w:tcW w:w="694" w:type="pct"/>
            <w:tcBorders>
              <w:top w:val="nil"/>
              <w:left w:val="nil"/>
              <w:bottom w:val="nil"/>
              <w:right w:val="nil"/>
            </w:tcBorders>
            <w:vAlign w:val="center"/>
          </w:tcPr>
          <w:p>
            <w:pPr>
              <w:jc w:val="center"/>
              <w:rPr>
                <w:rFonts w:ascii="宋体" w:hAnsi="宋体" w:eastAsia="宋体" w:cs="仿宋"/>
              </w:rPr>
            </w:pPr>
          </w:p>
        </w:tc>
        <w:tc>
          <w:tcPr>
            <w:tcW w:w="1205" w:type="pct"/>
            <w:gridSpan w:val="2"/>
            <w:tcBorders>
              <w:top w:val="nil"/>
              <w:left w:val="nil"/>
              <w:bottom w:val="nil"/>
              <w:right w:val="single" w:color="auto" w:sz="4" w:space="0"/>
            </w:tcBorders>
            <w:vAlign w:val="center"/>
          </w:tcPr>
          <w:p>
            <w:pPr>
              <w:jc w:val="center"/>
              <w:rPr>
                <w:rFonts w:ascii="宋体" w:hAnsi="宋体" w:eastAsia="宋体" w:cs="仿宋"/>
              </w:rPr>
            </w:pPr>
            <w:r>
              <w:rPr>
                <w:rFonts w:hint="eastAsia" w:ascii="宋体" w:hAnsi="宋体" w:eastAsia="宋体" w:cs="仿宋"/>
              </w:rPr>
              <w:t>盖   章</w:t>
            </w:r>
          </w:p>
        </w:tc>
        <w:tc>
          <w:tcPr>
            <w:tcW w:w="358" w:type="pct"/>
            <w:tcBorders>
              <w:top w:val="nil"/>
              <w:left w:val="nil"/>
              <w:bottom w:val="nil"/>
              <w:right w:val="nil"/>
            </w:tcBorders>
            <w:vAlign w:val="center"/>
          </w:tcPr>
          <w:p>
            <w:pPr>
              <w:jc w:val="center"/>
              <w:rPr>
                <w:rFonts w:ascii="宋体" w:hAnsi="宋体" w:eastAsia="宋体" w:cs="仿宋"/>
              </w:rPr>
            </w:pPr>
          </w:p>
        </w:tc>
        <w:tc>
          <w:tcPr>
            <w:tcW w:w="1159" w:type="pct"/>
            <w:tcBorders>
              <w:top w:val="nil"/>
              <w:left w:val="nil"/>
              <w:bottom w:val="nil"/>
              <w:right w:val="nil"/>
            </w:tcBorders>
            <w:vAlign w:val="center"/>
          </w:tcPr>
          <w:p>
            <w:pPr>
              <w:jc w:val="center"/>
              <w:rPr>
                <w:rFonts w:ascii="宋体" w:hAnsi="宋体" w:eastAsia="宋体" w:cs="仿宋"/>
              </w:rPr>
            </w:pPr>
          </w:p>
        </w:tc>
        <w:tc>
          <w:tcPr>
            <w:tcW w:w="929" w:type="pct"/>
            <w:gridSpan w:val="2"/>
            <w:tcBorders>
              <w:top w:val="nil"/>
              <w:left w:val="nil"/>
              <w:bottom w:val="nil"/>
              <w:right w:val="single" w:color="auto" w:sz="4" w:space="0"/>
            </w:tcBorders>
            <w:vAlign w:val="center"/>
          </w:tcPr>
          <w:p>
            <w:pPr>
              <w:jc w:val="center"/>
              <w:rPr>
                <w:rFonts w:ascii="宋体" w:hAnsi="宋体" w:eastAsia="宋体" w:cs="仿宋"/>
              </w:rPr>
            </w:pPr>
            <w:r>
              <w:rPr>
                <w:rFonts w:hint="eastAsia" w:ascii="宋体" w:hAnsi="宋体" w:eastAsia="宋体" w:cs="仿宋"/>
              </w:rPr>
              <w:t>盖   章</w:t>
            </w:r>
          </w:p>
        </w:tc>
      </w:tr>
      <w:tr>
        <w:tblPrEx>
          <w:tblCellMar>
            <w:top w:w="0" w:type="dxa"/>
            <w:left w:w="108" w:type="dxa"/>
            <w:bottom w:w="0" w:type="dxa"/>
            <w:right w:w="108" w:type="dxa"/>
          </w:tblCellMar>
        </w:tblPrEx>
        <w:trPr>
          <w:trHeight w:val="90" w:hRule="atLeast"/>
          <w:jc w:val="center"/>
        </w:trPr>
        <w:tc>
          <w:tcPr>
            <w:tcW w:w="651" w:type="pct"/>
            <w:tcBorders>
              <w:top w:val="nil"/>
              <w:left w:val="single" w:color="auto" w:sz="4" w:space="0"/>
              <w:bottom w:val="single" w:color="auto" w:sz="4" w:space="0"/>
              <w:right w:val="nil"/>
            </w:tcBorders>
            <w:vAlign w:val="center"/>
          </w:tcPr>
          <w:p>
            <w:pPr>
              <w:jc w:val="center"/>
              <w:rPr>
                <w:rFonts w:ascii="宋体" w:hAnsi="宋体" w:eastAsia="宋体" w:cs="仿宋"/>
              </w:rPr>
            </w:pPr>
          </w:p>
        </w:tc>
        <w:tc>
          <w:tcPr>
            <w:tcW w:w="694" w:type="pct"/>
            <w:tcBorders>
              <w:top w:val="nil"/>
              <w:left w:val="nil"/>
              <w:bottom w:val="single" w:color="auto" w:sz="4" w:space="0"/>
              <w:right w:val="nil"/>
            </w:tcBorders>
            <w:vAlign w:val="center"/>
          </w:tcPr>
          <w:p>
            <w:pPr>
              <w:jc w:val="center"/>
              <w:rPr>
                <w:rFonts w:ascii="宋体" w:hAnsi="宋体" w:eastAsia="宋体" w:cs="仿宋"/>
              </w:rPr>
            </w:pPr>
          </w:p>
        </w:tc>
        <w:tc>
          <w:tcPr>
            <w:tcW w:w="423" w:type="pct"/>
            <w:tcBorders>
              <w:top w:val="nil"/>
              <w:left w:val="nil"/>
              <w:bottom w:val="single" w:color="auto" w:sz="4" w:space="0"/>
              <w:right w:val="nil"/>
            </w:tcBorders>
            <w:vAlign w:val="center"/>
          </w:tcPr>
          <w:p>
            <w:pPr>
              <w:jc w:val="center"/>
              <w:rPr>
                <w:rFonts w:ascii="宋体" w:hAnsi="宋体" w:eastAsia="宋体" w:cs="仿宋"/>
              </w:rPr>
            </w:pPr>
          </w:p>
        </w:tc>
        <w:tc>
          <w:tcPr>
            <w:tcW w:w="782" w:type="pct"/>
            <w:tcBorders>
              <w:top w:val="nil"/>
              <w:left w:val="nil"/>
              <w:bottom w:val="single" w:color="auto" w:sz="4" w:space="0"/>
              <w:right w:val="single" w:color="auto" w:sz="4" w:space="0"/>
            </w:tcBorders>
            <w:vAlign w:val="center"/>
          </w:tcPr>
          <w:p>
            <w:pPr>
              <w:jc w:val="center"/>
              <w:rPr>
                <w:rFonts w:ascii="宋体" w:hAnsi="宋体" w:eastAsia="宋体" w:cs="仿宋"/>
              </w:rPr>
            </w:pPr>
          </w:p>
        </w:tc>
        <w:tc>
          <w:tcPr>
            <w:tcW w:w="358" w:type="pct"/>
            <w:tcBorders>
              <w:top w:val="nil"/>
              <w:left w:val="nil"/>
              <w:bottom w:val="single" w:color="auto" w:sz="4" w:space="0"/>
              <w:right w:val="nil"/>
            </w:tcBorders>
            <w:vAlign w:val="center"/>
          </w:tcPr>
          <w:p>
            <w:pPr>
              <w:jc w:val="center"/>
              <w:rPr>
                <w:rFonts w:ascii="宋体" w:hAnsi="宋体" w:eastAsia="宋体" w:cs="仿宋"/>
              </w:rPr>
            </w:pPr>
          </w:p>
        </w:tc>
        <w:tc>
          <w:tcPr>
            <w:tcW w:w="1159" w:type="pct"/>
            <w:tcBorders>
              <w:top w:val="nil"/>
              <w:left w:val="nil"/>
              <w:bottom w:val="single" w:color="auto" w:sz="4" w:space="0"/>
              <w:right w:val="nil"/>
            </w:tcBorders>
            <w:vAlign w:val="center"/>
          </w:tcPr>
          <w:p>
            <w:pPr>
              <w:jc w:val="center"/>
              <w:rPr>
                <w:rFonts w:ascii="宋体" w:hAnsi="宋体" w:eastAsia="宋体" w:cs="仿宋"/>
              </w:rPr>
            </w:pPr>
          </w:p>
        </w:tc>
        <w:tc>
          <w:tcPr>
            <w:tcW w:w="463" w:type="pct"/>
            <w:tcBorders>
              <w:top w:val="nil"/>
              <w:left w:val="nil"/>
              <w:bottom w:val="single" w:color="auto" w:sz="4" w:space="0"/>
              <w:right w:val="nil"/>
            </w:tcBorders>
            <w:vAlign w:val="center"/>
          </w:tcPr>
          <w:p>
            <w:pPr>
              <w:jc w:val="center"/>
              <w:rPr>
                <w:rFonts w:ascii="宋体" w:hAnsi="宋体" w:eastAsia="宋体" w:cs="仿宋"/>
              </w:rPr>
            </w:pPr>
          </w:p>
        </w:tc>
        <w:tc>
          <w:tcPr>
            <w:tcW w:w="466" w:type="pct"/>
            <w:tcBorders>
              <w:top w:val="nil"/>
              <w:left w:val="nil"/>
              <w:bottom w:val="single" w:color="auto" w:sz="4" w:space="0"/>
              <w:right w:val="single" w:color="auto" w:sz="4" w:space="0"/>
            </w:tcBorders>
            <w:vAlign w:val="center"/>
          </w:tcPr>
          <w:p>
            <w:pPr>
              <w:jc w:val="center"/>
              <w:rPr>
                <w:rFonts w:ascii="宋体" w:hAnsi="宋体" w:eastAsia="宋体" w:cs="仿宋"/>
              </w:rPr>
            </w:pPr>
          </w:p>
        </w:tc>
      </w:tr>
      <w:tr>
        <w:tblPrEx>
          <w:tblCellMar>
            <w:top w:w="0" w:type="dxa"/>
            <w:left w:w="108" w:type="dxa"/>
            <w:bottom w:w="0" w:type="dxa"/>
            <w:right w:w="108" w:type="dxa"/>
          </w:tblCellMar>
        </w:tblPrEx>
        <w:trPr>
          <w:trHeight w:val="304" w:hRule="atLeast"/>
          <w:jc w:val="center"/>
        </w:trPr>
        <w:tc>
          <w:tcPr>
            <w:tcW w:w="5000" w:type="pct"/>
            <w:gridSpan w:val="8"/>
            <w:tcBorders>
              <w:top w:val="single" w:color="auto" w:sz="4" w:space="0"/>
              <w:left w:val="single" w:color="auto" w:sz="4" w:space="0"/>
              <w:bottom w:val="single" w:color="auto" w:sz="4" w:space="0"/>
              <w:right w:val="single" w:color="000000" w:sz="4" w:space="0"/>
            </w:tcBorders>
            <w:vAlign w:val="center"/>
          </w:tcPr>
          <w:p>
            <w:pPr>
              <w:jc w:val="center"/>
              <w:rPr>
                <w:rFonts w:ascii="宋体" w:hAnsi="宋体" w:eastAsia="宋体" w:cs="仿宋"/>
                <w:lang w:eastAsia="zh-CN"/>
              </w:rPr>
            </w:pPr>
            <w:r>
              <w:rPr>
                <w:rFonts w:hint="eastAsia" w:ascii="宋体" w:hAnsi="宋体" w:eastAsia="宋体" w:cs="仿宋"/>
                <w:lang w:eastAsia="zh-CN"/>
              </w:rPr>
              <w:t>本确认单一式两份，双方各持一份，以便核对</w:t>
            </w:r>
          </w:p>
        </w:tc>
      </w:tr>
    </w:tbl>
    <w:p>
      <w:pPr>
        <w:pStyle w:val="42"/>
        <w:widowControl/>
        <w:ind w:firstLine="2772" w:firstLineChars="900"/>
        <w:jc w:val="both"/>
      </w:pPr>
      <w:r>
        <w:t>表2：检测工作量确认单</w:t>
      </w:r>
    </w:p>
    <w:tbl>
      <w:tblPr>
        <w:tblStyle w:val="16"/>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102"/>
        <w:gridCol w:w="2179"/>
        <w:gridCol w:w="1246"/>
        <w:gridCol w:w="556"/>
        <w:gridCol w:w="685"/>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pct"/>
            <w:gridSpan w:val="2"/>
            <w:vAlign w:val="center"/>
          </w:tcPr>
          <w:p>
            <w:pPr>
              <w:rPr>
                <w:rFonts w:ascii="宋体" w:hAnsi="宋体" w:eastAsia="宋体" w:cs="仿宋"/>
              </w:rPr>
            </w:pPr>
            <w:r>
              <w:rPr>
                <w:rFonts w:hint="eastAsia" w:ascii="宋体" w:hAnsi="宋体" w:eastAsia="宋体" w:cs="仿宋"/>
              </w:rPr>
              <w:t>甲方：</w:t>
            </w:r>
          </w:p>
        </w:tc>
        <w:tc>
          <w:tcPr>
            <w:tcW w:w="1221" w:type="pct"/>
            <w:vAlign w:val="center"/>
          </w:tcPr>
          <w:p>
            <w:pPr>
              <w:jc w:val="center"/>
              <w:rPr>
                <w:rFonts w:ascii="宋体" w:hAnsi="宋体" w:eastAsia="宋体" w:cs="仿宋"/>
              </w:rPr>
            </w:pPr>
            <w:r>
              <w:rPr>
                <w:rFonts w:hint="eastAsia" w:ascii="宋体" w:hAnsi="宋体" w:eastAsia="宋体" w:cs="仿宋"/>
              </w:rPr>
              <w:t>　</w:t>
            </w:r>
          </w:p>
        </w:tc>
        <w:tc>
          <w:tcPr>
            <w:tcW w:w="1395" w:type="pct"/>
            <w:gridSpan w:val="3"/>
            <w:vAlign w:val="center"/>
          </w:tcPr>
          <w:p>
            <w:pPr>
              <w:jc w:val="center"/>
              <w:rPr>
                <w:rFonts w:ascii="宋体" w:hAnsi="宋体" w:eastAsia="宋体" w:cs="仿宋"/>
              </w:rPr>
            </w:pPr>
            <w:r>
              <w:rPr>
                <w:rFonts w:hint="eastAsia" w:ascii="宋体" w:hAnsi="宋体" w:eastAsia="宋体" w:cs="仿宋"/>
              </w:rPr>
              <w:t>责任人：</w:t>
            </w:r>
          </w:p>
        </w:tc>
        <w:tc>
          <w:tcPr>
            <w:tcW w:w="1212" w:type="pct"/>
            <w:vAlign w:val="center"/>
          </w:tcPr>
          <w:p>
            <w:pPr>
              <w:jc w:val="center"/>
              <w:rPr>
                <w:rFonts w:ascii="宋体" w:hAnsi="宋体" w:eastAsia="宋体" w:cs="仿宋"/>
              </w:rPr>
            </w:pPr>
            <w:r>
              <w:rPr>
                <w:rFonts w:hint="eastAsia" w:ascii="宋体" w:hAnsi="宋体" w:eastAsia="宋体" w:cs="仿宋"/>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pct"/>
            <w:gridSpan w:val="2"/>
            <w:vAlign w:val="center"/>
          </w:tcPr>
          <w:p>
            <w:pPr>
              <w:rPr>
                <w:rFonts w:ascii="宋体" w:hAnsi="宋体" w:eastAsia="宋体" w:cs="仿宋"/>
              </w:rPr>
            </w:pPr>
            <w:r>
              <w:rPr>
                <w:rFonts w:hint="eastAsia" w:ascii="宋体" w:hAnsi="宋体" w:eastAsia="宋体" w:cs="仿宋"/>
              </w:rPr>
              <w:t>乙方：</w:t>
            </w:r>
          </w:p>
        </w:tc>
        <w:tc>
          <w:tcPr>
            <w:tcW w:w="1221" w:type="pct"/>
            <w:vAlign w:val="center"/>
          </w:tcPr>
          <w:p>
            <w:pPr>
              <w:jc w:val="center"/>
              <w:rPr>
                <w:rFonts w:ascii="宋体" w:hAnsi="宋体" w:eastAsia="宋体" w:cs="仿宋"/>
              </w:rPr>
            </w:pPr>
            <w:r>
              <w:rPr>
                <w:rFonts w:hint="eastAsia" w:ascii="宋体" w:hAnsi="宋体" w:eastAsia="宋体" w:cs="仿宋"/>
              </w:rPr>
              <w:t>　</w:t>
            </w:r>
          </w:p>
        </w:tc>
        <w:tc>
          <w:tcPr>
            <w:tcW w:w="1395" w:type="pct"/>
            <w:gridSpan w:val="3"/>
            <w:vAlign w:val="center"/>
          </w:tcPr>
          <w:p>
            <w:pPr>
              <w:jc w:val="center"/>
              <w:rPr>
                <w:rFonts w:ascii="宋体" w:hAnsi="宋体" w:eastAsia="宋体" w:cs="仿宋"/>
              </w:rPr>
            </w:pPr>
            <w:r>
              <w:rPr>
                <w:rFonts w:hint="eastAsia" w:ascii="宋体" w:hAnsi="宋体" w:eastAsia="宋体" w:cs="仿宋"/>
              </w:rPr>
              <w:t>责任人：</w:t>
            </w:r>
          </w:p>
        </w:tc>
        <w:tc>
          <w:tcPr>
            <w:tcW w:w="1212" w:type="pct"/>
            <w:vAlign w:val="center"/>
          </w:tcPr>
          <w:p>
            <w:pPr>
              <w:jc w:val="center"/>
              <w:rPr>
                <w:rFonts w:ascii="宋体" w:hAnsi="宋体" w:eastAsia="宋体" w:cs="仿宋"/>
              </w:rPr>
            </w:pPr>
            <w:r>
              <w:rPr>
                <w:rFonts w:hint="eastAsia" w:ascii="宋体" w:hAnsi="宋体" w:eastAsia="宋体" w:cs="仿宋"/>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7"/>
            <w:vAlign w:val="center"/>
          </w:tcPr>
          <w:p>
            <w:pPr>
              <w:jc w:val="center"/>
              <w:rPr>
                <w:rFonts w:ascii="宋体" w:hAnsi="宋体" w:eastAsia="宋体" w:cs="仿宋"/>
                <w:b/>
                <w:bCs/>
              </w:rPr>
            </w:pPr>
            <w:r>
              <w:rPr>
                <w:rFonts w:hint="eastAsia" w:ascii="宋体" w:hAnsi="宋体" w:eastAsia="宋体" w:cs="仿宋"/>
                <w:b/>
                <w:bCs/>
              </w:rPr>
              <w:t>工作内容明细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pct"/>
            <w:vAlign w:val="center"/>
          </w:tcPr>
          <w:p>
            <w:pPr>
              <w:jc w:val="center"/>
              <w:rPr>
                <w:rFonts w:ascii="宋体" w:hAnsi="宋体" w:eastAsia="宋体" w:cs="仿宋"/>
              </w:rPr>
            </w:pPr>
            <w:r>
              <w:rPr>
                <w:rFonts w:hint="eastAsia" w:ascii="宋体" w:hAnsi="宋体" w:eastAsia="宋体" w:cs="仿宋"/>
              </w:rPr>
              <w:t>序号</w:t>
            </w:r>
          </w:p>
        </w:tc>
        <w:tc>
          <w:tcPr>
            <w:tcW w:w="2539" w:type="pct"/>
            <w:gridSpan w:val="3"/>
            <w:vAlign w:val="center"/>
          </w:tcPr>
          <w:p>
            <w:pPr>
              <w:jc w:val="center"/>
              <w:rPr>
                <w:rFonts w:ascii="宋体" w:hAnsi="宋体" w:eastAsia="宋体" w:cs="仿宋"/>
              </w:rPr>
            </w:pPr>
            <w:r>
              <w:rPr>
                <w:rFonts w:hint="eastAsia" w:ascii="宋体" w:hAnsi="宋体" w:eastAsia="宋体" w:cs="仿宋"/>
              </w:rPr>
              <w:t>检测项目号</w:t>
            </w:r>
          </w:p>
        </w:tc>
        <w:tc>
          <w:tcPr>
            <w:tcW w:w="1908" w:type="pct"/>
            <w:gridSpan w:val="3"/>
            <w:vAlign w:val="center"/>
          </w:tcPr>
          <w:p>
            <w:pPr>
              <w:jc w:val="center"/>
              <w:rPr>
                <w:rFonts w:ascii="宋体" w:hAnsi="宋体" w:eastAsia="宋体" w:cs="仿宋"/>
              </w:rPr>
            </w:pPr>
            <w:r>
              <w:rPr>
                <w:rFonts w:hint="eastAsia" w:ascii="宋体" w:hAnsi="宋体" w:eastAsia="宋体" w:cs="仿宋"/>
              </w:rPr>
              <w:t>检测费用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pct"/>
            <w:vAlign w:val="center"/>
          </w:tcPr>
          <w:p>
            <w:pPr>
              <w:jc w:val="center"/>
              <w:rPr>
                <w:rFonts w:ascii="宋体" w:hAnsi="宋体" w:eastAsia="宋体" w:cs="仿宋"/>
              </w:rPr>
            </w:pPr>
            <w:r>
              <w:rPr>
                <w:rFonts w:hint="eastAsia" w:ascii="宋体" w:hAnsi="宋体" w:eastAsia="宋体" w:cs="仿宋"/>
              </w:rPr>
              <w:t>1</w:t>
            </w:r>
          </w:p>
        </w:tc>
        <w:tc>
          <w:tcPr>
            <w:tcW w:w="2539" w:type="pct"/>
            <w:gridSpan w:val="3"/>
            <w:vAlign w:val="center"/>
          </w:tcPr>
          <w:p>
            <w:pPr>
              <w:jc w:val="center"/>
              <w:rPr>
                <w:rFonts w:ascii="宋体" w:hAnsi="宋体" w:eastAsia="宋体" w:cs="仿宋"/>
              </w:rPr>
            </w:pPr>
            <w:r>
              <w:rPr>
                <w:rFonts w:hint="eastAsia" w:ascii="宋体" w:hAnsi="宋体" w:eastAsia="宋体" w:cs="仿宋"/>
              </w:rPr>
              <w:t>　</w:t>
            </w:r>
          </w:p>
        </w:tc>
        <w:tc>
          <w:tcPr>
            <w:tcW w:w="1908" w:type="pct"/>
            <w:gridSpan w:val="3"/>
            <w:vAlign w:val="center"/>
          </w:tcPr>
          <w:p>
            <w:pPr>
              <w:jc w:val="center"/>
              <w:rPr>
                <w:rFonts w:ascii="宋体" w:hAnsi="宋体" w:eastAsia="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pct"/>
            <w:vAlign w:val="center"/>
          </w:tcPr>
          <w:p>
            <w:pPr>
              <w:jc w:val="center"/>
              <w:rPr>
                <w:rFonts w:ascii="宋体" w:hAnsi="宋体" w:eastAsia="宋体" w:cs="仿宋"/>
              </w:rPr>
            </w:pPr>
            <w:r>
              <w:rPr>
                <w:rFonts w:hint="eastAsia" w:ascii="宋体" w:hAnsi="宋体" w:eastAsia="宋体" w:cs="仿宋"/>
              </w:rPr>
              <w:t>2</w:t>
            </w:r>
          </w:p>
        </w:tc>
        <w:tc>
          <w:tcPr>
            <w:tcW w:w="2539" w:type="pct"/>
            <w:gridSpan w:val="3"/>
            <w:vAlign w:val="center"/>
          </w:tcPr>
          <w:p>
            <w:pPr>
              <w:jc w:val="center"/>
              <w:rPr>
                <w:rFonts w:ascii="宋体" w:hAnsi="宋体" w:eastAsia="宋体" w:cs="仿宋"/>
              </w:rPr>
            </w:pPr>
            <w:r>
              <w:rPr>
                <w:rFonts w:hint="eastAsia" w:ascii="宋体" w:hAnsi="宋体" w:eastAsia="宋体" w:cs="仿宋"/>
              </w:rPr>
              <w:t>　</w:t>
            </w:r>
          </w:p>
        </w:tc>
        <w:tc>
          <w:tcPr>
            <w:tcW w:w="1908" w:type="pct"/>
            <w:gridSpan w:val="3"/>
            <w:vAlign w:val="center"/>
          </w:tcPr>
          <w:p>
            <w:pPr>
              <w:jc w:val="center"/>
              <w:rPr>
                <w:rFonts w:ascii="宋体" w:hAnsi="宋体" w:eastAsia="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pct"/>
            <w:vAlign w:val="center"/>
          </w:tcPr>
          <w:p>
            <w:pPr>
              <w:jc w:val="center"/>
              <w:rPr>
                <w:rFonts w:ascii="宋体" w:hAnsi="宋体" w:eastAsia="宋体" w:cs="仿宋"/>
              </w:rPr>
            </w:pPr>
            <w:r>
              <w:rPr>
                <w:rFonts w:hint="eastAsia" w:ascii="宋体" w:hAnsi="宋体" w:eastAsia="宋体" w:cs="仿宋"/>
              </w:rPr>
              <w:t>3</w:t>
            </w:r>
          </w:p>
        </w:tc>
        <w:tc>
          <w:tcPr>
            <w:tcW w:w="2539" w:type="pct"/>
            <w:gridSpan w:val="3"/>
            <w:vAlign w:val="center"/>
          </w:tcPr>
          <w:p>
            <w:pPr>
              <w:jc w:val="center"/>
              <w:rPr>
                <w:rFonts w:ascii="宋体" w:hAnsi="宋体" w:eastAsia="宋体" w:cs="仿宋"/>
              </w:rPr>
            </w:pPr>
            <w:r>
              <w:rPr>
                <w:rFonts w:hint="eastAsia" w:ascii="宋体" w:hAnsi="宋体" w:eastAsia="宋体" w:cs="仿宋"/>
              </w:rPr>
              <w:t>　</w:t>
            </w:r>
          </w:p>
        </w:tc>
        <w:tc>
          <w:tcPr>
            <w:tcW w:w="1908" w:type="pct"/>
            <w:gridSpan w:val="3"/>
            <w:vAlign w:val="center"/>
          </w:tcPr>
          <w:p>
            <w:pPr>
              <w:jc w:val="center"/>
              <w:rPr>
                <w:rFonts w:ascii="宋体" w:hAnsi="宋体" w:eastAsia="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pct"/>
            <w:vAlign w:val="center"/>
          </w:tcPr>
          <w:p>
            <w:pPr>
              <w:jc w:val="center"/>
              <w:rPr>
                <w:rFonts w:ascii="宋体" w:hAnsi="宋体" w:eastAsia="宋体" w:cs="仿宋"/>
              </w:rPr>
            </w:pPr>
            <w:r>
              <w:rPr>
                <w:rFonts w:ascii="宋体" w:hAnsi="宋体" w:eastAsia="宋体" w:cs="仿宋"/>
              </w:rPr>
              <w:t>5</w:t>
            </w:r>
          </w:p>
        </w:tc>
        <w:tc>
          <w:tcPr>
            <w:tcW w:w="2539" w:type="pct"/>
            <w:gridSpan w:val="3"/>
            <w:vAlign w:val="center"/>
          </w:tcPr>
          <w:p>
            <w:pPr>
              <w:jc w:val="center"/>
              <w:rPr>
                <w:rFonts w:ascii="宋体" w:hAnsi="宋体" w:eastAsia="宋体" w:cs="仿宋"/>
              </w:rPr>
            </w:pPr>
            <w:r>
              <w:rPr>
                <w:rFonts w:hint="eastAsia" w:ascii="宋体" w:hAnsi="宋体" w:eastAsia="宋体" w:cs="仿宋"/>
              </w:rPr>
              <w:t>合计</w:t>
            </w:r>
          </w:p>
        </w:tc>
        <w:tc>
          <w:tcPr>
            <w:tcW w:w="1908" w:type="pct"/>
            <w:gridSpan w:val="3"/>
            <w:vAlign w:val="center"/>
          </w:tcPr>
          <w:p>
            <w:pPr>
              <w:jc w:val="center"/>
              <w:rPr>
                <w:rFonts w:ascii="宋体" w:hAnsi="宋体" w:eastAsia="宋体" w:cs="仿宋"/>
              </w:rPr>
            </w:pPr>
            <w:r>
              <w:rPr>
                <w:rFonts w:hint="eastAsia" w:ascii="宋体" w:hAnsi="宋体" w:eastAsia="宋体" w:cs="仿宋"/>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7"/>
            <w:vAlign w:val="center"/>
          </w:tcPr>
          <w:p>
            <w:pPr>
              <w:jc w:val="center"/>
              <w:rPr>
                <w:rFonts w:ascii="宋体" w:hAnsi="宋体" w:eastAsia="宋体" w:cs="仿宋"/>
                <w:b/>
                <w:bCs/>
              </w:rPr>
            </w:pPr>
            <w:r>
              <w:rPr>
                <w:rFonts w:hint="eastAsia" w:ascii="宋体" w:hAnsi="宋体" w:eastAsia="宋体" w:cs="仿宋"/>
                <w:b/>
                <w:bCs/>
              </w:rPr>
              <w:t>双方确认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pct"/>
            <w:gridSpan w:val="2"/>
            <w:vAlign w:val="center"/>
          </w:tcPr>
          <w:p>
            <w:pPr>
              <w:rPr>
                <w:rFonts w:ascii="宋体" w:hAnsi="宋体" w:eastAsia="宋体" w:cs="仿宋"/>
              </w:rPr>
            </w:pPr>
            <w:r>
              <w:rPr>
                <w:rFonts w:hint="eastAsia" w:ascii="宋体" w:hAnsi="宋体" w:eastAsia="宋体" w:cs="仿宋"/>
              </w:rPr>
              <w:t>发票是否开具</w:t>
            </w:r>
          </w:p>
        </w:tc>
        <w:tc>
          <w:tcPr>
            <w:tcW w:w="1221" w:type="pct"/>
            <w:vAlign w:val="center"/>
          </w:tcPr>
          <w:p>
            <w:pPr>
              <w:rPr>
                <w:rFonts w:ascii="宋体" w:hAnsi="宋体" w:eastAsia="宋体" w:cs="仿宋"/>
              </w:rPr>
            </w:pPr>
            <w:r>
              <w:rPr>
                <w:rFonts w:hint="eastAsia" w:ascii="宋体" w:hAnsi="宋体" w:eastAsia="宋体" w:cs="仿宋"/>
              </w:rPr>
              <w:t>□是</w:t>
            </w:r>
          </w:p>
          <w:p>
            <w:pPr>
              <w:rPr>
                <w:rFonts w:ascii="宋体" w:hAnsi="宋体" w:eastAsia="宋体" w:cs="仿宋"/>
              </w:rPr>
            </w:pPr>
            <w:r>
              <w:rPr>
                <w:rFonts w:hint="eastAsia" w:ascii="宋体" w:hAnsi="宋体" w:eastAsia="宋体" w:cs="仿宋"/>
              </w:rPr>
              <w:t>□否</w:t>
            </w:r>
          </w:p>
        </w:tc>
        <w:tc>
          <w:tcPr>
            <w:tcW w:w="1011" w:type="pct"/>
            <w:gridSpan w:val="2"/>
            <w:vAlign w:val="center"/>
          </w:tcPr>
          <w:p>
            <w:pPr>
              <w:rPr>
                <w:rFonts w:ascii="宋体" w:hAnsi="宋体" w:eastAsia="宋体" w:cs="仿宋"/>
              </w:rPr>
            </w:pPr>
            <w:r>
              <w:rPr>
                <w:rFonts w:hint="eastAsia" w:ascii="宋体" w:hAnsi="宋体" w:eastAsia="宋体" w:cs="仿宋"/>
              </w:rPr>
              <w:t>款项是否结算</w:t>
            </w:r>
          </w:p>
        </w:tc>
        <w:tc>
          <w:tcPr>
            <w:tcW w:w="1596" w:type="pct"/>
            <w:gridSpan w:val="2"/>
            <w:vAlign w:val="center"/>
          </w:tcPr>
          <w:p>
            <w:pPr>
              <w:rPr>
                <w:rFonts w:ascii="宋体" w:hAnsi="宋体" w:eastAsia="宋体" w:cs="仿宋"/>
              </w:rPr>
            </w:pPr>
            <w:r>
              <w:rPr>
                <w:rFonts w:hint="eastAsia" w:ascii="宋体" w:hAnsi="宋体" w:eastAsia="宋体" w:cs="仿宋"/>
              </w:rPr>
              <w:t>□是</w:t>
            </w:r>
          </w:p>
          <w:p>
            <w:pPr>
              <w:rPr>
                <w:rFonts w:ascii="宋体" w:hAnsi="宋体" w:eastAsia="宋体" w:cs="仿宋"/>
              </w:rPr>
            </w:pPr>
            <w:r>
              <w:rPr>
                <w:rFonts w:hint="eastAsia" w:ascii="宋体" w:hAnsi="宋体" w:eastAsia="宋体"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1" w:type="pct"/>
            <w:gridSpan w:val="3"/>
            <w:vAlign w:val="center"/>
          </w:tcPr>
          <w:p>
            <w:pPr>
              <w:rPr>
                <w:rFonts w:ascii="宋体" w:hAnsi="宋体" w:eastAsia="宋体" w:cs="仿宋"/>
                <w:lang w:eastAsia="zh-CN"/>
              </w:rPr>
            </w:pPr>
            <w:r>
              <w:rPr>
                <w:rFonts w:hint="eastAsia" w:ascii="宋体" w:hAnsi="宋体" w:eastAsia="宋体" w:cs="仿宋"/>
                <w:lang w:eastAsia="zh-CN"/>
              </w:rPr>
              <w:t>甲方责任人：</w:t>
            </w:r>
          </w:p>
          <w:p>
            <w:pPr>
              <w:rPr>
                <w:rFonts w:hint="eastAsia" w:ascii="宋体" w:hAnsi="宋体" w:eastAsia="宋体" w:cs="仿宋"/>
                <w:lang w:eastAsia="zh-CN"/>
              </w:rPr>
            </w:pPr>
            <w:r>
              <w:rPr>
                <w:rFonts w:hint="eastAsia" w:ascii="宋体" w:hAnsi="宋体" w:eastAsia="宋体" w:cs="仿宋"/>
                <w:lang w:eastAsia="zh-CN"/>
              </w:rPr>
              <w:t>　</w:t>
            </w:r>
          </w:p>
          <w:p>
            <w:pPr>
              <w:rPr>
                <w:rFonts w:hint="eastAsia" w:ascii="宋体" w:hAnsi="宋体" w:eastAsia="宋体" w:cs="仿宋"/>
                <w:lang w:eastAsia="zh-CN"/>
              </w:rPr>
            </w:pPr>
          </w:p>
          <w:p>
            <w:pPr>
              <w:wordWrap w:val="0"/>
              <w:ind w:right="420"/>
              <w:jc w:val="center"/>
              <w:rPr>
                <w:rFonts w:ascii="宋体" w:hAnsi="宋体" w:eastAsia="宋体" w:cs="仿宋"/>
                <w:lang w:eastAsia="zh-CN"/>
              </w:rPr>
            </w:pPr>
            <w:r>
              <w:rPr>
                <w:rFonts w:hint="eastAsia" w:ascii="宋体" w:hAnsi="宋体" w:eastAsia="宋体" w:cs="仿宋"/>
                <w:lang w:eastAsia="zh-CN"/>
              </w:rPr>
              <w:t xml:space="preserve">                盖    章</w:t>
            </w:r>
          </w:p>
          <w:p>
            <w:pPr>
              <w:wordWrap w:val="0"/>
              <w:jc w:val="right"/>
              <w:rPr>
                <w:rFonts w:ascii="宋体" w:hAnsi="宋体" w:eastAsia="宋体" w:cs="仿宋"/>
                <w:lang w:eastAsia="zh-CN"/>
              </w:rPr>
            </w:pPr>
            <w:r>
              <w:rPr>
                <w:rFonts w:hint="eastAsia" w:ascii="宋体" w:hAnsi="宋体" w:eastAsia="宋体" w:cs="仿宋"/>
                <w:lang w:eastAsia="zh-CN"/>
              </w:rPr>
              <w:t xml:space="preserve">日    期：        </w:t>
            </w:r>
          </w:p>
        </w:tc>
        <w:tc>
          <w:tcPr>
            <w:tcW w:w="2608" w:type="pct"/>
            <w:gridSpan w:val="4"/>
            <w:vAlign w:val="center"/>
          </w:tcPr>
          <w:p>
            <w:pPr>
              <w:rPr>
                <w:rFonts w:ascii="宋体" w:hAnsi="宋体" w:eastAsia="宋体" w:cs="仿宋"/>
                <w:lang w:eastAsia="zh-CN"/>
              </w:rPr>
            </w:pPr>
            <w:r>
              <w:rPr>
                <w:rFonts w:hint="eastAsia" w:ascii="宋体" w:hAnsi="宋体" w:eastAsia="宋体" w:cs="仿宋"/>
                <w:lang w:eastAsia="zh-CN"/>
              </w:rPr>
              <w:t>乙方责任人：</w:t>
            </w:r>
          </w:p>
          <w:p>
            <w:pPr>
              <w:rPr>
                <w:rFonts w:ascii="宋体" w:hAnsi="宋体" w:eastAsia="宋体" w:cs="仿宋"/>
                <w:lang w:eastAsia="zh-CN"/>
              </w:rPr>
            </w:pPr>
          </w:p>
          <w:p>
            <w:pPr>
              <w:rPr>
                <w:rFonts w:ascii="宋体" w:hAnsi="宋体" w:eastAsia="宋体" w:cs="仿宋"/>
                <w:lang w:eastAsia="zh-CN"/>
              </w:rPr>
            </w:pPr>
            <w:r>
              <w:rPr>
                <w:rFonts w:hint="eastAsia" w:ascii="宋体" w:hAnsi="宋体" w:eastAsia="宋体" w:cs="仿宋"/>
                <w:lang w:eastAsia="zh-CN"/>
              </w:rPr>
              <w:t>　</w:t>
            </w:r>
          </w:p>
          <w:p>
            <w:pPr>
              <w:wordWrap w:val="0"/>
              <w:ind w:right="420"/>
              <w:jc w:val="center"/>
              <w:rPr>
                <w:rFonts w:ascii="宋体" w:hAnsi="宋体" w:eastAsia="宋体" w:cs="仿宋"/>
                <w:lang w:eastAsia="zh-CN"/>
              </w:rPr>
            </w:pPr>
            <w:r>
              <w:rPr>
                <w:rFonts w:hint="eastAsia" w:ascii="宋体" w:hAnsi="宋体" w:eastAsia="宋体" w:cs="仿宋"/>
                <w:lang w:eastAsia="zh-CN"/>
              </w:rPr>
              <w:t xml:space="preserve">              盖    章</w:t>
            </w:r>
          </w:p>
          <w:p>
            <w:pPr>
              <w:wordWrap w:val="0"/>
              <w:ind w:right="420" w:firstLine="2530" w:firstLineChars="1150"/>
              <w:rPr>
                <w:rFonts w:ascii="宋体" w:hAnsi="宋体" w:eastAsia="宋体" w:cs="仿宋"/>
                <w:lang w:eastAsia="zh-CN"/>
              </w:rPr>
            </w:pPr>
            <w:r>
              <w:rPr>
                <w:rFonts w:hint="eastAsia" w:ascii="宋体" w:hAnsi="宋体" w:eastAsia="宋体" w:cs="仿宋"/>
                <w:lang w:eastAsia="zh-CN"/>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7"/>
            <w:vAlign w:val="center"/>
          </w:tcPr>
          <w:p>
            <w:pPr>
              <w:jc w:val="center"/>
              <w:rPr>
                <w:rFonts w:ascii="宋体" w:hAnsi="宋体" w:eastAsia="宋体" w:cs="仿宋"/>
                <w:lang w:eastAsia="zh-CN"/>
              </w:rPr>
            </w:pPr>
            <w:r>
              <w:rPr>
                <w:rFonts w:hint="eastAsia" w:ascii="宋体" w:hAnsi="宋体" w:eastAsia="宋体" w:cs="仿宋"/>
                <w:lang w:eastAsia="zh-CN"/>
              </w:rPr>
              <w:t>本确认单一式两份，双方各持一份，以便核对</w:t>
            </w:r>
          </w:p>
        </w:tc>
      </w:tr>
    </w:tbl>
    <w:p>
      <w:pPr>
        <w:pStyle w:val="2"/>
        <w:numPr>
          <w:ilvl w:val="0"/>
          <w:numId w:val="0"/>
        </w:numPr>
        <w:topLinePunct w:val="0"/>
        <w:bidi w:val="0"/>
        <w:ind w:firstLine="640" w:firstLineChars="200"/>
        <w:rPr>
          <w:rFonts w:hint="eastAsia" w:ascii="黑体" w:hAnsi="黑体" w:eastAsia="黑体" w:cs="黑体"/>
          <w:b w:val="0"/>
          <w:szCs w:val="32"/>
        </w:rPr>
      </w:pPr>
      <w:bookmarkStart w:id="3" w:name="_Toc515545415"/>
      <w:bookmarkStart w:id="4" w:name="_Toc461096452"/>
      <w:r>
        <w:rPr>
          <w:rFonts w:hint="eastAsia"/>
          <w:lang w:eastAsia="zh-CN"/>
        </w:rPr>
        <w:t>七、</w:t>
      </w:r>
      <w:r>
        <w:t>其他</w:t>
      </w:r>
      <w:bookmarkEnd w:id="3"/>
      <w:bookmarkEnd w:id="4"/>
    </w:p>
    <w:p>
      <w:pPr>
        <w:pStyle w:val="11"/>
        <w:widowControl/>
        <w:numPr>
          <w:ilvl w:val="0"/>
          <w:numId w:val="0"/>
        </w:numPr>
        <w:ind w:left="0" w:leftChars="0" w:firstLine="616"/>
        <w:rPr>
          <w:rFonts w:ascii="Times New Roman" w:hAnsi="Times New Roman" w:eastAsia="仿宋_GB2312" w:cs="仿宋_GB2312"/>
          <w:b w:val="0"/>
          <w:color w:val="000000" w:themeColor="text1"/>
          <w:sz w:val="32"/>
          <w:szCs w:val="32"/>
          <w14:textFill>
            <w14:solidFill>
              <w14:schemeClr w14:val="tx1"/>
            </w14:solidFill>
          </w14:textFill>
        </w:rPr>
      </w:pPr>
      <w:r>
        <w:rPr>
          <w:rFonts w:hint="eastAsia" w:cs="仿宋_GB2312"/>
          <w:color w:val="000000" w:themeColor="text1"/>
          <w:sz w:val="32"/>
          <w:szCs w:val="32"/>
          <w:lang w:eastAsia="zh-CN"/>
          <w14:textFill>
            <w14:solidFill>
              <w14:schemeClr w14:val="tx1"/>
            </w14:solidFill>
          </w14:textFill>
        </w:rPr>
        <w:t>1.</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14:textFill>
            <w14:solidFill>
              <w14:schemeClr w14:val="tx1"/>
            </w14:solidFill>
          </w14:textFill>
        </w:rPr>
        <w:t>能认真遵守相关质量管理要求，能无条件接受采购人的管理及质量检查，出现质量问题时采购人有权拒绝</w:t>
      </w:r>
      <w:r>
        <w:rPr>
          <w:rFonts w:hint="eastAsia" w:cs="仿宋_GB2312"/>
          <w:color w:val="000000" w:themeColor="text1"/>
          <w:sz w:val="32"/>
          <w:szCs w:val="32"/>
          <w:lang w:eastAsia="zh-CN"/>
          <w14:textFill>
            <w14:solidFill>
              <w14:schemeClr w14:val="tx1"/>
            </w14:solidFill>
          </w14:textFill>
        </w:rPr>
        <w:t>承担</w:t>
      </w:r>
      <w:r>
        <w:rPr>
          <w:rFonts w:ascii="Times New Roman" w:hAnsi="Times New Roman" w:eastAsia="仿宋_GB2312" w:cs="仿宋_GB2312"/>
          <w:color w:val="000000" w:themeColor="text1"/>
          <w:sz w:val="32"/>
          <w:szCs w:val="32"/>
          <w14:textFill>
            <w14:solidFill>
              <w14:schemeClr w14:val="tx1"/>
            </w14:solidFill>
          </w14:textFill>
        </w:rPr>
        <w:t>相关费用。</w:t>
      </w:r>
    </w:p>
    <w:p>
      <w:pPr>
        <w:pStyle w:val="11"/>
        <w:widowControl/>
        <w:numPr>
          <w:ilvl w:val="0"/>
          <w:numId w:val="0"/>
        </w:numPr>
        <w:ind w:left="0" w:leftChars="0" w:firstLine="616"/>
        <w:rPr>
          <w:rFonts w:ascii="Times New Roman" w:hAnsi="Times New Roman" w:eastAsia="仿宋_GB2312" w:cs="仿宋_GB2312"/>
          <w:b w:val="0"/>
          <w:color w:val="000000" w:themeColor="text1"/>
          <w:sz w:val="32"/>
          <w:szCs w:val="32"/>
          <w14:textFill>
            <w14:solidFill>
              <w14:schemeClr w14:val="tx1"/>
            </w14:solidFill>
          </w14:textFill>
        </w:rPr>
      </w:pPr>
      <w:r>
        <w:rPr>
          <w:rFonts w:hint="eastAsia" w:cs="仿宋_GB2312"/>
          <w:color w:val="000000" w:themeColor="text1"/>
          <w:sz w:val="32"/>
          <w:szCs w:val="32"/>
          <w:lang w:eastAsia="zh-CN"/>
          <w14:textFill>
            <w14:solidFill>
              <w14:schemeClr w14:val="tx1"/>
            </w14:solidFill>
          </w14:textFill>
        </w:rPr>
        <w:t>2.</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14:textFill>
            <w14:solidFill>
              <w14:schemeClr w14:val="tx1"/>
            </w14:solidFill>
          </w14:textFill>
        </w:rPr>
        <w:t>检测时，遇有异常数据，能及时上报采购人，未及时上报的，扣除当次检测费用。</w:t>
      </w:r>
    </w:p>
    <w:p>
      <w:pPr>
        <w:pStyle w:val="11"/>
        <w:widowControl/>
        <w:numPr>
          <w:ilvl w:val="0"/>
          <w:numId w:val="0"/>
        </w:numPr>
        <w:ind w:left="0" w:leftChars="0" w:firstLine="616"/>
        <w:rPr>
          <w:rFonts w:ascii="Times New Roman" w:hAnsi="Times New Roman" w:eastAsia="仿宋_GB2312" w:cs="仿宋_GB2312"/>
          <w:b w:val="0"/>
          <w:color w:val="000000" w:themeColor="text1"/>
          <w:sz w:val="32"/>
          <w:szCs w:val="32"/>
          <w14:textFill>
            <w14:solidFill>
              <w14:schemeClr w14:val="tx1"/>
            </w14:solidFill>
          </w14:textFill>
        </w:rPr>
      </w:pPr>
      <w:r>
        <w:rPr>
          <w:rFonts w:hint="eastAsia" w:cs="仿宋_GB2312"/>
          <w:color w:val="000000" w:themeColor="text1"/>
          <w:sz w:val="32"/>
          <w:szCs w:val="32"/>
          <w:lang w:eastAsia="zh-CN"/>
          <w14:textFill>
            <w14:solidFill>
              <w14:schemeClr w14:val="tx1"/>
            </w14:solidFill>
          </w14:textFill>
        </w:rPr>
        <w:t>3.</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14:textFill>
            <w14:solidFill>
              <w14:schemeClr w14:val="tx1"/>
            </w14:solidFill>
          </w14:textFill>
        </w:rPr>
        <w:t>必须无条件参加省级以上市场监督管理部门、环境保护主管部门组织的环境类分析项目能力验证和采购人组织的实验室能力验证，每项次不满意结果，按考核办法扣除相应费用。</w:t>
      </w:r>
    </w:p>
    <w:p>
      <w:pPr>
        <w:pStyle w:val="11"/>
        <w:widowControl/>
        <w:numPr>
          <w:ilvl w:val="0"/>
          <w:numId w:val="0"/>
        </w:numPr>
        <w:ind w:left="0" w:leftChars="0" w:firstLine="616"/>
        <w:rPr>
          <w:rFonts w:ascii="Times New Roman" w:hAnsi="Times New Roman" w:eastAsia="仿宋_GB2312" w:cs="仿宋_GB2312"/>
          <w:b w:val="0"/>
          <w:color w:val="000000" w:themeColor="text1"/>
          <w:sz w:val="32"/>
          <w:szCs w:val="32"/>
          <w14:textFill>
            <w14:solidFill>
              <w14:schemeClr w14:val="tx1"/>
            </w14:solidFill>
          </w14:textFill>
        </w:rPr>
      </w:pPr>
      <w:r>
        <w:rPr>
          <w:rFonts w:hint="eastAsia" w:cs="仿宋_GB2312"/>
          <w:color w:val="000000" w:themeColor="text1"/>
          <w:sz w:val="32"/>
          <w:szCs w:val="32"/>
          <w:lang w:eastAsia="zh-CN"/>
          <w14:textFill>
            <w14:solidFill>
              <w14:schemeClr w14:val="tx1"/>
            </w14:solidFill>
          </w14:textFill>
        </w:rPr>
        <w:t>4.</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14:textFill>
            <w14:solidFill>
              <w14:schemeClr w14:val="tx1"/>
            </w14:solidFill>
          </w14:textFill>
        </w:rPr>
        <w:t>在各类质量检查中，出现严重影响数据可靠性情况的，采购人有权暂停其服务资格，待整改合格并经采购人认可后，方可继续提供服务。</w:t>
      </w:r>
    </w:p>
    <w:p>
      <w:pPr>
        <w:pStyle w:val="11"/>
        <w:widowControl/>
        <w:numPr>
          <w:ilvl w:val="0"/>
          <w:numId w:val="0"/>
        </w:numPr>
        <w:ind w:left="0" w:leftChars="0" w:firstLine="616"/>
        <w:rPr>
          <w:rFonts w:ascii="Times New Roman" w:hAnsi="Times New Roman" w:eastAsia="仿宋_GB2312" w:cs="仿宋_GB2312"/>
          <w:b w:val="0"/>
          <w:color w:val="000000" w:themeColor="text1"/>
          <w:sz w:val="32"/>
          <w:szCs w:val="32"/>
          <w14:textFill>
            <w14:solidFill>
              <w14:schemeClr w14:val="tx1"/>
            </w14:solidFill>
          </w14:textFill>
        </w:rPr>
      </w:pPr>
      <w:r>
        <w:rPr>
          <w:rFonts w:hint="eastAsia" w:cs="仿宋_GB2312"/>
          <w:color w:val="000000" w:themeColor="text1"/>
          <w:sz w:val="32"/>
          <w:szCs w:val="32"/>
          <w:lang w:eastAsia="zh-CN"/>
          <w14:textFill>
            <w14:solidFill>
              <w14:schemeClr w14:val="tx1"/>
            </w14:solidFill>
          </w14:textFill>
        </w:rPr>
        <w:t>5.</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14:textFill>
            <w14:solidFill>
              <w14:schemeClr w14:val="tx1"/>
            </w14:solidFill>
          </w14:textFill>
        </w:rPr>
        <w:t>中标供应商有下列行为之一的，将被暂停服务资格。（一）无正当理由拒绝承担检测工作超过3次的；（二）未在规定期限内提交检测报告（数据）超过3次的；（三）检测报告内容结论失实，或者一年内质量被评定为2次（含）以上不合格的；（四）违规收取被检测单位费用的。</w:t>
      </w:r>
    </w:p>
    <w:p>
      <w:pPr>
        <w:pStyle w:val="11"/>
        <w:widowControl/>
        <w:numPr>
          <w:ilvl w:val="0"/>
          <w:numId w:val="0"/>
        </w:numPr>
        <w:ind w:left="0" w:leftChars="0" w:firstLine="616"/>
        <w:rPr>
          <w:rFonts w:ascii="Times New Roman" w:hAnsi="Times New Roman" w:eastAsia="仿宋_GB2312" w:cs="仿宋_GB2312"/>
          <w:b w:val="0"/>
          <w:color w:val="000000" w:themeColor="text1"/>
          <w:sz w:val="32"/>
          <w:szCs w:val="32"/>
          <w14:textFill>
            <w14:solidFill>
              <w14:schemeClr w14:val="tx1"/>
            </w14:solidFill>
          </w14:textFill>
        </w:rPr>
      </w:pPr>
      <w:r>
        <w:rPr>
          <w:rFonts w:hint="eastAsia" w:cs="仿宋_GB2312"/>
          <w:color w:val="000000" w:themeColor="text1"/>
          <w:sz w:val="32"/>
          <w:szCs w:val="32"/>
          <w:lang w:eastAsia="zh-CN"/>
          <w14:textFill>
            <w14:solidFill>
              <w14:schemeClr w14:val="tx1"/>
            </w14:solidFill>
          </w14:textFill>
        </w:rPr>
        <w:t>6.</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14:textFill>
            <w14:solidFill>
              <w14:schemeClr w14:val="tx1"/>
            </w14:solidFill>
          </w14:textFill>
        </w:rPr>
        <w:t>签订合同时，甲方会</w:t>
      </w:r>
      <w:r>
        <w:rPr>
          <w:rFonts w:hint="eastAsia" w:cs="仿宋_GB2312"/>
          <w:color w:val="000000" w:themeColor="text1"/>
          <w:sz w:val="32"/>
          <w:szCs w:val="32"/>
          <w:lang w:eastAsia="zh-CN"/>
          <w14:textFill>
            <w14:solidFill>
              <w14:schemeClr w14:val="tx1"/>
            </w14:solidFill>
          </w14:textFill>
        </w:rPr>
        <w:t>设置</w:t>
      </w:r>
      <w:r>
        <w:rPr>
          <w:rFonts w:ascii="Times New Roman" w:hAnsi="Times New Roman" w:eastAsia="仿宋_GB2312" w:cs="仿宋_GB2312"/>
          <w:color w:val="000000" w:themeColor="text1"/>
          <w:sz w:val="32"/>
          <w:szCs w:val="32"/>
          <w14:textFill>
            <w14:solidFill>
              <w14:schemeClr w14:val="tx1"/>
            </w14:solidFill>
          </w14:textFill>
        </w:rPr>
        <w:t>考核条款，需要按照甲方考核标准执行。</w:t>
      </w:r>
    </w:p>
    <w:p>
      <w:pPr>
        <w:pStyle w:val="11"/>
        <w:widowControl/>
        <w:numPr>
          <w:ilvl w:val="0"/>
          <w:numId w:val="0"/>
        </w:numPr>
        <w:ind w:left="0" w:leftChars="0" w:firstLine="616"/>
        <w:rPr>
          <w:rFonts w:ascii="宋体" w:hAnsi="宋体" w:eastAsia="宋体" w:cs="仿宋"/>
          <w:lang w:eastAsia="zh-CN"/>
        </w:rPr>
      </w:pPr>
      <w:r>
        <w:rPr>
          <w:rFonts w:hint="eastAsia" w:cs="仿宋_GB2312"/>
          <w:color w:val="000000" w:themeColor="text1"/>
          <w:sz w:val="32"/>
          <w:szCs w:val="32"/>
          <w:lang w:eastAsia="zh-CN"/>
          <w14:textFill>
            <w14:solidFill>
              <w14:schemeClr w14:val="tx1"/>
            </w14:solidFill>
          </w14:textFill>
        </w:rPr>
        <w:t>7.</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ascii="Times New Roman" w:hAnsi="Times New Roman" w:eastAsia="仿宋_GB2312" w:cs="仿宋_GB2312"/>
          <w:color w:val="000000" w:themeColor="text1"/>
          <w:sz w:val="32"/>
          <w:szCs w:val="32"/>
          <w14:textFill>
            <w14:solidFill>
              <w14:schemeClr w14:val="tx1"/>
            </w14:solidFill>
          </w14:textFill>
        </w:rPr>
        <w:t xml:space="preserve">中标供应商的监测数据只向江宁生态环境局提供，不得自行提供给其他单位。对提供不实或内容虚假的监测结果以及自行对外提供监测报告的，除由中标供应商自行承担法律责任外，江宁生态环境局可采取必要措施终止委托监测，情节严重的，依法提请有关部门追究中标供应商和相关责任人的行政及法律责任。 </w:t>
      </w:r>
    </w:p>
    <w:p>
      <w:pPr>
        <w:pStyle w:val="2"/>
        <w:numPr>
          <w:ilvl w:val="0"/>
          <w:numId w:val="0"/>
        </w:numPr>
        <w:topLinePunct w:val="0"/>
        <w:bidi w:val="0"/>
        <w:ind w:left="0" w:leftChars="0" w:firstLine="640"/>
        <w:rPr>
          <w:b w:val="0"/>
        </w:rPr>
        <w:sectPr>
          <w:headerReference r:id="rId5" w:type="default"/>
          <w:footerReference r:id="rId6" w:type="default"/>
          <w:type w:val="continuous"/>
          <w:pgSz w:w="11906" w:h="16838"/>
          <w:pgMar w:top="2098" w:right="1474" w:bottom="1984" w:left="1587" w:header="851" w:footer="1417" w:gutter="0"/>
          <w:pgNumType w:fmt="decimal" w:start="1"/>
          <w:cols w:space="425" w:num="1"/>
          <w:docGrid w:type="lines" w:linePitch="312" w:charSpace="0"/>
        </w:sectPr>
      </w:pPr>
      <w:r>
        <w:rPr>
          <w:rFonts w:hint="eastAsia"/>
          <w:lang w:eastAsia="zh-CN"/>
        </w:rPr>
        <w:t>八、</w:t>
      </w:r>
      <w:r>
        <w:t>考核标准</w:t>
      </w:r>
    </w:p>
    <w:p>
      <w:pPr>
        <w:pStyle w:val="15"/>
        <w:widowControl/>
      </w:pPr>
      <mc:AlternateContent>
        <mc:Choice Requires="wpsCustomData">
          <wpsCustomData:docfieldStart id="0" docfieldname="标题_2" hidden="false" print="true" readonly="false" index="2"/>
        </mc:Choice>
      </mc:AlternateContent>
      <w:r>
        <w:t>南京市江宁生态环境局环境监测第三方检测机构考核表</w:t>
      </w:r>
      <mc:AlternateContent>
        <mc:Choice Requires="wpsCustomData">
          <wpsCustomData:docfieldEnd id="0"/>
        </mc:Choice>
      </mc:AlternateContent>
    </w:p>
    <w:p>
      <w:pPr>
        <w:pStyle w:val="11"/>
        <w:bidi w:val="0"/>
        <w:spacing w:beforeAutospacing="0" w:afterAutospacing="0" w:line="300" w:lineRule="exact"/>
      </w:pPr>
    </w:p>
    <w:p>
      <w:pPr>
        <w:pStyle w:val="11"/>
        <w:widowControl/>
        <w:rPr>
          <w:rFonts w:ascii="Times New Roman" w:hAnsi="Times New Roman" w:eastAsia="仿宋_GB2312" w:cs="仿宋_GB2312"/>
          <w:sz w:val="32"/>
          <w:szCs w:val="32"/>
          <w:highlight w:val="yellow"/>
        </w:rPr>
      </w:pPr>
      <w:r>
        <w:rPr>
          <w:rFonts w:ascii="Times New Roman" w:hAnsi="Times New Roman" w:eastAsia="仿宋_GB2312" w:cs="仿宋_GB2312"/>
          <w:sz w:val="32"/>
          <w:szCs w:val="32"/>
        </w:rPr>
        <w:t>（     ）</w:t>
      </w:r>
    </w:p>
    <w:tbl>
      <w:tblPr>
        <w:tblStyle w:val="16"/>
        <w:tblpPr w:leftFromText="180" w:rightFromText="180" w:vertAnchor="text" w:horzAnchor="margin" w:tblpXSpec="center" w:tblpY="429"/>
        <w:tblW w:w="13020" w:type="dxa"/>
        <w:tblInd w:w="0" w:type="dxa"/>
        <w:tblLayout w:type="autofit"/>
        <w:tblCellMar>
          <w:top w:w="0" w:type="dxa"/>
          <w:left w:w="108" w:type="dxa"/>
          <w:bottom w:w="0" w:type="dxa"/>
          <w:right w:w="108" w:type="dxa"/>
        </w:tblCellMar>
      </w:tblPr>
      <w:tblGrid>
        <w:gridCol w:w="1060"/>
        <w:gridCol w:w="660"/>
        <w:gridCol w:w="1680"/>
        <w:gridCol w:w="3980"/>
        <w:gridCol w:w="2260"/>
        <w:gridCol w:w="2340"/>
        <w:gridCol w:w="1040"/>
      </w:tblGrid>
      <w:tr>
        <w:tblPrEx>
          <w:tblCellMar>
            <w:top w:w="0" w:type="dxa"/>
            <w:left w:w="108" w:type="dxa"/>
            <w:bottom w:w="0" w:type="dxa"/>
            <w:right w:w="108" w:type="dxa"/>
          </w:tblCellMar>
        </w:tblPrEx>
        <w:trPr>
          <w:trHeight w:val="450" w:hRule="atLeast"/>
        </w:trPr>
        <w:tc>
          <w:tcPr>
            <w:tcW w:w="1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检验检测机构名称</w:t>
            </w:r>
          </w:p>
        </w:tc>
        <w:tc>
          <w:tcPr>
            <w:tcW w:w="11300" w:type="dxa"/>
            <w:gridSpan w:val="5"/>
            <w:tcBorders>
              <w:top w:val="single" w:color="auto" w:sz="4" w:space="0"/>
              <w:left w:val="nil"/>
              <w:bottom w:val="single" w:color="auto" w:sz="4" w:space="0"/>
              <w:right w:val="single" w:color="000000" w:sz="4" w:space="0"/>
            </w:tcBorders>
            <w:vAlign w:val="center"/>
          </w:tcPr>
          <w:p>
            <w:pPr>
              <w:jc w:val="center"/>
              <w:rPr>
                <w:rFonts w:ascii="宋体" w:hAnsi="宋体" w:eastAsia="宋体"/>
              </w:rPr>
            </w:pPr>
            <w:r>
              <w:rPr>
                <w:rFonts w:hint="eastAsia" w:ascii="宋体" w:hAnsi="宋体" w:eastAsia="宋体"/>
              </w:rPr>
              <w:t>　</w:t>
            </w:r>
          </w:p>
        </w:tc>
      </w:tr>
      <w:tr>
        <w:tblPrEx>
          <w:tblCellMar>
            <w:top w:w="0" w:type="dxa"/>
            <w:left w:w="108" w:type="dxa"/>
            <w:bottom w:w="0" w:type="dxa"/>
            <w:right w:w="108" w:type="dxa"/>
          </w:tblCellMar>
        </w:tblPrEx>
        <w:trPr>
          <w:trHeight w:val="450" w:hRule="atLeast"/>
        </w:trPr>
        <w:tc>
          <w:tcPr>
            <w:tcW w:w="1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联系人姓名、职务</w:t>
            </w:r>
          </w:p>
        </w:tc>
        <w:tc>
          <w:tcPr>
            <w:tcW w:w="566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olor w:val="000000"/>
              </w:rPr>
            </w:pPr>
            <w:r>
              <w:rPr>
                <w:rFonts w:hint="eastAsia" w:ascii="宋体" w:hAnsi="宋体" w:eastAsia="宋体"/>
                <w:color w:val="000000"/>
              </w:rPr>
              <w:t>　</w:t>
            </w:r>
          </w:p>
        </w:tc>
        <w:tc>
          <w:tcPr>
            <w:tcW w:w="2260" w:type="dxa"/>
            <w:tcBorders>
              <w:top w:val="nil"/>
              <w:left w:val="nil"/>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电话、手机号</w:t>
            </w:r>
          </w:p>
        </w:tc>
        <w:tc>
          <w:tcPr>
            <w:tcW w:w="3380" w:type="dxa"/>
            <w:gridSpan w:val="2"/>
            <w:tcBorders>
              <w:top w:val="single" w:color="auto" w:sz="4" w:space="0"/>
              <w:left w:val="nil"/>
              <w:bottom w:val="single" w:color="auto" w:sz="4" w:space="0"/>
              <w:right w:val="single" w:color="000000" w:sz="4" w:space="0"/>
            </w:tcBorders>
            <w:vAlign w:val="center"/>
          </w:tcPr>
          <w:p>
            <w:pPr>
              <w:jc w:val="center"/>
              <w:rPr>
                <w:rFonts w:ascii="宋体" w:hAnsi="宋体" w:eastAsia="宋体"/>
              </w:rPr>
            </w:pPr>
            <w:r>
              <w:rPr>
                <w:rFonts w:hint="eastAsia" w:ascii="宋体" w:hAnsi="宋体" w:eastAsia="宋体"/>
              </w:rPr>
              <w:t>　</w:t>
            </w:r>
          </w:p>
        </w:tc>
      </w:tr>
      <w:tr>
        <w:tblPrEx>
          <w:tblCellMar>
            <w:top w:w="0" w:type="dxa"/>
            <w:left w:w="108" w:type="dxa"/>
            <w:bottom w:w="0" w:type="dxa"/>
            <w:right w:w="108" w:type="dxa"/>
          </w:tblCellMar>
        </w:tblPrEx>
        <w:trPr>
          <w:trHeight w:val="570" w:hRule="atLeast"/>
        </w:trPr>
        <w:tc>
          <w:tcPr>
            <w:tcW w:w="1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lang w:eastAsia="zh-CN"/>
              </w:rPr>
            </w:pPr>
            <w:r>
              <w:rPr>
                <w:rFonts w:hint="eastAsia" w:ascii="宋体" w:hAnsi="宋体" w:eastAsia="宋体"/>
                <w:lang w:eastAsia="zh-CN"/>
              </w:rPr>
              <w:t>资质认定（计量认证）证书编号</w:t>
            </w:r>
          </w:p>
        </w:tc>
        <w:tc>
          <w:tcPr>
            <w:tcW w:w="5660" w:type="dxa"/>
            <w:gridSpan w:val="2"/>
            <w:tcBorders>
              <w:top w:val="single" w:color="auto" w:sz="4" w:space="0"/>
              <w:left w:val="nil"/>
              <w:bottom w:val="single" w:color="auto" w:sz="4" w:space="0"/>
              <w:right w:val="single" w:color="auto" w:sz="4" w:space="0"/>
            </w:tcBorders>
            <w:vAlign w:val="bottom"/>
          </w:tcPr>
          <w:p>
            <w:pPr>
              <w:jc w:val="center"/>
              <w:rPr>
                <w:rFonts w:ascii="宋体" w:hAnsi="宋体" w:eastAsia="宋体"/>
                <w:color w:val="000000"/>
                <w:lang w:eastAsia="zh-CN"/>
              </w:rPr>
            </w:pPr>
            <w:r>
              <w:rPr>
                <w:rFonts w:hint="eastAsia" w:ascii="宋体" w:hAnsi="宋体" w:eastAsia="宋体"/>
                <w:color w:val="000000"/>
                <w:lang w:eastAsia="zh-CN"/>
              </w:rPr>
              <w:t>　</w:t>
            </w:r>
          </w:p>
        </w:tc>
        <w:tc>
          <w:tcPr>
            <w:tcW w:w="2260" w:type="dxa"/>
            <w:tcBorders>
              <w:top w:val="nil"/>
              <w:left w:val="nil"/>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证书有效期</w:t>
            </w:r>
          </w:p>
        </w:tc>
        <w:tc>
          <w:tcPr>
            <w:tcW w:w="338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olor w:val="000000"/>
              </w:rPr>
            </w:pPr>
            <w:r>
              <w:rPr>
                <w:rFonts w:hint="eastAsia" w:ascii="宋体" w:hAnsi="宋体" w:eastAsia="宋体"/>
                <w:color w:val="000000"/>
              </w:rPr>
              <w:t xml:space="preserve">  年   月   日至   年   月   日</w:t>
            </w:r>
          </w:p>
        </w:tc>
      </w:tr>
      <w:tr>
        <w:tblPrEx>
          <w:tblCellMar>
            <w:top w:w="0" w:type="dxa"/>
            <w:left w:w="108" w:type="dxa"/>
            <w:bottom w:w="0" w:type="dxa"/>
            <w:right w:w="108" w:type="dxa"/>
          </w:tblCellMar>
        </w:tblPrEx>
        <w:trPr>
          <w:trHeight w:val="450" w:hRule="atLeast"/>
        </w:trPr>
        <w:tc>
          <w:tcPr>
            <w:tcW w:w="1720"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eastAsia="宋体"/>
              </w:rPr>
            </w:pPr>
            <w:r>
              <w:rPr>
                <w:rFonts w:hint="eastAsia" w:ascii="宋体" w:hAnsi="宋体" w:eastAsia="宋体"/>
              </w:rPr>
              <w:t>检查组人员名单</w:t>
            </w:r>
          </w:p>
        </w:tc>
        <w:tc>
          <w:tcPr>
            <w:tcW w:w="5660" w:type="dxa"/>
            <w:gridSpan w:val="2"/>
            <w:tcBorders>
              <w:top w:val="single" w:color="auto" w:sz="4" w:space="0"/>
              <w:left w:val="nil"/>
              <w:bottom w:val="single" w:color="auto" w:sz="4" w:space="0"/>
              <w:right w:val="single" w:color="000000" w:sz="4" w:space="0"/>
            </w:tcBorders>
            <w:noWrap/>
            <w:vAlign w:val="bottom"/>
          </w:tcPr>
          <w:p>
            <w:pPr>
              <w:jc w:val="center"/>
              <w:rPr>
                <w:rFonts w:ascii="宋体" w:hAnsi="宋体" w:eastAsia="宋体"/>
                <w:color w:val="000000"/>
              </w:rPr>
            </w:pPr>
            <w:r>
              <w:rPr>
                <w:rFonts w:hint="eastAsia" w:ascii="宋体" w:hAnsi="宋体" w:eastAsia="宋体"/>
                <w:color w:val="000000"/>
              </w:rPr>
              <w:t>　</w:t>
            </w:r>
          </w:p>
        </w:tc>
        <w:tc>
          <w:tcPr>
            <w:tcW w:w="2260" w:type="dxa"/>
            <w:tcBorders>
              <w:top w:val="nil"/>
              <w:left w:val="nil"/>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检查时间</w:t>
            </w:r>
          </w:p>
        </w:tc>
        <w:tc>
          <w:tcPr>
            <w:tcW w:w="3380" w:type="dxa"/>
            <w:gridSpan w:val="2"/>
            <w:tcBorders>
              <w:top w:val="single" w:color="auto" w:sz="4" w:space="0"/>
              <w:left w:val="nil"/>
              <w:bottom w:val="single" w:color="auto" w:sz="4" w:space="0"/>
              <w:right w:val="single" w:color="000000" w:sz="4" w:space="0"/>
            </w:tcBorders>
            <w:vAlign w:val="center"/>
          </w:tcPr>
          <w:p>
            <w:pPr>
              <w:jc w:val="center"/>
              <w:rPr>
                <w:rFonts w:ascii="宋体" w:hAnsi="宋体" w:eastAsia="宋体"/>
              </w:rPr>
            </w:pPr>
            <w:r>
              <w:rPr>
                <w:rFonts w:hint="eastAsia" w:ascii="宋体" w:hAnsi="宋体" w:eastAsia="宋体"/>
              </w:rPr>
              <w:t>　</w:t>
            </w:r>
          </w:p>
        </w:tc>
      </w:tr>
      <w:tr>
        <w:tblPrEx>
          <w:tblCellMar>
            <w:top w:w="0" w:type="dxa"/>
            <w:left w:w="108" w:type="dxa"/>
            <w:bottom w:w="0" w:type="dxa"/>
            <w:right w:w="108" w:type="dxa"/>
          </w:tblCellMar>
        </w:tblPrEx>
        <w:trPr>
          <w:trHeight w:val="270" w:hRule="atLeast"/>
        </w:trPr>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考核分类</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rPr>
            </w:pPr>
            <w:r>
              <w:rPr>
                <w:rFonts w:hint="eastAsia" w:ascii="宋体" w:hAnsi="宋体" w:eastAsia="宋体"/>
                <w:color w:val="000000"/>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考核项目</w:t>
            </w:r>
          </w:p>
        </w:tc>
        <w:tc>
          <w:tcPr>
            <w:tcW w:w="3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考核要点</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扣款标准</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lang w:eastAsia="zh-CN"/>
              </w:rPr>
            </w:pPr>
            <w:r>
              <w:rPr>
                <w:rFonts w:hint="eastAsia" w:ascii="宋体" w:hAnsi="宋体" w:eastAsia="宋体"/>
                <w:lang w:eastAsia="zh-CN"/>
              </w:rPr>
              <w:t>考核结果描述</w:t>
            </w:r>
          </w:p>
          <w:p>
            <w:pPr>
              <w:jc w:val="center"/>
              <w:rPr>
                <w:rFonts w:ascii="宋体" w:hAnsi="宋体" w:eastAsia="宋体"/>
                <w:lang w:eastAsia="zh-CN"/>
              </w:rPr>
            </w:pPr>
            <w:r>
              <w:rPr>
                <w:rFonts w:hint="eastAsia" w:ascii="宋体" w:hAnsi="宋体" w:eastAsia="宋体"/>
                <w:lang w:eastAsia="zh-CN"/>
              </w:rPr>
              <w:t>（符合／不符合）</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扣款数额（元）</w:t>
            </w:r>
          </w:p>
        </w:tc>
      </w:tr>
      <w:tr>
        <w:tblPrEx>
          <w:tblCellMar>
            <w:top w:w="0" w:type="dxa"/>
            <w:left w:w="108" w:type="dxa"/>
            <w:bottom w:w="0" w:type="dxa"/>
            <w:right w:w="108" w:type="dxa"/>
          </w:tblCellMar>
        </w:tblPrEx>
        <w:trPr>
          <w:trHeight w:val="1238"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rPr>
            </w:pPr>
            <w:r>
              <w:rPr>
                <w:rFonts w:hint="eastAsia" w:ascii="宋体" w:hAnsi="宋体" w:eastAsia="宋体"/>
                <w:color w:val="000000"/>
              </w:rPr>
              <w:t>一、监测报告质量</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1</w:t>
            </w:r>
          </w:p>
          <w:p>
            <w:pPr>
              <w:jc w:val="center"/>
              <w:rPr>
                <w:rFonts w:ascii="宋体" w:hAnsi="宋体" w:eastAsia="宋体" w:cs="Times New Roman"/>
                <w:color w:val="000000"/>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报告时效性</w:t>
            </w:r>
          </w:p>
        </w:tc>
        <w:tc>
          <w:tcPr>
            <w:tcW w:w="3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lang w:eastAsia="zh-CN"/>
              </w:rPr>
            </w:pPr>
            <w:r>
              <w:rPr>
                <w:rFonts w:hint="eastAsia" w:ascii="宋体" w:hAnsi="宋体" w:eastAsia="宋体"/>
                <w:lang w:eastAsia="zh-CN"/>
              </w:rPr>
              <w:t>三天出数据、五天出报告，特殊情况即出即报。</w:t>
            </w:r>
          </w:p>
        </w:tc>
        <w:tc>
          <w:tcPr>
            <w:tcW w:w="2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r>
              <w:rPr>
                <w:rFonts w:hint="eastAsia" w:ascii="宋体" w:hAnsi="宋体" w:eastAsia="宋体"/>
              </w:rPr>
              <w:t>1</w:t>
            </w:r>
            <w:r>
              <w:rPr>
                <w:rFonts w:ascii="宋体" w:hAnsi="宋体" w:eastAsia="宋体"/>
              </w:rPr>
              <w:t>000</w:t>
            </w:r>
            <w:r>
              <w:rPr>
                <w:rFonts w:hint="eastAsia" w:ascii="宋体" w:hAnsi="宋体" w:eastAsia="宋体"/>
                <w:lang w:eastAsia="zh-CN"/>
              </w:rPr>
              <w:t>－</w:t>
            </w:r>
            <w:r>
              <w:rPr>
                <w:rFonts w:hint="eastAsia" w:ascii="宋体" w:hAnsi="宋体" w:eastAsia="宋体"/>
              </w:rPr>
              <w:t>2</w:t>
            </w:r>
            <w:r>
              <w:rPr>
                <w:rFonts w:ascii="宋体" w:hAnsi="宋体" w:eastAsia="宋体"/>
              </w:rPr>
              <w:t>000</w:t>
            </w:r>
            <w:r>
              <w:rPr>
                <w:rFonts w:hint="eastAsia" w:ascii="宋体" w:hAnsi="宋体" w:eastAsia="宋体"/>
              </w:rPr>
              <w:t>元</w:t>
            </w:r>
            <w:r>
              <w:rPr>
                <w:rFonts w:hint="eastAsia" w:ascii="宋体" w:hAnsi="宋体" w:eastAsia="宋体"/>
                <w:lang w:eastAsia="zh-CN"/>
              </w:rPr>
              <w:t>／</w:t>
            </w:r>
            <w:r>
              <w:rPr>
                <w:rFonts w:hint="eastAsia" w:ascii="宋体" w:hAnsi="宋体" w:eastAsia="宋体"/>
              </w:rPr>
              <w:t>份</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r>
      <w:tr>
        <w:tblPrEx>
          <w:tblCellMar>
            <w:top w:w="0" w:type="dxa"/>
            <w:left w:w="108" w:type="dxa"/>
            <w:bottom w:w="0" w:type="dxa"/>
            <w:right w:w="108" w:type="dxa"/>
          </w:tblCellMar>
        </w:tblPrEx>
        <w:trPr>
          <w:trHeight w:val="480"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rPr>
            </w:pP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Times New Roman"/>
                <w:color w:val="000000"/>
              </w:rPr>
              <w:t>2</w:t>
            </w:r>
          </w:p>
        </w:tc>
        <w:tc>
          <w:tcPr>
            <w:tcW w:w="16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报告质量</w:t>
            </w:r>
          </w:p>
        </w:tc>
        <w:tc>
          <w:tcPr>
            <w:tcW w:w="3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lang w:eastAsia="zh-CN"/>
              </w:rPr>
            </w:pPr>
            <w:r>
              <w:rPr>
                <w:rFonts w:hint="eastAsia" w:ascii="宋体" w:hAnsi="宋体" w:eastAsia="宋体"/>
                <w:lang w:eastAsia="zh-CN"/>
              </w:rPr>
              <w:t>报告中是否出现单位名称、地址等错误。</w:t>
            </w:r>
          </w:p>
        </w:tc>
        <w:tc>
          <w:tcPr>
            <w:tcW w:w="2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r>
              <w:rPr>
                <w:rFonts w:hint="eastAsia" w:ascii="宋体" w:hAnsi="宋体" w:eastAsia="宋体"/>
              </w:rPr>
              <w:t>2</w:t>
            </w:r>
            <w:r>
              <w:rPr>
                <w:rFonts w:ascii="宋体" w:hAnsi="宋体" w:eastAsia="宋体"/>
              </w:rPr>
              <w:t>000</w:t>
            </w:r>
            <w:r>
              <w:rPr>
                <w:rFonts w:hint="eastAsia" w:ascii="宋体" w:hAnsi="宋体" w:eastAsia="宋体"/>
              </w:rPr>
              <w:t>元</w:t>
            </w:r>
            <w:r>
              <w:rPr>
                <w:rFonts w:hint="eastAsia" w:ascii="宋体" w:hAnsi="宋体" w:eastAsia="宋体"/>
                <w:lang w:eastAsia="zh-CN"/>
              </w:rPr>
              <w:t>／</w:t>
            </w:r>
            <w:r>
              <w:rPr>
                <w:rFonts w:hint="eastAsia" w:ascii="宋体" w:hAnsi="宋体" w:eastAsia="宋体"/>
              </w:rPr>
              <w:t>份</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r>
      <w:tr>
        <w:tblPrEx>
          <w:tblCellMar>
            <w:top w:w="0" w:type="dxa"/>
            <w:left w:w="108" w:type="dxa"/>
            <w:bottom w:w="0" w:type="dxa"/>
            <w:right w:w="108" w:type="dxa"/>
          </w:tblCellMar>
        </w:tblPrEx>
        <w:trPr>
          <w:trHeight w:val="480"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rPr>
            </w:pP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Times New Roman"/>
                <w:color w:val="000000"/>
              </w:rPr>
              <w:t>3</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p>
        </w:tc>
        <w:tc>
          <w:tcPr>
            <w:tcW w:w="3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lang w:eastAsia="zh-CN"/>
              </w:rPr>
            </w:pPr>
            <w:r>
              <w:rPr>
                <w:rFonts w:hint="eastAsia" w:ascii="宋体" w:hAnsi="宋体" w:eastAsia="宋体"/>
                <w:lang w:eastAsia="zh-CN"/>
              </w:rPr>
              <w:t>报告信息是否有缺漏，如：报告中点位图是否完整、正确。</w:t>
            </w:r>
          </w:p>
        </w:tc>
        <w:tc>
          <w:tcPr>
            <w:tcW w:w="2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r>
              <w:rPr>
                <w:rFonts w:hint="eastAsia" w:ascii="宋体" w:hAnsi="宋体" w:eastAsia="宋体"/>
              </w:rPr>
              <w:t>1</w:t>
            </w:r>
            <w:r>
              <w:rPr>
                <w:rFonts w:ascii="宋体" w:hAnsi="宋体" w:eastAsia="宋体"/>
              </w:rPr>
              <w:t>000</w:t>
            </w:r>
            <w:r>
              <w:rPr>
                <w:rFonts w:hint="eastAsia" w:ascii="宋体" w:hAnsi="宋体" w:eastAsia="宋体"/>
              </w:rPr>
              <w:t>元</w:t>
            </w:r>
            <w:r>
              <w:rPr>
                <w:rFonts w:hint="eastAsia" w:ascii="宋体" w:hAnsi="宋体" w:eastAsia="宋体"/>
                <w:lang w:eastAsia="zh-CN"/>
              </w:rPr>
              <w:t>／</w:t>
            </w:r>
            <w:r>
              <w:rPr>
                <w:rFonts w:hint="eastAsia" w:ascii="宋体" w:hAnsi="宋体" w:eastAsia="宋体"/>
              </w:rPr>
              <w:t>份</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r>
      <w:tr>
        <w:tblPrEx>
          <w:tblCellMar>
            <w:top w:w="0" w:type="dxa"/>
            <w:left w:w="108" w:type="dxa"/>
            <w:bottom w:w="0" w:type="dxa"/>
            <w:right w:w="108" w:type="dxa"/>
          </w:tblCellMar>
        </w:tblPrEx>
        <w:trPr>
          <w:trHeight w:val="90"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rPr>
            </w:pP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Times New Roman"/>
                <w:color w:val="000000"/>
              </w:rPr>
              <w:t>4</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p>
        </w:tc>
        <w:tc>
          <w:tcPr>
            <w:tcW w:w="39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lang w:eastAsia="zh-CN"/>
              </w:rPr>
            </w:pPr>
            <w:r>
              <w:rPr>
                <w:rFonts w:hint="eastAsia" w:ascii="宋体" w:hAnsi="宋体" w:eastAsia="宋体"/>
                <w:lang w:eastAsia="zh-CN"/>
              </w:rPr>
              <w:t>报告评价标准是否与排污许可证等相关文件一致。</w:t>
            </w:r>
          </w:p>
        </w:tc>
        <w:tc>
          <w:tcPr>
            <w:tcW w:w="2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rPr>
            </w:pPr>
            <w:r>
              <w:rPr>
                <w:rFonts w:hint="eastAsia" w:ascii="宋体" w:hAnsi="宋体" w:eastAsia="宋体"/>
              </w:rPr>
              <w:t>1</w:t>
            </w:r>
            <w:r>
              <w:rPr>
                <w:rFonts w:ascii="宋体" w:hAnsi="宋体" w:eastAsia="宋体"/>
              </w:rPr>
              <w:t>000</w:t>
            </w:r>
            <w:r>
              <w:rPr>
                <w:rFonts w:hint="eastAsia" w:ascii="宋体" w:hAnsi="宋体" w:eastAsia="宋体"/>
              </w:rPr>
              <w:t>元</w:t>
            </w:r>
            <w:r>
              <w:rPr>
                <w:rFonts w:hint="eastAsia" w:ascii="宋体" w:hAnsi="宋体" w:eastAsia="宋体"/>
                <w:lang w:eastAsia="zh-CN"/>
              </w:rPr>
              <w:t>／</w:t>
            </w:r>
            <w:r>
              <w:rPr>
                <w:rFonts w:hint="eastAsia" w:ascii="宋体" w:hAnsi="宋体" w:eastAsia="宋体"/>
              </w:rPr>
              <w:t>份</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r>
      <w:tr>
        <w:tblPrEx>
          <w:tblCellMar>
            <w:top w:w="0" w:type="dxa"/>
            <w:left w:w="108" w:type="dxa"/>
            <w:bottom w:w="0" w:type="dxa"/>
            <w:right w:w="108" w:type="dxa"/>
          </w:tblCellMar>
        </w:tblPrEx>
        <w:trPr>
          <w:trHeight w:val="480"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rPr>
            </w:pP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Times New Roman"/>
                <w:color w:val="000000"/>
              </w:rPr>
              <w:t>5</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p>
        </w:tc>
        <w:tc>
          <w:tcPr>
            <w:tcW w:w="3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lang w:eastAsia="zh-CN"/>
              </w:rPr>
            </w:pPr>
            <w:r>
              <w:rPr>
                <w:rFonts w:hint="eastAsia" w:ascii="宋体" w:hAnsi="宋体" w:eastAsia="宋体"/>
                <w:lang w:eastAsia="zh-CN"/>
              </w:rPr>
              <w:t>是否能及时完整地提供相关原始记录（监测记录及现场视频、照片等）。</w:t>
            </w:r>
          </w:p>
        </w:tc>
        <w:tc>
          <w:tcPr>
            <w:tcW w:w="2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r>
              <w:rPr>
                <w:rFonts w:hint="eastAsia" w:ascii="宋体" w:hAnsi="宋体" w:eastAsia="宋体"/>
              </w:rPr>
              <w:t>1</w:t>
            </w:r>
            <w:r>
              <w:rPr>
                <w:rFonts w:ascii="宋体" w:hAnsi="宋体" w:eastAsia="宋体"/>
              </w:rPr>
              <w:t>000</w:t>
            </w:r>
            <w:r>
              <w:rPr>
                <w:rFonts w:hint="eastAsia" w:ascii="宋体" w:hAnsi="宋体" w:eastAsia="宋体"/>
              </w:rPr>
              <w:t>元</w:t>
            </w:r>
            <w:r>
              <w:rPr>
                <w:rFonts w:hint="eastAsia" w:ascii="宋体" w:hAnsi="宋体" w:eastAsia="宋体"/>
                <w:lang w:eastAsia="zh-CN"/>
              </w:rPr>
              <w:t>／</w:t>
            </w:r>
            <w:r>
              <w:rPr>
                <w:rFonts w:hint="eastAsia" w:ascii="宋体" w:hAnsi="宋体" w:eastAsia="宋体"/>
              </w:rPr>
              <w:t>份</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r>
      <w:tr>
        <w:tblPrEx>
          <w:tblCellMar>
            <w:top w:w="0" w:type="dxa"/>
            <w:left w:w="108" w:type="dxa"/>
            <w:bottom w:w="0" w:type="dxa"/>
            <w:right w:w="108" w:type="dxa"/>
          </w:tblCellMar>
        </w:tblPrEx>
        <w:trPr>
          <w:trHeight w:val="90"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rPr>
            </w:pPr>
            <w:r>
              <w:rPr>
                <w:rFonts w:hint="eastAsia" w:ascii="宋体" w:hAnsi="宋体" w:eastAsia="宋体"/>
                <w:color w:val="000000"/>
              </w:rPr>
              <w:t>二、质控样品考核</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6</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盲样考核</w:t>
            </w:r>
          </w:p>
        </w:tc>
        <w:tc>
          <w:tcPr>
            <w:tcW w:w="3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lang w:eastAsia="zh-CN"/>
              </w:rPr>
            </w:pPr>
            <w:r>
              <w:rPr>
                <w:rFonts w:hint="eastAsia" w:ascii="宋体" w:hAnsi="宋体" w:eastAsia="宋体"/>
                <w:lang w:eastAsia="zh-CN"/>
              </w:rPr>
              <w:t>是否在规定时间内提交盲样结果报告及原始记录，且盲样结果合格。</w:t>
            </w:r>
          </w:p>
        </w:tc>
        <w:tc>
          <w:tcPr>
            <w:tcW w:w="2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r>
              <w:rPr>
                <w:rFonts w:hint="eastAsia" w:ascii="宋体" w:hAnsi="宋体" w:eastAsia="宋体"/>
              </w:rPr>
              <w:t>1</w:t>
            </w:r>
            <w:r>
              <w:rPr>
                <w:rFonts w:ascii="宋体" w:hAnsi="宋体" w:eastAsia="宋体"/>
              </w:rPr>
              <w:t>000</w:t>
            </w:r>
            <w:r>
              <w:rPr>
                <w:rFonts w:hint="eastAsia" w:ascii="宋体" w:hAnsi="宋体" w:eastAsia="宋体"/>
                <w:lang w:eastAsia="zh-CN"/>
              </w:rPr>
              <w:t>－</w:t>
            </w:r>
            <w:r>
              <w:rPr>
                <w:rFonts w:hint="eastAsia" w:ascii="宋体" w:hAnsi="宋体" w:eastAsia="宋体"/>
              </w:rPr>
              <w:t>2</w:t>
            </w:r>
            <w:r>
              <w:rPr>
                <w:rFonts w:ascii="宋体" w:hAnsi="宋体" w:eastAsia="宋体"/>
              </w:rPr>
              <w:t>000</w:t>
            </w:r>
            <w:r>
              <w:rPr>
                <w:rFonts w:hint="eastAsia" w:ascii="宋体" w:hAnsi="宋体" w:eastAsia="宋体"/>
              </w:rPr>
              <w:t>元</w:t>
            </w:r>
            <w:r>
              <w:rPr>
                <w:rFonts w:hint="eastAsia" w:ascii="宋体" w:hAnsi="宋体" w:eastAsia="宋体"/>
                <w:lang w:eastAsia="zh-CN"/>
              </w:rPr>
              <w:t>／</w:t>
            </w:r>
            <w:r>
              <w:rPr>
                <w:rFonts w:hint="eastAsia" w:ascii="宋体" w:hAnsi="宋体" w:eastAsia="宋体"/>
              </w:rPr>
              <w:t>个指标</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r>
      <w:tr>
        <w:tblPrEx>
          <w:tblCellMar>
            <w:top w:w="0" w:type="dxa"/>
            <w:left w:w="108" w:type="dxa"/>
            <w:bottom w:w="0" w:type="dxa"/>
            <w:right w:w="108" w:type="dxa"/>
          </w:tblCellMar>
        </w:tblPrEx>
        <w:trPr>
          <w:trHeight w:val="450"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rPr>
            </w:pP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7</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实验室间比对</w:t>
            </w:r>
          </w:p>
        </w:tc>
        <w:tc>
          <w:tcPr>
            <w:tcW w:w="3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lang w:eastAsia="zh-CN"/>
              </w:rPr>
            </w:pPr>
            <w:r>
              <w:rPr>
                <w:rFonts w:hint="eastAsia" w:ascii="宋体" w:hAnsi="宋体" w:eastAsia="宋体"/>
                <w:lang w:eastAsia="zh-CN"/>
              </w:rPr>
              <w:t>不少于3家实验室开展同步比对，偏差大于2</w:t>
            </w:r>
            <w:r>
              <w:rPr>
                <w:rFonts w:ascii="宋体" w:hAnsi="宋体" w:eastAsia="宋体"/>
                <w:lang w:eastAsia="zh-CN"/>
              </w:rPr>
              <w:t>0</w:t>
            </w:r>
            <w:r>
              <w:rPr>
                <w:rFonts w:hint="eastAsia" w:ascii="宋体" w:hAnsi="宋体" w:eastAsia="宋体"/>
                <w:lang w:eastAsia="zh-CN"/>
              </w:rPr>
              <w:t>％的视为不符合要求。（根据实际需要随时开展）</w:t>
            </w:r>
          </w:p>
        </w:tc>
        <w:tc>
          <w:tcPr>
            <w:tcW w:w="2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r>
              <w:rPr>
                <w:rFonts w:hint="eastAsia" w:ascii="宋体" w:hAnsi="宋体" w:eastAsia="宋体"/>
              </w:rPr>
              <w:t>2</w:t>
            </w:r>
            <w:r>
              <w:rPr>
                <w:rFonts w:ascii="宋体" w:hAnsi="宋体" w:eastAsia="宋体"/>
              </w:rPr>
              <w:t>000</w:t>
            </w:r>
            <w:r>
              <w:rPr>
                <w:rFonts w:hint="eastAsia" w:ascii="宋体" w:hAnsi="宋体" w:eastAsia="宋体"/>
              </w:rPr>
              <w:t>元</w:t>
            </w:r>
            <w:r>
              <w:rPr>
                <w:rFonts w:hint="eastAsia" w:ascii="宋体" w:hAnsi="宋体" w:eastAsia="宋体"/>
                <w:lang w:eastAsia="zh-CN"/>
              </w:rPr>
              <w:t>／</w:t>
            </w:r>
            <w:r>
              <w:rPr>
                <w:rFonts w:hint="eastAsia" w:ascii="宋体" w:hAnsi="宋体" w:eastAsia="宋体"/>
              </w:rPr>
              <w:t>次</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r>
      <w:tr>
        <w:tblPrEx>
          <w:tblCellMar>
            <w:top w:w="0" w:type="dxa"/>
            <w:left w:w="108" w:type="dxa"/>
            <w:bottom w:w="0" w:type="dxa"/>
            <w:right w:w="108" w:type="dxa"/>
          </w:tblCellMar>
        </w:tblPrEx>
        <w:trPr>
          <w:trHeight w:val="705"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rPr>
            </w:pPr>
            <w:r>
              <w:rPr>
                <w:rFonts w:hint="eastAsia" w:ascii="宋体" w:hAnsi="宋体" w:eastAsia="宋体"/>
                <w:color w:val="000000"/>
              </w:rPr>
              <w:t>三、现场检查</w:t>
            </w:r>
          </w:p>
        </w:tc>
        <w:tc>
          <w:tcPr>
            <w:tcW w:w="660"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8</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分析实验室飞行检查</w:t>
            </w:r>
          </w:p>
        </w:tc>
        <w:tc>
          <w:tcPr>
            <w:tcW w:w="3980" w:type="dxa"/>
            <w:tcBorders>
              <w:top w:val="single" w:color="auto" w:sz="4" w:space="0"/>
              <w:left w:val="nil"/>
              <w:bottom w:val="single" w:color="auto" w:sz="4" w:space="0"/>
              <w:right w:val="single" w:color="auto" w:sz="4" w:space="0"/>
            </w:tcBorders>
            <w:vAlign w:val="center"/>
          </w:tcPr>
          <w:p>
            <w:pPr>
              <w:rPr>
                <w:rFonts w:ascii="宋体" w:hAnsi="宋体" w:eastAsia="宋体"/>
                <w:lang w:eastAsia="zh-CN"/>
              </w:rPr>
            </w:pPr>
            <w:r>
              <w:rPr>
                <w:rFonts w:hint="eastAsia" w:ascii="宋体" w:hAnsi="宋体" w:eastAsia="宋体"/>
                <w:lang w:eastAsia="zh-CN"/>
              </w:rPr>
              <w:t>实验室设施、环境等是否能满足分析基本要求。</w:t>
            </w:r>
          </w:p>
        </w:tc>
        <w:tc>
          <w:tcPr>
            <w:tcW w:w="2260" w:type="dxa"/>
            <w:tcBorders>
              <w:top w:val="single" w:color="auto" w:sz="4" w:space="0"/>
              <w:left w:val="nil"/>
              <w:bottom w:val="single" w:color="auto" w:sz="4" w:space="0"/>
              <w:right w:val="single" w:color="auto" w:sz="4" w:space="0"/>
            </w:tcBorders>
            <w:vAlign w:val="center"/>
          </w:tcPr>
          <w:p>
            <w:pPr>
              <w:rPr>
                <w:rFonts w:ascii="宋体" w:hAnsi="宋体" w:eastAsia="宋体"/>
              </w:rPr>
            </w:pPr>
            <w:r>
              <w:rPr>
                <w:rFonts w:hint="eastAsia" w:ascii="宋体" w:hAnsi="宋体" w:eastAsia="宋体"/>
              </w:rPr>
              <w:t>2</w:t>
            </w:r>
            <w:r>
              <w:rPr>
                <w:rFonts w:ascii="宋体" w:hAnsi="宋体" w:eastAsia="宋体"/>
              </w:rPr>
              <w:t>000</w:t>
            </w:r>
            <w:r>
              <w:rPr>
                <w:rFonts w:hint="eastAsia" w:ascii="宋体" w:hAnsi="宋体" w:eastAsia="宋体"/>
              </w:rPr>
              <w:t>元</w:t>
            </w:r>
            <w:r>
              <w:rPr>
                <w:rFonts w:hint="eastAsia" w:ascii="宋体" w:hAnsi="宋体" w:eastAsia="宋体"/>
                <w:lang w:eastAsia="zh-CN"/>
              </w:rPr>
              <w:t>／</w:t>
            </w:r>
            <w:r>
              <w:rPr>
                <w:rFonts w:hint="eastAsia" w:ascii="宋体" w:hAnsi="宋体" w:eastAsia="宋体"/>
              </w:rPr>
              <w:t>次</w:t>
            </w:r>
          </w:p>
        </w:tc>
        <w:tc>
          <w:tcPr>
            <w:tcW w:w="2340"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c>
          <w:tcPr>
            <w:tcW w:w="1040"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r>
      <w:tr>
        <w:tblPrEx>
          <w:tblCellMar>
            <w:top w:w="0" w:type="dxa"/>
            <w:left w:w="108" w:type="dxa"/>
            <w:bottom w:w="0" w:type="dxa"/>
            <w:right w:w="108" w:type="dxa"/>
          </w:tblCellMar>
        </w:tblPrEx>
        <w:trPr>
          <w:trHeight w:val="794"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rPr>
            </w:pPr>
          </w:p>
        </w:tc>
        <w:tc>
          <w:tcPr>
            <w:tcW w:w="660"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Times New Roman"/>
                <w:color w:val="000000"/>
              </w:rPr>
              <w:t>9</w:t>
            </w:r>
          </w:p>
        </w:tc>
        <w:tc>
          <w:tcPr>
            <w:tcW w:w="16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现场监测飞行检查</w:t>
            </w:r>
          </w:p>
        </w:tc>
        <w:tc>
          <w:tcPr>
            <w:tcW w:w="3980" w:type="dxa"/>
            <w:tcBorders>
              <w:top w:val="single" w:color="auto" w:sz="4" w:space="0"/>
              <w:left w:val="nil"/>
              <w:bottom w:val="single" w:color="auto" w:sz="4" w:space="0"/>
              <w:right w:val="single" w:color="auto" w:sz="4" w:space="0"/>
            </w:tcBorders>
            <w:vAlign w:val="center"/>
          </w:tcPr>
          <w:p>
            <w:pPr>
              <w:rPr>
                <w:rFonts w:ascii="宋体" w:hAnsi="宋体" w:eastAsia="宋体" w:cs="Times New Roman"/>
                <w:lang w:eastAsia="zh-CN"/>
              </w:rPr>
            </w:pPr>
            <w:r>
              <w:rPr>
                <w:rFonts w:hint="eastAsia" w:ascii="宋体" w:hAnsi="宋体" w:eastAsia="宋体" w:cs="Times New Roman"/>
                <w:lang w:eastAsia="zh-CN"/>
              </w:rPr>
              <w:t>现场采样准备工作是否完备，</w:t>
            </w:r>
            <w:r>
              <w:rPr>
                <w:rFonts w:ascii="宋体" w:hAnsi="宋体" w:eastAsia="宋体" w:cs="Times New Roman"/>
                <w:lang w:eastAsia="zh-CN"/>
              </w:rPr>
              <w:t>现场采样是否制定合理的监测方案</w:t>
            </w:r>
            <w:r>
              <w:rPr>
                <w:rFonts w:hint="eastAsia" w:ascii="宋体" w:hAnsi="宋体" w:eastAsia="宋体" w:cs="Times New Roman"/>
                <w:lang w:eastAsia="zh-CN"/>
              </w:rPr>
              <w:t>，是否配备了项目负责人。</w:t>
            </w:r>
          </w:p>
        </w:tc>
        <w:tc>
          <w:tcPr>
            <w:tcW w:w="2260" w:type="dxa"/>
            <w:tcBorders>
              <w:top w:val="single" w:color="auto" w:sz="4" w:space="0"/>
              <w:left w:val="nil"/>
              <w:bottom w:val="single" w:color="auto" w:sz="4" w:space="0"/>
              <w:right w:val="single" w:color="auto" w:sz="4" w:space="0"/>
            </w:tcBorders>
            <w:vAlign w:val="center"/>
          </w:tcPr>
          <w:p>
            <w:pPr>
              <w:rPr>
                <w:rFonts w:ascii="宋体" w:hAnsi="宋体" w:eastAsia="宋体" w:cs="Times New Roman"/>
              </w:rPr>
            </w:pPr>
            <w:r>
              <w:rPr>
                <w:rFonts w:hint="eastAsia" w:ascii="宋体" w:hAnsi="宋体" w:eastAsia="宋体" w:cs="Times New Roman"/>
              </w:rPr>
              <w:t>2</w:t>
            </w:r>
            <w:r>
              <w:rPr>
                <w:rFonts w:ascii="宋体" w:hAnsi="宋体" w:eastAsia="宋体" w:cs="Times New Roman"/>
              </w:rPr>
              <w:t>000</w:t>
            </w:r>
            <w:r>
              <w:rPr>
                <w:rFonts w:hint="eastAsia" w:ascii="宋体" w:hAnsi="宋体" w:eastAsia="宋体" w:cs="Times New Roman"/>
              </w:rPr>
              <w:t>元</w:t>
            </w:r>
            <w:r>
              <w:rPr>
                <w:rFonts w:hint="eastAsia" w:ascii="宋体" w:hAnsi="宋体" w:eastAsia="宋体" w:cs="Times New Roman"/>
                <w:lang w:eastAsia="zh-CN"/>
              </w:rPr>
              <w:t>／</w:t>
            </w:r>
            <w:r>
              <w:rPr>
                <w:rFonts w:hint="eastAsia" w:ascii="宋体" w:hAnsi="宋体" w:eastAsia="宋体" w:cs="Times New Roman"/>
              </w:rPr>
              <w:t>次</w:t>
            </w:r>
          </w:p>
        </w:tc>
        <w:tc>
          <w:tcPr>
            <w:tcW w:w="2340"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000000"/>
              </w:rPr>
            </w:pPr>
          </w:p>
        </w:tc>
        <w:tc>
          <w:tcPr>
            <w:tcW w:w="1040"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000000"/>
              </w:rPr>
            </w:pPr>
          </w:p>
        </w:tc>
      </w:tr>
      <w:tr>
        <w:tblPrEx>
          <w:tblCellMar>
            <w:top w:w="0" w:type="dxa"/>
            <w:left w:w="108" w:type="dxa"/>
            <w:bottom w:w="0" w:type="dxa"/>
            <w:right w:w="108" w:type="dxa"/>
          </w:tblCellMar>
        </w:tblPrEx>
        <w:trPr>
          <w:trHeight w:val="706"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rPr>
            </w:pPr>
          </w:p>
        </w:tc>
        <w:tc>
          <w:tcPr>
            <w:tcW w:w="660"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Times New Roman"/>
                <w:color w:val="000000"/>
              </w:rPr>
              <w:t>1</w:t>
            </w:r>
            <w:r>
              <w:rPr>
                <w:rFonts w:ascii="宋体" w:hAnsi="宋体" w:eastAsia="宋体" w:cs="Times New Roman"/>
                <w:color w:val="000000"/>
              </w:rPr>
              <w:t>0</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p>
        </w:tc>
        <w:tc>
          <w:tcPr>
            <w:tcW w:w="3980" w:type="dxa"/>
            <w:tcBorders>
              <w:top w:val="single" w:color="auto" w:sz="4" w:space="0"/>
              <w:left w:val="nil"/>
              <w:bottom w:val="single" w:color="auto" w:sz="4" w:space="0"/>
              <w:right w:val="single" w:color="auto" w:sz="4" w:space="0"/>
            </w:tcBorders>
            <w:vAlign w:val="center"/>
          </w:tcPr>
          <w:p>
            <w:pPr>
              <w:rPr>
                <w:rFonts w:ascii="宋体" w:hAnsi="宋体" w:eastAsia="宋体"/>
                <w:lang w:eastAsia="zh-CN"/>
              </w:rPr>
            </w:pPr>
            <w:r>
              <w:rPr>
                <w:rFonts w:hint="eastAsia" w:ascii="宋体" w:hAnsi="宋体" w:eastAsia="宋体"/>
                <w:lang w:eastAsia="zh-CN"/>
              </w:rPr>
              <w:t>现场采样操作步骤是否符合采样规范，是否配备足够的安全防护用品。</w:t>
            </w:r>
          </w:p>
        </w:tc>
        <w:tc>
          <w:tcPr>
            <w:tcW w:w="2260" w:type="dxa"/>
            <w:tcBorders>
              <w:top w:val="single" w:color="auto" w:sz="4" w:space="0"/>
              <w:left w:val="nil"/>
              <w:bottom w:val="single" w:color="auto" w:sz="4" w:space="0"/>
              <w:right w:val="single" w:color="auto" w:sz="4" w:space="0"/>
            </w:tcBorders>
            <w:vAlign w:val="center"/>
          </w:tcPr>
          <w:p>
            <w:pPr>
              <w:rPr>
                <w:rFonts w:ascii="宋体" w:hAnsi="宋体" w:eastAsia="宋体"/>
              </w:rPr>
            </w:pPr>
            <w:r>
              <w:rPr>
                <w:rFonts w:hint="eastAsia" w:ascii="宋体" w:hAnsi="宋体" w:eastAsia="宋体" w:cs="Times New Roman"/>
              </w:rPr>
              <w:t>2</w:t>
            </w:r>
            <w:r>
              <w:rPr>
                <w:rFonts w:ascii="宋体" w:hAnsi="宋体" w:eastAsia="宋体" w:cs="Times New Roman"/>
              </w:rPr>
              <w:t>000</w:t>
            </w:r>
            <w:r>
              <w:rPr>
                <w:rFonts w:hint="eastAsia" w:ascii="宋体" w:hAnsi="宋体" w:eastAsia="宋体" w:cs="Times New Roman"/>
              </w:rPr>
              <w:t>元</w:t>
            </w:r>
            <w:r>
              <w:rPr>
                <w:rFonts w:hint="eastAsia" w:ascii="宋体" w:hAnsi="宋体" w:eastAsia="宋体" w:cs="Times New Roman"/>
                <w:lang w:eastAsia="zh-CN"/>
              </w:rPr>
              <w:t>／</w:t>
            </w:r>
            <w:r>
              <w:rPr>
                <w:rFonts w:hint="eastAsia" w:ascii="宋体" w:hAnsi="宋体" w:eastAsia="宋体" w:cs="Times New Roman"/>
              </w:rPr>
              <w:t>次</w:t>
            </w:r>
          </w:p>
        </w:tc>
        <w:tc>
          <w:tcPr>
            <w:tcW w:w="2340"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c>
          <w:tcPr>
            <w:tcW w:w="1040"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r>
      <w:tr>
        <w:tblPrEx>
          <w:tblCellMar>
            <w:top w:w="0" w:type="dxa"/>
            <w:left w:w="108" w:type="dxa"/>
            <w:bottom w:w="0" w:type="dxa"/>
            <w:right w:w="108" w:type="dxa"/>
          </w:tblCellMar>
        </w:tblPrEx>
        <w:trPr>
          <w:trHeight w:val="689"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rPr>
            </w:pPr>
          </w:p>
        </w:tc>
        <w:tc>
          <w:tcPr>
            <w:tcW w:w="660"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Times New Roman"/>
                <w:color w:val="000000"/>
              </w:rPr>
              <w:t>1</w:t>
            </w:r>
            <w:r>
              <w:rPr>
                <w:rFonts w:ascii="宋体" w:hAnsi="宋体" w:eastAsia="宋体" w:cs="Times New Roman"/>
                <w:color w:val="000000"/>
              </w:rPr>
              <w:t>1</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p>
        </w:tc>
        <w:tc>
          <w:tcPr>
            <w:tcW w:w="3980" w:type="dxa"/>
            <w:tcBorders>
              <w:top w:val="single" w:color="auto" w:sz="4" w:space="0"/>
              <w:left w:val="nil"/>
              <w:bottom w:val="single" w:color="auto" w:sz="4" w:space="0"/>
              <w:right w:val="single" w:color="auto" w:sz="4" w:space="0"/>
            </w:tcBorders>
            <w:vAlign w:val="center"/>
          </w:tcPr>
          <w:p>
            <w:pPr>
              <w:rPr>
                <w:rFonts w:ascii="宋体" w:hAnsi="宋体" w:eastAsia="宋体"/>
                <w:lang w:eastAsia="zh-CN"/>
              </w:rPr>
            </w:pPr>
            <w:r>
              <w:rPr>
                <w:rFonts w:hint="eastAsia" w:ascii="宋体" w:hAnsi="宋体" w:eastAsia="宋体"/>
                <w:lang w:eastAsia="zh-CN"/>
              </w:rPr>
              <w:t>现场采样时效性是否满足合同要求，是否能在规定时间内到达采样现场。</w:t>
            </w:r>
          </w:p>
        </w:tc>
        <w:tc>
          <w:tcPr>
            <w:tcW w:w="2260" w:type="dxa"/>
            <w:tcBorders>
              <w:top w:val="single" w:color="auto" w:sz="4" w:space="0"/>
              <w:left w:val="nil"/>
              <w:bottom w:val="single" w:color="auto" w:sz="4" w:space="0"/>
              <w:right w:val="single" w:color="auto" w:sz="4" w:space="0"/>
            </w:tcBorders>
            <w:vAlign w:val="center"/>
          </w:tcPr>
          <w:p>
            <w:pPr>
              <w:rPr>
                <w:rFonts w:ascii="宋体" w:hAnsi="宋体" w:eastAsia="宋体"/>
              </w:rPr>
            </w:pPr>
            <w:r>
              <w:rPr>
                <w:rFonts w:hint="eastAsia" w:ascii="宋体" w:hAnsi="宋体" w:eastAsia="宋体" w:cs="Times New Roman"/>
              </w:rPr>
              <w:t>2</w:t>
            </w:r>
            <w:r>
              <w:rPr>
                <w:rFonts w:ascii="宋体" w:hAnsi="宋体" w:eastAsia="宋体" w:cs="Times New Roman"/>
              </w:rPr>
              <w:t>000</w:t>
            </w:r>
            <w:r>
              <w:rPr>
                <w:rFonts w:hint="eastAsia" w:ascii="宋体" w:hAnsi="宋体" w:eastAsia="宋体" w:cs="Times New Roman"/>
              </w:rPr>
              <w:t>元</w:t>
            </w:r>
            <w:r>
              <w:rPr>
                <w:rFonts w:hint="eastAsia" w:ascii="宋体" w:hAnsi="宋体" w:eastAsia="宋体" w:cs="Times New Roman"/>
                <w:lang w:eastAsia="zh-CN"/>
              </w:rPr>
              <w:t>／</w:t>
            </w:r>
            <w:r>
              <w:rPr>
                <w:rFonts w:hint="eastAsia" w:ascii="宋体" w:hAnsi="宋体" w:eastAsia="宋体" w:cs="Times New Roman"/>
              </w:rPr>
              <w:t>次</w:t>
            </w:r>
          </w:p>
        </w:tc>
        <w:tc>
          <w:tcPr>
            <w:tcW w:w="2340"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c>
          <w:tcPr>
            <w:tcW w:w="1040"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r>
      <w:tr>
        <w:tblPrEx>
          <w:tblCellMar>
            <w:top w:w="0" w:type="dxa"/>
            <w:left w:w="108" w:type="dxa"/>
            <w:bottom w:w="0" w:type="dxa"/>
            <w:right w:w="108" w:type="dxa"/>
          </w:tblCellMar>
        </w:tblPrEx>
        <w:trPr>
          <w:trHeight w:val="999" w:hRule="atLeast"/>
        </w:trPr>
        <w:tc>
          <w:tcPr>
            <w:tcW w:w="1060" w:type="dxa"/>
            <w:tcBorders>
              <w:top w:val="nil"/>
              <w:left w:val="single" w:color="auto" w:sz="4" w:space="0"/>
              <w:bottom w:val="single" w:color="auto" w:sz="4" w:space="0"/>
              <w:right w:val="single" w:color="auto" w:sz="4" w:space="0"/>
            </w:tcBorders>
            <w:vAlign w:val="center"/>
          </w:tcPr>
          <w:p>
            <w:pPr>
              <w:jc w:val="center"/>
              <w:rPr>
                <w:rFonts w:ascii="宋体" w:hAnsi="宋体" w:eastAsia="宋体"/>
                <w:color w:val="000000"/>
              </w:rPr>
            </w:pPr>
            <w:r>
              <w:rPr>
                <w:rFonts w:hint="eastAsia" w:ascii="宋体" w:hAnsi="宋体" w:eastAsia="宋体"/>
                <w:color w:val="000000"/>
              </w:rPr>
              <w:t>四、分包方服务质量</w:t>
            </w:r>
          </w:p>
        </w:tc>
        <w:tc>
          <w:tcPr>
            <w:tcW w:w="660"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Times New Roman"/>
                <w:color w:val="000000"/>
              </w:rPr>
              <w:t>1</w:t>
            </w:r>
            <w:r>
              <w:rPr>
                <w:rFonts w:ascii="宋体" w:hAnsi="宋体" w:eastAsia="宋体" w:cs="Times New Roman"/>
                <w:color w:val="000000"/>
              </w:rPr>
              <w:t>3</w:t>
            </w:r>
          </w:p>
        </w:tc>
        <w:tc>
          <w:tcPr>
            <w:tcW w:w="1680" w:type="dxa"/>
            <w:tcBorders>
              <w:top w:val="nil"/>
              <w:left w:val="nil"/>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服务质量</w:t>
            </w:r>
          </w:p>
        </w:tc>
        <w:tc>
          <w:tcPr>
            <w:tcW w:w="3980" w:type="dxa"/>
            <w:tcBorders>
              <w:top w:val="nil"/>
              <w:left w:val="nil"/>
              <w:bottom w:val="single" w:color="auto" w:sz="4" w:space="0"/>
              <w:right w:val="single" w:color="auto" w:sz="4" w:space="0"/>
            </w:tcBorders>
            <w:vAlign w:val="center"/>
          </w:tcPr>
          <w:p>
            <w:pPr>
              <w:rPr>
                <w:rFonts w:ascii="宋体" w:hAnsi="宋体" w:eastAsia="宋体"/>
                <w:lang w:eastAsia="zh-CN"/>
              </w:rPr>
            </w:pPr>
            <w:r>
              <w:rPr>
                <w:rFonts w:hint="eastAsia" w:ascii="宋体" w:hAnsi="宋体" w:eastAsia="宋体"/>
                <w:lang w:eastAsia="zh-CN"/>
              </w:rPr>
              <w:t>分包方相关对接人员应快速响应生态环境管理部门的各项监测及数据汇总统计任务，积极配合各类监测相关工作。</w:t>
            </w:r>
          </w:p>
        </w:tc>
        <w:tc>
          <w:tcPr>
            <w:tcW w:w="2260" w:type="dxa"/>
            <w:tcBorders>
              <w:top w:val="nil"/>
              <w:left w:val="nil"/>
              <w:bottom w:val="single" w:color="auto" w:sz="4" w:space="0"/>
              <w:right w:val="single" w:color="auto" w:sz="4" w:space="0"/>
            </w:tcBorders>
            <w:vAlign w:val="center"/>
          </w:tcPr>
          <w:p>
            <w:pPr>
              <w:rPr>
                <w:rFonts w:ascii="宋体" w:hAnsi="宋体" w:eastAsia="宋体"/>
              </w:rPr>
            </w:pPr>
            <w:r>
              <w:rPr>
                <w:rFonts w:hint="eastAsia" w:ascii="宋体" w:hAnsi="宋体" w:eastAsia="宋体"/>
              </w:rPr>
              <w:t>2</w:t>
            </w:r>
            <w:r>
              <w:rPr>
                <w:rFonts w:ascii="宋体" w:hAnsi="宋体" w:eastAsia="宋体"/>
              </w:rPr>
              <w:t>000</w:t>
            </w:r>
            <w:r>
              <w:rPr>
                <w:rFonts w:hint="eastAsia" w:ascii="宋体" w:hAnsi="宋体" w:eastAsia="宋体"/>
              </w:rPr>
              <w:t>元</w:t>
            </w:r>
            <w:r>
              <w:rPr>
                <w:rFonts w:hint="eastAsia" w:ascii="宋体" w:hAnsi="宋体" w:eastAsia="宋体"/>
                <w:lang w:eastAsia="zh-CN"/>
              </w:rPr>
              <w:t>／</w:t>
            </w:r>
            <w:r>
              <w:rPr>
                <w:rFonts w:hint="eastAsia" w:ascii="宋体" w:hAnsi="宋体" w:eastAsia="宋体"/>
              </w:rPr>
              <w:t>次</w:t>
            </w:r>
          </w:p>
        </w:tc>
        <w:tc>
          <w:tcPr>
            <w:tcW w:w="2340"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c>
          <w:tcPr>
            <w:tcW w:w="1040"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tc>
      </w:tr>
      <w:tr>
        <w:tblPrEx>
          <w:tblCellMar>
            <w:top w:w="0" w:type="dxa"/>
            <w:left w:w="108" w:type="dxa"/>
            <w:bottom w:w="0" w:type="dxa"/>
            <w:right w:w="108" w:type="dxa"/>
          </w:tblCellMar>
        </w:tblPrEx>
        <w:trPr>
          <w:trHeight w:val="544" w:hRule="atLeast"/>
        </w:trPr>
        <w:tc>
          <w:tcPr>
            <w:tcW w:w="1060" w:type="dxa"/>
            <w:tcBorders>
              <w:top w:val="nil"/>
              <w:left w:val="single" w:color="auto" w:sz="4" w:space="0"/>
              <w:bottom w:val="single" w:color="auto" w:sz="4" w:space="0"/>
              <w:right w:val="single" w:color="auto" w:sz="4" w:space="0"/>
            </w:tcBorders>
            <w:vAlign w:val="center"/>
          </w:tcPr>
          <w:p>
            <w:pPr>
              <w:jc w:val="center"/>
              <w:rPr>
                <w:rFonts w:ascii="宋体" w:hAnsi="宋体" w:eastAsia="宋体"/>
                <w:color w:val="000000"/>
              </w:rPr>
            </w:pPr>
            <w:r>
              <w:rPr>
                <w:rFonts w:hint="eastAsia" w:ascii="宋体" w:hAnsi="宋体" w:eastAsia="宋体"/>
                <w:color w:val="000000"/>
              </w:rPr>
              <w:t>合计扣款（元）</w:t>
            </w:r>
          </w:p>
        </w:tc>
        <w:tc>
          <w:tcPr>
            <w:tcW w:w="11960" w:type="dxa"/>
            <w:gridSpan w:val="6"/>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ascii="宋体" w:hAnsi="宋体" w:eastAsia="宋体" w:cs="Times New Roman"/>
                <w:color w:val="000000"/>
              </w:rPr>
              <w:t>　</w:t>
            </w:r>
          </w:p>
          <w:p>
            <w:pPr>
              <w:jc w:val="center"/>
              <w:rPr>
                <w:rFonts w:ascii="宋体" w:hAnsi="宋体" w:eastAsia="宋体" w:cs="Times New Roman"/>
                <w:color w:val="000000"/>
              </w:rPr>
            </w:pPr>
          </w:p>
        </w:tc>
      </w:tr>
      <w:tr>
        <w:tblPrEx>
          <w:tblCellMar>
            <w:top w:w="0" w:type="dxa"/>
            <w:left w:w="108" w:type="dxa"/>
            <w:bottom w:w="0" w:type="dxa"/>
            <w:right w:w="108" w:type="dxa"/>
          </w:tblCellMar>
        </w:tblPrEx>
        <w:trPr>
          <w:trHeight w:val="541" w:hRule="atLeast"/>
        </w:trPr>
        <w:tc>
          <w:tcPr>
            <w:tcW w:w="13020" w:type="dxa"/>
            <w:gridSpan w:val="7"/>
            <w:tcBorders>
              <w:top w:val="single" w:color="auto" w:sz="4" w:space="0"/>
              <w:left w:val="nil"/>
              <w:bottom w:val="nil"/>
              <w:right w:val="nil"/>
            </w:tcBorders>
            <w:vAlign w:val="center"/>
          </w:tcPr>
          <w:p>
            <w:pPr>
              <w:jc w:val="center"/>
              <w:rPr>
                <w:rFonts w:ascii="宋体" w:hAnsi="宋体" w:eastAsia="宋体"/>
                <w:color w:val="000000"/>
                <w:lang w:eastAsia="zh-CN"/>
              </w:rPr>
            </w:pPr>
            <w:r>
              <w:rPr>
                <w:rFonts w:hint="eastAsia" w:ascii="宋体" w:hAnsi="宋体" w:eastAsia="宋体"/>
                <w:color w:val="000000"/>
                <w:lang w:eastAsia="zh-CN"/>
              </w:rPr>
              <w:t>注：实验室间比对判定标准：参考《江苏省日常环境监测质量控制样采集、分析控制要求》中附表</w:t>
            </w:r>
            <w:r>
              <w:rPr>
                <w:rFonts w:ascii="宋体" w:hAnsi="宋体" w:eastAsia="宋体" w:cs="Times New Roman"/>
                <w:color w:val="000000"/>
                <w:lang w:eastAsia="zh-CN"/>
              </w:rPr>
              <w:t xml:space="preserve"> 1 </w:t>
            </w:r>
            <w:r>
              <w:rPr>
                <w:rFonts w:hint="eastAsia" w:ascii="宋体" w:hAnsi="宋体" w:eastAsia="宋体"/>
                <w:color w:val="000000"/>
                <w:lang w:eastAsia="zh-CN"/>
              </w:rPr>
              <w:t>《水质监测实验室质量控制指标》</w:t>
            </w:r>
          </w:p>
        </w:tc>
      </w:tr>
    </w:tbl>
    <w:p>
      <w:pPr>
        <w:ind w:firstLine="240" w:firstLineChars="100"/>
        <w:rPr>
          <w:rFonts w:ascii="仿宋" w:hAnsi="仿宋" w:eastAsia="仿宋" w:cs="仿宋"/>
          <w:sz w:val="24"/>
          <w:szCs w:val="24"/>
          <w:lang w:eastAsia="zh-CN"/>
        </w:rPr>
      </w:pPr>
    </w:p>
    <w:p>
      <w:pPr>
        <w:ind w:firstLine="240" w:firstLineChars="100"/>
        <w:rPr>
          <w:rFonts w:ascii="仿宋" w:hAnsi="仿宋" w:eastAsia="仿宋" w:cs="仿宋"/>
          <w:sz w:val="24"/>
          <w:szCs w:val="24"/>
          <w:lang w:eastAsia="zh-CN"/>
        </w:rPr>
      </w:pPr>
    </w:p>
    <w:p>
      <w:pPr>
        <w:ind w:firstLine="240" w:firstLineChars="100"/>
        <w:rPr>
          <w:rFonts w:hint="eastAsia" w:ascii="仿宋" w:hAnsi="仿宋" w:eastAsia="仿宋" w:cs="仿宋"/>
          <w:sz w:val="24"/>
          <w:szCs w:val="24"/>
          <w:lang w:eastAsia="zh-CN"/>
        </w:rPr>
      </w:pPr>
    </w:p>
    <w:sectPr>
      <w:headerReference r:id="rId7" w:type="default"/>
      <w:footerReference r:id="rId8" w:type="default"/>
      <w:type w:val="continuous"/>
      <w:pgSz w:w="16838" w:h="11906" w:orient="landscape"/>
      <w:pgMar w:top="1077" w:right="1440" w:bottom="1077" w:left="1440" w:header="851" w:footer="992" w:gutter="0"/>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PvJvBIQIAADMEAAAO&#10;AAAAZHJzL2Uyb0RvYy54bWytU8uO0zAU3SPxD5b3NGlHjKqq6ajMqAipYkYqiLXr2E0kx7Zst0n5&#10;APgDVmzY8139Do7dpOW1Qmyce31v7uOc4/ld1yhyEM7XRhd0PMopEZqbsta7gr5/t3oxpcQHpkum&#10;jBYFPQpP7xbPn81bOxMTUxlVCkdQRPtZawtahWBnWeZ5JRrmR8YKjaA0rmEBrttlpWMtqjcqm+T5&#10;bdYaV1pnuPAetw/nIF2k+lIKHh6l9CIQVVDMFtLp0rmNZ7aYs9nOMVvVvB+D/cMUDas1ml5KPbDA&#10;yN7Vf5Rqau6MNzKMuGkyI2XNRdoB24zz37bZVMyKtAvA8fYCk/9/Zfnbw5MjdQnuKNGsAUWnL59P&#10;X7+fvn0i4whPa/0MWRuLvNC9Ml1Bg9uLIeRxHxfvpGviFysRpADr4wVf0QXCcTmeTqbTHCGO2OCg&#10;RXb93TofXgvTkGgU1IHAhCs7rH04pw4psZs2q1qpRKLSpC3o7c3LPP1wiaC40ugR9zgPG63Qbbt+&#10;ua0pj9jNmbM4vOWrGs3XzIcn5qAGDAyFh0ccUhk0Mb1FSWXcx7/dx3yQhCglLdRVUA35U6LeaJA3&#10;yW+gXagxeTDcL9fb4Vrvm3sD4YIaTJXMmBzUYEpnmg94AMvYTTLl0YJpjr4gaTDvA7w+iIfExXJ5&#10;8ffW1bvq+jNEaVlY643lPc0RZW+X+wCkEwERvTNkPahQZqKwf0VR+j/7Kev61h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alSs7WAAAABgEAAA8AAAAAAAAAAQAgAAAAOAAAAGRycy9kb3ducmV2&#10;LnhtbFBLAQIUABQAAAAIAIdO4kDPvJvBIQIAADMEAAAOAAAAAAAAAAEAIAAAADsBAABkcnMvZTJv&#10;RG9jLnhtbFBLBQYAAAAABgAGAFkBAADOBQAAAAA=&#10;">
              <v:fill on="f" focussize="0,0"/>
              <v:stroke on="f" weight="0.5pt"/>
              <v:imagedata o:title=""/>
              <o:lock v:ext="edit" aspectratio="f"/>
              <v:textbox inset="16pt,0mm,16pt,0mm" style="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-353060</wp:posOffset>
              </wp:positionH>
              <wp:positionV relativeFrom="margin">
                <wp:align>outside</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eaVert" wrap="none" lIns="0" tIns="203200" rIns="0" bIns="20320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7.8pt;height:144pt;width:144pt;mso-position-horizontal-relative:margin;mso-position-vertical:outside;mso-position-vertical-relative:margin;mso-wrap-style:none;z-index:251660288;mso-width-relative:page;mso-height-relative:page;" filled="f" stroked="f" coordsize="21600,21600" o:gfxdata="UEsFBgAAAAAAAAAAAAAAAAAAAAAAAFBLAwQKAAAAAACHTuJAAAAAAAAAAAAAAAAABAAAAGRycy9Q&#10;SwMEFAAAAAgAh07iQL9ZlaLWAAAACAEAAA8AAABkcnMvZG93bnJldi54bWxNj8FOwzAQRO9I/IO1&#10;SNxau4FWUYhTIQQIwYUWPmATL3bU2I5ipy1/z3KC245mNPum3p79II40pT4GDaulAkGhi6YPVsPn&#10;x9OiBJEyBoNDDKThmxJsm8uLGisTT2FHx322gktCqlCDy3mspEydI49pGUcK7H3FyWNmOVlpJjxx&#10;uR9kodRGeuwDf3A40oOj7rCfvYYD2fH58UVinNtXfHs39ztyVuvrq5W6A5HpnP/C8IvP6NAwUxvn&#10;YJIYNCzW6w1HNfAitoub4hZEy0dZKpBNLf8PaH4AUEsDBBQAAAAIAIdO4kCex0AjJQIAADUEAAAO&#10;AAAAZHJzL2Uyb0RvYy54bWytU82O0zAQviPxDpbvNGlWrKqq6arsqgipYlcqsGfXsZtItsey3Sbl&#10;AeANOHHhvs/V52DsJu3yc0Jc7PHMeH6++WZ202lF9sL5BkxJx6OcEmE4VI3ZlvTjh+WrCSU+MFMx&#10;BUaU9CA8vZm/fDFr7VQUUIOqhCMYxPhpa0tah2CnWeZ5LTTzI7DCoFGC0yzg022zyrEWo2uVFXl+&#10;nbXgKuuAC+9Re3cy0nmKL6Xg4V5KLwJRJcXaQjpdOjfxzOYzNt06ZuuG92Wwf6hCs8Zg0nOoOxYY&#10;2bnmj1C64Q48yDDioDOQsuEi9YDdjPPfulnXzIrUC4Lj7Rkm///C8vf7B0eaqqQFJYZpHNHx29fj&#10;96fjjy+kiPC01k/Ra23RL3RvoCtpcDsxmDzqY+OddDre2BJBF8T6cMZXdIFwVI4nxWSSo4mjbXhg&#10;iuzy3Tof3grQJAoldTjAhCvbr3w4uQ4uMZuBZaNUGqIypC3p9dXrPH04WzC4Mpgj9nEqNkqh23R9&#10;cxuoDtibgxM5vOXLBpOvmA8PzCEbsGBkeLjHQyrAJNBLlNTgPv9NH/1LKtgnvClpkV8lNbgAlKh3&#10;BscXqZiEIr9CGlPiBvXmF7XZ6VtA6o5xiyxPYnQOahClA/2IK7CI+SRTHlMww7EuHNMg3gZ89UZc&#10;JS4Wi/N7Z12zrS+fkZaWhZVZW94POuLs7WIXEOs0gojfCbQeVuRmGmK/R5H8z9/J67Lt8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WZWi1gAAAAgBAAAPAAAAAAAAAAEAIAAAADgAAABkcnMvZG93&#10;bnJldi54bWxQSwECFAAUAAAACACHTuJAnsdAIyUCAAA1BAAADgAAAAAAAAABACAAAAA7AQAAZHJz&#10;L2Uyb0RvYy54bWxQSwUGAAAAAAYABgBZAQAA0gUAAAAA&#10;">
              <v:fill on="f" focussize="0,0"/>
              <v:stroke on="f" weight="0.5pt"/>
              <v:imagedata o:title=""/>
              <o:lock v:ext="edit" aspectratio="f"/>
              <v:textbox inset="0mm,16pt,0mm,16pt" style="layout-flow:vertical-ideographic;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34858"/>
    <w:multiLevelType w:val="singleLevel"/>
    <w:tmpl w:val="4F73485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99"/>
    <w:rsid w:val="00101046"/>
    <w:rsid w:val="00102321"/>
    <w:rsid w:val="002C23B4"/>
    <w:rsid w:val="003206E7"/>
    <w:rsid w:val="00395427"/>
    <w:rsid w:val="003F2A42"/>
    <w:rsid w:val="00444EA1"/>
    <w:rsid w:val="004B7AB7"/>
    <w:rsid w:val="004C520D"/>
    <w:rsid w:val="0058626C"/>
    <w:rsid w:val="005D6243"/>
    <w:rsid w:val="00653786"/>
    <w:rsid w:val="006C00A4"/>
    <w:rsid w:val="00703704"/>
    <w:rsid w:val="00707EA1"/>
    <w:rsid w:val="00753301"/>
    <w:rsid w:val="008737DC"/>
    <w:rsid w:val="008E6FB2"/>
    <w:rsid w:val="008F4329"/>
    <w:rsid w:val="00B31C99"/>
    <w:rsid w:val="00C62F0D"/>
    <w:rsid w:val="00D10041"/>
    <w:rsid w:val="00D405D0"/>
    <w:rsid w:val="00D50BC2"/>
    <w:rsid w:val="00D83622"/>
    <w:rsid w:val="00D83976"/>
    <w:rsid w:val="00DE55FC"/>
    <w:rsid w:val="00E33E06"/>
    <w:rsid w:val="00EB437A"/>
    <w:rsid w:val="00FA175E"/>
    <w:rsid w:val="00FF5EBA"/>
    <w:rsid w:val="03DC6164"/>
    <w:rsid w:val="10DC4F31"/>
    <w:rsid w:val="15733363"/>
    <w:rsid w:val="445D19A7"/>
    <w:rsid w:val="4C0473C6"/>
    <w:rsid w:val="5FBF4751"/>
    <w:rsid w:val="7542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78" w:lineRule="auto"/>
      <w:jc w:val="both"/>
    </w:pPr>
    <w:rPr>
      <w:rFonts w:asciiTheme="minorHAnsi" w:hAnsiTheme="minorHAnsi" w:eastAsiaTheme="minorEastAsia" w:cstheme="minorBidi"/>
      <w:kern w:val="2"/>
      <w:sz w:val="22"/>
      <w:szCs w:val="22"/>
      <w:lang w:val="en-US" w:eastAsia="en-US" w:bidi="ar-SA"/>
      <w14:ligatures w14:val="standardContextual"/>
    </w:rPr>
  </w:style>
  <w:style w:type="paragraph" w:styleId="2">
    <w:name w:val="heading 1"/>
    <w:next w:val="1"/>
    <w:link w:val="43"/>
    <w:qFormat/>
    <w:uiPriority w:val="9"/>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9"/>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9"/>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9"/>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9"/>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9"/>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9"/>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9"/>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9"/>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unhideWhenUsed/>
    <w:qFormat/>
    <w:uiPriority w:val="99"/>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4">
    <w:name w:val="Subtitle"/>
    <w:next w:val="1"/>
    <w:qFormat/>
    <w:uiPriority w:val="11"/>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next w:val="1"/>
    <w:link w:val="28"/>
    <w:qFormat/>
    <w:uiPriority w:val="10"/>
    <w:pPr>
      <w:spacing w:line="720" w:lineRule="exact"/>
      <w:jc w:val="center"/>
      <w:outlineLvl w:val="9"/>
    </w:pPr>
    <w:rPr>
      <w:rFonts w:ascii="方正小标宋简体" w:hAnsi="方正小标宋简体" w:eastAsia="方正小标宋简体" w:cs="方正小标宋简体"/>
      <w:sz w:val="44"/>
      <w:szCs w:val="44"/>
    </w:rPr>
  </w:style>
  <w:style w:type="table" w:styleId="17">
    <w:name w:val="Table Grid"/>
    <w:basedOn w:val="16"/>
    <w:qFormat/>
    <w:uiPriority w:val="0"/>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Char"/>
    <w:basedOn w:val="18"/>
    <w:qFormat/>
    <w:uiPriority w:val="9"/>
    <w:rPr>
      <w:rFonts w:asciiTheme="majorHAnsi" w:hAnsiTheme="majorHAnsi" w:eastAsiaTheme="majorEastAsia" w:cstheme="majorBidi"/>
      <w:color w:val="376092" w:themeColor="accent1" w:themeShade="BF"/>
      <w:sz w:val="48"/>
      <w:szCs w:val="48"/>
    </w:rPr>
  </w:style>
  <w:style w:type="character" w:customStyle="1" w:styleId="20">
    <w:name w:val="标题 2 Char"/>
    <w:basedOn w:val="18"/>
    <w:semiHidden/>
    <w:qFormat/>
    <w:uiPriority w:val="9"/>
    <w:rPr>
      <w:rFonts w:asciiTheme="majorHAnsi" w:hAnsiTheme="majorHAnsi" w:eastAsiaTheme="majorEastAsia" w:cstheme="majorBidi"/>
      <w:color w:val="376092" w:themeColor="accent1" w:themeShade="BF"/>
      <w:sz w:val="40"/>
      <w:szCs w:val="40"/>
    </w:rPr>
  </w:style>
  <w:style w:type="character" w:customStyle="1" w:styleId="21">
    <w:name w:val="标题 3 Char"/>
    <w:basedOn w:val="18"/>
    <w:semiHidden/>
    <w:qFormat/>
    <w:uiPriority w:val="9"/>
    <w:rPr>
      <w:rFonts w:asciiTheme="majorHAnsi" w:hAnsiTheme="majorHAnsi" w:eastAsiaTheme="majorEastAsia" w:cstheme="majorBidi"/>
      <w:color w:val="376092" w:themeColor="accent1" w:themeShade="BF"/>
      <w:sz w:val="32"/>
      <w:szCs w:val="32"/>
    </w:rPr>
  </w:style>
  <w:style w:type="character" w:customStyle="1" w:styleId="22">
    <w:name w:val="标题 4 Char"/>
    <w:basedOn w:val="18"/>
    <w:semiHidden/>
    <w:qFormat/>
    <w:uiPriority w:val="9"/>
    <w:rPr>
      <w:rFonts w:cstheme="majorBidi"/>
      <w:color w:val="376092" w:themeColor="accent1" w:themeShade="BF"/>
      <w:sz w:val="28"/>
      <w:szCs w:val="28"/>
    </w:rPr>
  </w:style>
  <w:style w:type="character" w:customStyle="1" w:styleId="23">
    <w:name w:val="标题 5 Char"/>
    <w:basedOn w:val="18"/>
    <w:semiHidden/>
    <w:qFormat/>
    <w:uiPriority w:val="9"/>
    <w:rPr>
      <w:rFonts w:cstheme="majorBidi"/>
      <w:color w:val="376092" w:themeColor="accent1" w:themeShade="BF"/>
      <w:sz w:val="24"/>
    </w:rPr>
  </w:style>
  <w:style w:type="character" w:customStyle="1" w:styleId="24">
    <w:name w:val="标题 6 Char"/>
    <w:basedOn w:val="18"/>
    <w:semiHidden/>
    <w:qFormat/>
    <w:uiPriority w:val="9"/>
    <w:rPr>
      <w:rFonts w:cstheme="majorBidi"/>
      <w:b/>
      <w:bCs/>
      <w:color w:val="376092" w:themeColor="accent1" w:themeShade="BF"/>
    </w:rPr>
  </w:style>
  <w:style w:type="character" w:customStyle="1" w:styleId="25">
    <w:name w:val="标题 7 Char"/>
    <w:basedOn w:val="1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Char"/>
    <w:basedOn w:val="18"/>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Char"/>
    <w:basedOn w:val="1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Char"/>
    <w:link w:val="15"/>
    <w:qFormat/>
    <w:uiPriority w:val="10"/>
    <w:rPr>
      <w:rFonts w:ascii="微软雅黑" w:hAnsi="微软雅黑" w:eastAsia="微软雅黑" w:cs="微软雅黑"/>
      <w:sz w:val="44"/>
      <w:szCs w:val="44"/>
      <w:lang w:val="zh-CN"/>
    </w:rPr>
  </w:style>
  <w:style w:type="character" w:customStyle="1" w:styleId="29">
    <w:name w:val="副标题 Char"/>
    <w:basedOn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Char"/>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376092" w:themeColor="accent1" w:themeShade="BF"/>
    </w:rPr>
  </w:style>
  <w:style w:type="paragraph" w:styleId="34">
    <w:name w:val="Intense Quote"/>
    <w:basedOn w:val="1"/>
    <w:next w:val="1"/>
    <w:link w:val="3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5">
    <w:name w:val="明显引用 Char"/>
    <w:basedOn w:val="18"/>
    <w:link w:val="34"/>
    <w:qFormat/>
    <w:uiPriority w:val="30"/>
    <w:rPr>
      <w:i/>
      <w:iCs/>
      <w:color w:val="376092" w:themeColor="accent1" w:themeShade="BF"/>
    </w:rPr>
  </w:style>
  <w:style w:type="character" w:customStyle="1" w:styleId="36">
    <w:name w:val="Intense Reference"/>
    <w:basedOn w:val="18"/>
    <w:qFormat/>
    <w:uiPriority w:val="32"/>
    <w:rPr>
      <w:b/>
      <w:bCs/>
      <w:smallCaps/>
      <w:color w:val="376092" w:themeColor="accent1" w:themeShade="BF"/>
      <w:spacing w:val="5"/>
    </w:rPr>
  </w:style>
  <w:style w:type="character" w:customStyle="1" w:styleId="37">
    <w:name w:val="页眉 Char"/>
    <w:basedOn w:val="18"/>
    <w:link w:val="13"/>
    <w:qFormat/>
    <w:uiPriority w:val="99"/>
    <w:rPr>
      <w:sz w:val="18"/>
      <w:szCs w:val="18"/>
    </w:rPr>
  </w:style>
  <w:style w:type="character" w:customStyle="1" w:styleId="38">
    <w:name w:val="页脚 Char"/>
    <w:basedOn w:val="18"/>
    <w:link w:val="12"/>
    <w:qFormat/>
    <w:uiPriority w:val="99"/>
    <w:rPr>
      <w:sz w:val="18"/>
      <w:szCs w:val="18"/>
    </w:rPr>
  </w:style>
  <w:style w:type="table" w:customStyle="1" w:styleId="39">
    <w:name w:val="Table Normal"/>
    <w:unhideWhenUsed/>
    <w:qFormat/>
    <w:uiPriority w:val="2"/>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40">
    <w:name w:val="索引 41"/>
    <w:basedOn w:val="1"/>
    <w:next w:val="1"/>
    <w:qFormat/>
    <w:uiPriority w:val="0"/>
    <w:pPr>
      <w:widowControl w:val="0"/>
      <w:autoSpaceDE w:val="0"/>
      <w:autoSpaceDN w:val="0"/>
      <w:spacing w:before="0" w:after="160"/>
      <w:ind w:left="1260"/>
      <w:jc w:val="left"/>
    </w:pPr>
    <w:rPr>
      <w:rFonts w:ascii="Calibri" w:hAnsi="Calibri" w:eastAsia="Calibri" w:cs="宋体"/>
      <w:kern w:val="0"/>
      <w:sz w:val="20"/>
      <w:lang w:val="zh-CN" w:eastAsia="zh-CN" w:bidi="zh-CN"/>
      <w14:ligatures w14:val="none"/>
    </w:rPr>
  </w:style>
  <w:style w:type="paragraph" w:customStyle="1" w:styleId="41">
    <w:name w:val="Table Text"/>
    <w:basedOn w:val="1"/>
    <w:semiHidden/>
    <w:qFormat/>
    <w:uiPriority w:val="0"/>
    <w:pPr>
      <w:widowControl w:val="0"/>
      <w:autoSpaceDE w:val="0"/>
      <w:autoSpaceDN w:val="0"/>
      <w:spacing w:before="0" w:after="160"/>
      <w:jc w:val="left"/>
    </w:pPr>
    <w:rPr>
      <w:rFonts w:ascii="仿宋" w:hAnsi="仿宋" w:eastAsia="仿宋" w:cs="仿宋"/>
      <w:kern w:val="0"/>
      <w:sz w:val="12"/>
      <w:szCs w:val="12"/>
      <w14:ligatures w14:val="none"/>
    </w:rPr>
  </w:style>
  <w:style w:type="paragraph" w:customStyle="1" w:styleId="42">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character" w:customStyle="1" w:styleId="43">
    <w:name w:val="标题 1 Char1"/>
    <w:link w:val="2"/>
    <w:qFormat/>
    <w:uiPriority w:val="9"/>
    <w:rPr>
      <w:rFonts w:ascii="黑体" w:hAnsi="黑体" w:eastAsia="黑体" w:cs="黑体"/>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5969</Words>
  <Characters>6292</Characters>
  <Lines>49</Lines>
  <Paragraphs>13</Paragraphs>
  <TotalTime>0</TotalTime>
  <ScaleCrop>false</ScaleCrop>
  <LinksUpToDate>false</LinksUpToDate>
  <CharactersWithSpaces>6469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2026-01-30T11:04:00Z</dcterms:created>
  <dc:creator>健 陈</dc:creator>
  <cp:lastModifiedBy>casic</cp:lastModifiedBy>
  <cp:lastPrinted>2026-05-22T10:37:00Z</cp:lastPrinted>
  <dcterms:modified xsi:type="dcterms:W3CDTF">2026-05-22T15:23:24Z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eyJoZGlkIjoiMjNiMWFhNzk2ZTcwYzMwYTEzYzI4NzBjOWIyODQyYTkiLCJ1c2VySWQiOiIzMzg4MTgzMjUifQ==</vt:lpwstr>
  </property>
  <property fmtid="{D5CDD505-2E9C-101B-9397-08002B2CF9AE}" pid="3" name="KSOProductBuildVer">
    <vt:lpwstr>2052-11.8.2.9958</vt:lpwstr>
  </property>
  <property fmtid="{D5CDD505-2E9C-101B-9397-08002B2CF9AE}" pid="4" name="ICV">
    <vt:lpwstr>4BE2F6F94C2D4FE295469AB9EE08DA1B_13</vt:lpwstr>
  </property>
</Properties>
</file>