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D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AAC1EB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评价标准</w:t>
      </w:r>
    </w:p>
    <w:tbl>
      <w:tblPr>
        <w:tblStyle w:val="5"/>
        <w:tblpPr w:leftFromText="180" w:rightFromText="180" w:vertAnchor="text" w:horzAnchor="page" w:tblpX="1856" w:tblpY="64"/>
        <w:tblOverlap w:val="never"/>
        <w:tblW w:w="86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102"/>
        <w:gridCol w:w="5715"/>
        <w:gridCol w:w="915"/>
      </w:tblGrid>
      <w:tr w14:paraId="17AB4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949" w:type="dxa"/>
            <w:noWrap w:val="0"/>
            <w:vAlign w:val="center"/>
          </w:tcPr>
          <w:p w14:paraId="5CF9D95E">
            <w:pPr>
              <w:pStyle w:val="4"/>
              <w:spacing w:before="111" w:line="221" w:lineRule="auto"/>
              <w:ind w:left="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102" w:type="dxa"/>
            <w:noWrap w:val="0"/>
            <w:vAlign w:val="center"/>
          </w:tcPr>
          <w:p w14:paraId="4DE95BBD">
            <w:pPr>
              <w:pStyle w:val="4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评分因素</w:t>
            </w:r>
          </w:p>
        </w:tc>
        <w:tc>
          <w:tcPr>
            <w:tcW w:w="5715" w:type="dxa"/>
            <w:noWrap w:val="0"/>
            <w:vAlign w:val="center"/>
          </w:tcPr>
          <w:p w14:paraId="1CD7AED1">
            <w:pPr>
              <w:pStyle w:val="4"/>
              <w:spacing w:before="111" w:line="220" w:lineRule="auto"/>
              <w:ind w:left="1802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评分细则</w:t>
            </w:r>
          </w:p>
        </w:tc>
        <w:tc>
          <w:tcPr>
            <w:tcW w:w="915" w:type="dxa"/>
            <w:noWrap w:val="0"/>
            <w:vAlign w:val="center"/>
          </w:tcPr>
          <w:p w14:paraId="25B81382">
            <w:pPr>
              <w:pStyle w:val="4"/>
              <w:spacing w:before="110" w:line="219" w:lineRule="auto"/>
              <w:ind w:left="6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分值</w:t>
            </w:r>
          </w:p>
        </w:tc>
      </w:tr>
      <w:tr w14:paraId="1D338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949" w:type="dxa"/>
            <w:tcBorders>
              <w:bottom w:val="single" w:color="auto" w:sz="4" w:space="0"/>
            </w:tcBorders>
            <w:noWrap w:val="0"/>
            <w:vAlign w:val="center"/>
          </w:tcPr>
          <w:p w14:paraId="5BB815BC">
            <w:pPr>
              <w:pStyle w:val="4"/>
              <w:spacing w:before="45" w:line="18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bottom w:val="single" w:color="auto" w:sz="4" w:space="0"/>
            </w:tcBorders>
            <w:noWrap w:val="0"/>
            <w:vAlign w:val="center"/>
          </w:tcPr>
          <w:p w14:paraId="6D27C866">
            <w:pPr>
              <w:pStyle w:val="4"/>
              <w:spacing w:before="46" w:line="21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投标报价</w:t>
            </w:r>
          </w:p>
        </w:tc>
        <w:tc>
          <w:tcPr>
            <w:tcW w:w="5715" w:type="dxa"/>
            <w:tcBorders>
              <w:bottom w:val="single" w:color="auto" w:sz="4" w:space="0"/>
            </w:tcBorders>
            <w:noWrap w:val="0"/>
            <w:vAlign w:val="top"/>
          </w:tcPr>
          <w:p w14:paraId="1A1922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各供应商最终报价作为评审价进行价格分计算，采用低价优先法，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</w:rPr>
              <w:t>即满足竞争性磋商文件要求且最低报价为评审基准价，其价格分为</w:t>
            </w:r>
            <w:r>
              <w:rPr>
                <w:rFonts w:hint="eastAsia" w:cs="宋体"/>
                <w:spacing w:val="-10"/>
                <w:sz w:val="20"/>
                <w:szCs w:val="20"/>
                <w:lang w:eastAsia="zh-CN"/>
              </w:rPr>
              <w:t>最高分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</w:rPr>
              <w:t>。其他供应商的价格分统一按照下列公式计算：项目磋商报价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得分=</w:t>
            </w:r>
            <w:r>
              <w:rPr>
                <w:rFonts w:hint="eastAsia" w:cs="宋体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评标基准价/磋商最终报价</w:t>
            </w:r>
            <w:r>
              <w:rPr>
                <w:rFonts w:hint="eastAsia" w:cs="宋体"/>
                <w:spacing w:val="-2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×</w:t>
            </w:r>
            <w:r>
              <w:rPr>
                <w:rFonts w:hint="eastAsia" w:cs="宋体"/>
                <w:spacing w:val="-2"/>
                <w:sz w:val="20"/>
                <w:szCs w:val="20"/>
                <w:lang w:val="en-US" w:eastAsia="zh-CN"/>
              </w:rPr>
              <w:t>20，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小数点后保留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2位。</w:t>
            </w:r>
          </w:p>
        </w:tc>
        <w:tc>
          <w:tcPr>
            <w:tcW w:w="915" w:type="dxa"/>
            <w:noWrap w:val="0"/>
            <w:vAlign w:val="top"/>
          </w:tcPr>
          <w:p w14:paraId="2A76EE01">
            <w:pPr>
              <w:spacing w:line="34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FA0A211">
            <w:pPr>
              <w:pStyle w:val="4"/>
              <w:spacing w:before="46" w:line="220" w:lineRule="auto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/>
                <w:spacing w:val="1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分</w:t>
            </w:r>
          </w:p>
        </w:tc>
      </w:tr>
      <w:tr w14:paraId="4D80D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7C9B">
            <w:pPr>
              <w:pStyle w:val="4"/>
              <w:spacing w:before="45" w:line="184" w:lineRule="auto"/>
              <w:ind w:left="15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4EAF">
            <w:pPr>
              <w:pStyle w:val="4"/>
              <w:spacing w:before="46" w:line="218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企业资质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C998">
            <w:pPr>
              <w:rPr>
                <w:rFonts w:hint="eastAsia" w:ascii="宋体" w:hAnsi="宋体" w:eastAsia="宋体" w:cs="宋体"/>
                <w:spacing w:val="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具备有效的《检验检测机构资质认定证书》（CMA），且资质认定附表必须覆盖本次招标要求的全部检测标准：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 xml:space="preserve">   - 机动车：GB 3847-2018《柴油车污染物排放限值及测量方法》。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 xml:space="preserve">   - 非道路移动机械：GB 36886-2018《非道路移动柴油机械排气烟度限值及测量方法》完全覆盖得</w:t>
            </w:r>
            <w:r>
              <w:rPr>
                <w:rFonts w:hint="eastAsia" w:ascii="宋体" w:hAnsi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分，缺一项不得分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提供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资质材料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复印件加盖公章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）。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为本项目服务的团队人员中，具有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驾驶证A照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，每提供一个得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分，具有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驾驶证B照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，每提供一个得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分，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最高分5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分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提供证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明材料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复印件加盖公章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；并提供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就业证明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。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689D">
            <w:pPr>
              <w:spacing w:line="39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分</w:t>
            </w:r>
          </w:p>
        </w:tc>
      </w:tr>
      <w:tr w14:paraId="645F0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0418">
            <w:pPr>
              <w:pStyle w:val="4"/>
              <w:spacing w:before="45" w:line="184" w:lineRule="auto"/>
              <w:ind w:left="15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0EB9">
            <w:pPr>
              <w:pStyle w:val="4"/>
              <w:spacing w:before="46" w:line="218" w:lineRule="auto"/>
              <w:jc w:val="center"/>
              <w:rPr>
                <w:rFonts w:hint="default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相关业绩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供应商自202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年1月1日以来（以合同签订时间为准），承担过类似业绩的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每提供一个得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分，本项最高得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分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提供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相关证明材料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加盖公章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。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540A">
            <w:pPr>
              <w:spacing w:line="39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分</w:t>
            </w:r>
          </w:p>
        </w:tc>
      </w:tr>
      <w:tr w14:paraId="75804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B433">
            <w:pPr>
              <w:pStyle w:val="4"/>
              <w:spacing w:before="45" w:line="184" w:lineRule="auto"/>
              <w:ind w:left="15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3E03">
            <w:pPr>
              <w:pStyle w:val="4"/>
              <w:spacing w:before="46" w:line="218" w:lineRule="auto"/>
              <w:jc w:val="center"/>
              <w:rPr>
                <w:rFonts w:hint="default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技术</w:t>
            </w:r>
            <w:r>
              <w:rPr>
                <w:rFonts w:hint="eastAsia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服务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624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供应商为本项目投入的专用设备齐全且在检定/校准有效期内：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不透光烟度计：每台得3分，最高6分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林格曼黑度仪：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每台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得2分。最高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分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（提供设备检定证书复印件加盖公章）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。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提供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本项目专用的车辆（采样车）数量充足，车况良好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，每台得3分，本项最高得5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分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（提供车辆行驶证复印件加盖公章或者车辆租赁协议复印件加盖公章）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。</w:t>
            </w:r>
          </w:p>
          <w:p w14:paraId="2495FFB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承诺在提供标准检测报告的基础上，提供定制化的数据分析报告（如排放超标车辆/机械的统计分析等）。方案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翔实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、维度清晰、具有实用价值的，得8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—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10分；方案较为简单、分析维度较少的，得4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—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7分；仅承诺提供基础报告的，得0-3分。</w:t>
            </w:r>
          </w:p>
          <w:p w14:paraId="43BDCD5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FAE5">
            <w:pPr>
              <w:spacing w:line="39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分</w:t>
            </w:r>
          </w:p>
        </w:tc>
      </w:tr>
      <w:tr w14:paraId="5C5CE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4B02">
            <w:pPr>
              <w:pStyle w:val="4"/>
              <w:spacing w:before="45" w:line="184" w:lineRule="auto"/>
              <w:ind w:left="15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6405">
            <w:pPr>
              <w:pStyle w:val="4"/>
              <w:spacing w:before="46" w:line="218" w:lineRule="auto"/>
              <w:jc w:val="center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pacing w:val="-2"/>
                <w:sz w:val="20"/>
                <w:szCs w:val="20"/>
                <w:lang w:val="en-US" w:eastAsia="zh-CN"/>
              </w:rPr>
              <w:t>应急响应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F8E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针对招标方可能面临的临时性、突发性检测任务，供应商的快速响应与支持能力。承诺提供7×24小时应急响应热线，并能在接到通知后2小时内到达指定区域开展工作的，得8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—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10分；承诺在接到通知后4小时内到达的，得4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—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7分；无明确承诺或响应时间较长的，得0-3分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zh-CN" w:bidi="ar-SA"/>
              </w:rPr>
              <w:t>（提供承诺书）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0"/>
                <w:szCs w:val="20"/>
                <w:lang w:val="en-US" w:eastAsia="en-US" w:bidi="ar-SA"/>
              </w:rPr>
              <w:t>。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A247">
            <w:pPr>
              <w:spacing w:line="39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10分</w:t>
            </w:r>
          </w:p>
        </w:tc>
      </w:tr>
      <w:tr w14:paraId="42DD8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37D2">
            <w:pPr>
              <w:pStyle w:val="4"/>
              <w:spacing w:before="45" w:line="184" w:lineRule="auto"/>
              <w:ind w:left="15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A60">
            <w:pPr>
              <w:pStyle w:val="4"/>
              <w:spacing w:before="46" w:line="218" w:lineRule="auto"/>
              <w:jc w:val="center"/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增值服务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B09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能服务于本项目的其他增值技术服务项，每提供一项得5分，最高分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分。</w:t>
            </w:r>
          </w:p>
        </w:tc>
        <w:tc>
          <w:tcPr>
            <w:tcW w:w="9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602E">
            <w:pPr>
              <w:spacing w:line="390" w:lineRule="auto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10分</w:t>
            </w:r>
          </w:p>
        </w:tc>
      </w:tr>
    </w:tbl>
    <w:p w14:paraId="0A2FB7BE"/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303F3"/>
    <w:rsid w:val="1F3303F3"/>
    <w:rsid w:val="247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2026-04-08T01:32:00Z</dcterms:created>
  <dc:creator>WPS_1772692778</dc:creator>
  <cp:lastModifiedBy>WPS_1772692778</cp:lastModifiedBy>
  <dcterms:modified xsi:type="dcterms:W3CDTF">2026-04-08T01:33:22Z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6BD80A9B3B104DB6B83609F9ACC48504_11</vt:lpwstr>
  </property>
  <property fmtid="{D5CDD505-2E9C-101B-9397-08002B2CF9AE}" pid="4" name="KSOTemplateDocerSaveRecord">
    <vt:lpwstr>eyJoZGlkIjoiOTBhYzkxM2NjMjc1ZmZmMzY3M2Q1YTc5ZWMyZWU5ZjkiLCJ1c2VySWQiOiIxODA4MDE1OTcyIn0=</vt:lpwstr>
  </property>
</Properties>
</file>