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FE2F">
      <w:pPr>
        <w:spacing w:before="480" w:after="480" w:line="288" w:lineRule="auto"/>
        <w:ind w:left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eastAsia="等线" w:cs="Times New Roman"/>
          <w:b/>
          <w:sz w:val="36"/>
          <w:szCs w:val="36"/>
          <w:lang w:eastAsia="zh-CN"/>
        </w:rPr>
        <w:t>秸秆禁烧“蓝天卫士”在线监测系统服务项目</w:t>
      </w:r>
      <w:r>
        <w:rPr>
          <w:rFonts w:hint="default" w:ascii="Times New Roman" w:hAnsi="Times New Roman" w:eastAsia="等线" w:cs="Times New Roman"/>
          <w:b/>
          <w:sz w:val="36"/>
          <w:szCs w:val="36"/>
        </w:rPr>
        <w:t>询价评分表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196"/>
        <w:gridCol w:w="6217"/>
        <w:gridCol w:w="654"/>
      </w:tblGrid>
      <w:tr w14:paraId="62CC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5C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</w:rPr>
              <w:t>序号</w:t>
            </w:r>
          </w:p>
        </w:tc>
        <w:tc>
          <w:tcPr>
            <w:tcW w:w="11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6B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</w:rPr>
              <w:t>评分因素</w:t>
            </w:r>
          </w:p>
        </w:tc>
        <w:tc>
          <w:tcPr>
            <w:tcW w:w="62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74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</w:rPr>
              <w:t>评审标准</w:t>
            </w:r>
          </w:p>
        </w:tc>
        <w:tc>
          <w:tcPr>
            <w:tcW w:w="6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82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</w:rPr>
              <w:t>分值</w:t>
            </w:r>
          </w:p>
        </w:tc>
      </w:tr>
      <w:tr w14:paraId="57CB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67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</w:rPr>
              <w:t>1</w:t>
            </w:r>
          </w:p>
        </w:tc>
        <w:tc>
          <w:tcPr>
            <w:tcW w:w="11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6F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</w:rPr>
              <w:t>投标价格</w:t>
            </w:r>
          </w:p>
        </w:tc>
        <w:tc>
          <w:tcPr>
            <w:tcW w:w="62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86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采用低价优先法计算，即满足采购文件要求且投标价格最低的投标报价为评标基准价，其价格分为满分。其他投标供应商的价格分按照下列公式计算（小数点后保留两位）：投标报价得分=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评标基准价／投标报价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投标报价分值</w:t>
            </w:r>
          </w:p>
        </w:tc>
        <w:tc>
          <w:tcPr>
            <w:tcW w:w="6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8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20</w:t>
            </w:r>
          </w:p>
        </w:tc>
      </w:tr>
      <w:tr w14:paraId="045F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F8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11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585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技术指标</w:t>
            </w:r>
          </w:p>
          <w:p w14:paraId="2FD724BB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2"/>
              </w:rPr>
            </w:pPr>
          </w:p>
        </w:tc>
        <w:tc>
          <w:tcPr>
            <w:tcW w:w="62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79C7">
            <w:pPr>
              <w:widowControl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平台系统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技术参数满足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以下要求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；</w:t>
            </w:r>
          </w:p>
          <w:p w14:paraId="60492ECB">
            <w:pPr>
              <w:widowControl/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传输带宽要求不低于20M。2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设备参数：可见光摄像机需支持不低于400万像素，不小于40倍光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学变倍，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具备IP66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防护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6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31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10</w:t>
            </w:r>
          </w:p>
        </w:tc>
      </w:tr>
      <w:tr w14:paraId="3F29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C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  <w:t>3</w:t>
            </w:r>
          </w:p>
        </w:tc>
        <w:tc>
          <w:tcPr>
            <w:tcW w:w="11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FF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</w:rPr>
              <w:t>业绩</w:t>
            </w:r>
          </w:p>
        </w:tc>
        <w:tc>
          <w:tcPr>
            <w:tcW w:w="62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A8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rPr>
                <w:rFonts w:hint="default" w:ascii="仿宋" w:hAnsi="仿宋" w:eastAsia="仿宋" w:cs="仿宋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2"/>
              </w:rPr>
              <w:t>供应商自202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2"/>
              </w:rPr>
              <w:t>年12月1日（含）以来承担过类似业绩，每提供一个得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2"/>
              </w:rPr>
              <w:t>分，最高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2"/>
              </w:rPr>
              <w:t>分。</w:t>
            </w:r>
          </w:p>
        </w:tc>
        <w:tc>
          <w:tcPr>
            <w:tcW w:w="6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20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15</w:t>
            </w:r>
          </w:p>
        </w:tc>
      </w:tr>
      <w:tr w14:paraId="1BFD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9D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  <w:t>4</w:t>
            </w:r>
          </w:p>
        </w:tc>
        <w:tc>
          <w:tcPr>
            <w:tcW w:w="11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0C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373"/>
              </w:tabs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</w:rPr>
              <w:t>项目管理及实施方案</w:t>
            </w:r>
          </w:p>
        </w:tc>
        <w:tc>
          <w:tcPr>
            <w:tcW w:w="62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81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根据供应商提供的项目管理及实施方案进行评分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（1）项目管理及实施方案内容详尽全面，紧密契合项目实际，操作步骤清晰可行，得15分；（2）项目管理及实施方案内容较为完整，具有一定针对性，可操作性较强，得12分；（3）项目管理及实施方案内容完整度一般，针对性与可操作性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属于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一般水平，得9分；（4）项目管理及实施方案内容存在缺失，针对性及可操作性均显不足，得6分；（5）项目管理及实施方案内容欠缺，难以满足项目基本要求，得3分。</w:t>
            </w:r>
          </w:p>
        </w:tc>
        <w:tc>
          <w:tcPr>
            <w:tcW w:w="6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3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15</w:t>
            </w:r>
          </w:p>
        </w:tc>
      </w:tr>
      <w:tr w14:paraId="082B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81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1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56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  <w:lang w:eastAsia="zh-CN"/>
              </w:rPr>
              <w:t>运维方案</w:t>
            </w:r>
          </w:p>
        </w:tc>
        <w:tc>
          <w:tcPr>
            <w:tcW w:w="62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E8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eastAsia" w:ascii="仿宋" w:hAnsi="仿宋" w:eastAsia="仿宋" w:cs="仿宋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根据供应商提供的运维方案进行评分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（1）运维方案内容详尽、表述清晰、可操作性强，完全符合采购需求的，得15分；（2）运维方案内容较为详细、表述较为完整、具备较强可操作性，能够满足采购需求的，得12分；（3）运维方案内容及可操作性均属一般水平的，得9分；（4）运维方案内容较为简略，合理性与可行性表述不够清晰的，得6分；（5）运维方案内容存在明显不足，可操作性较低，无法满足采购需求的，得3分。</w:t>
            </w:r>
          </w:p>
        </w:tc>
        <w:tc>
          <w:tcPr>
            <w:tcW w:w="6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D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15</w:t>
            </w:r>
          </w:p>
        </w:tc>
      </w:tr>
      <w:tr w14:paraId="64F0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65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11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F4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373"/>
              </w:tabs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  <w:lang w:eastAsia="zh-CN"/>
              </w:rPr>
              <w:t>售后服务方案</w:t>
            </w:r>
          </w:p>
        </w:tc>
        <w:tc>
          <w:tcPr>
            <w:tcW w:w="62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FA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根据供应商提供的售后服务方案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进行评分。</w:t>
            </w:r>
          </w:p>
          <w:p w14:paraId="473A0D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eastAsia" w:ascii="仿宋" w:hAnsi="仿宋" w:eastAsia="仿宋" w:cs="仿宋"/>
                <w:color w:val="auto"/>
                <w:sz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（1）售后服务方案、措施、保障体系内容完善、针对性强、切实可行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响应时间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短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，应急保障人力及物资安排充足的得1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分；（2）售后服务方案针对性较强、服务流程及内容较具体、应急保障人力及物资准备较充足的得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分；（3）有基本服务流程及内容，响应时间、服务人员匹配基本满足需求的得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分；（4）售后服务方案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一般，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响应时间、服务人员匹配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一般的得6分；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售后服务方案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较差，方案不完整的得3分。</w:t>
            </w:r>
          </w:p>
        </w:tc>
        <w:tc>
          <w:tcPr>
            <w:tcW w:w="6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F4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15</w:t>
            </w:r>
          </w:p>
        </w:tc>
      </w:tr>
      <w:tr w14:paraId="0234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E0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  <w:t>7</w:t>
            </w:r>
          </w:p>
        </w:tc>
        <w:tc>
          <w:tcPr>
            <w:tcW w:w="11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B1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373"/>
              </w:tabs>
              <w:spacing w:before="0" w:after="0" w:line="240" w:lineRule="auto"/>
              <w:ind w:left="0" w:right="0" w:firstLine="0"/>
              <w:jc w:val="left"/>
              <w:rPr>
                <w:rFonts w:hint="default" w:ascii="仿宋" w:hAnsi="仿宋" w:eastAsia="仿宋" w:cs="仿宋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  <w:lang w:val="en-US" w:eastAsia="zh-CN"/>
              </w:rPr>
              <w:t>增值服务</w:t>
            </w:r>
          </w:p>
        </w:tc>
        <w:tc>
          <w:tcPr>
            <w:tcW w:w="62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75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提供1—2个高点热成像双光谱球机，实现可见光高清成像与热成像相结合，具备智能分析功能。</w:t>
            </w:r>
          </w:p>
        </w:tc>
        <w:tc>
          <w:tcPr>
            <w:tcW w:w="6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EB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10</w:t>
            </w:r>
          </w:p>
        </w:tc>
      </w:tr>
    </w:tbl>
    <w:p w14:paraId="23F79686"/>
    <w:sectPr>
      <w:footerReference r:id="rId3" w:type="default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9DACE">
    <w:pPr>
      <w:pStyle w:val="3"/>
      <w:tabs>
        <w:tab w:val="right" w:pos="902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E666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E666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A44C2"/>
    <w:rsid w:val="247F546C"/>
    <w:rsid w:val="290A44C2"/>
    <w:rsid w:val="2B102FB5"/>
    <w:rsid w:val="7BD6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2026-04-02T08:44:00Z</dcterms:created>
  <dc:creator>WPS_1772692778</dc:creator>
  <cp:lastModifiedBy>WPS_1772692778</cp:lastModifiedBy>
  <dcterms:modified xsi:type="dcterms:W3CDTF">2026-04-02T09:05:13Z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4909317DFDB74D008ABBBC384F7E2C87_11</vt:lpwstr>
  </property>
  <property fmtid="{D5CDD505-2E9C-101B-9397-08002B2CF9AE}" pid="4" name="KSOTemplateDocerSaveRecord">
    <vt:lpwstr>eyJoZGlkIjoiOTBhYzkxM2NjMjc1ZmZmMzY3M2Q1YTc5ZWMyZWU5ZjkiLCJ1c2VySWQiOiIxODA4MDE1OTcyIn0=</vt:lpwstr>
  </property>
</Properties>
</file>