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E349">
      <w:pPr>
        <w:pStyle w:val="2"/>
        <w:keepNext/>
        <w:keepLines/>
        <w:pageBreakBefore w:val="0"/>
        <w:widowControl w:val="0"/>
        <w:tabs>
          <w:tab w:val="left" w:pos="0"/>
          <w:tab w:val="left" w:pos="420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</w:rPr>
      </w:pPr>
      <w:bookmarkStart w:id="0" w:name="_Toc35393773"/>
      <w:bookmarkStart w:id="1" w:name="_Toc11224"/>
      <w:bookmarkStart w:id="2" w:name="_Toc22653"/>
      <w:bookmarkStart w:id="3" w:name="_Toc23676"/>
      <w:bookmarkStart w:id="4" w:name="_Toc515744788"/>
      <w:bookmarkStart w:id="5" w:name="_Toc2583678"/>
      <w:r>
        <w:rPr>
          <w:rFonts w:hint="eastAsia" w:ascii="Times New Roman" w:hAnsi="Times New Roman" w:eastAsia="方正小标宋_GBK" w:cs="方正小标宋_GBK"/>
          <w:b w:val="0"/>
          <w:bCs w:val="0"/>
        </w:rPr>
        <w:t>政府采购意向公告</w:t>
      </w:r>
      <w:bookmarkEnd w:id="0"/>
    </w:p>
    <w:p w14:paraId="26DFB721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</w:p>
    <w:p w14:paraId="5DA960F9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为便于供应商及时了解政府采购信息，根据《江苏省财政厅关于做好意向公开工作的通知》等有关规定，现将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  <w:lang w:eastAsia="zh-CN"/>
        </w:rPr>
        <w:t>南京市</w:t>
      </w:r>
      <w:r>
        <w:rPr>
          <w:rFonts w:hint="eastAsia" w:eastAsia="方正仿宋_GBK" w:cs="方正仿宋_GBK"/>
          <w:iCs/>
          <w:color w:val="auto"/>
          <w:sz w:val="32"/>
          <w:szCs w:val="32"/>
          <w:u w:val="none"/>
          <w:lang w:val="en-US" w:eastAsia="zh-CN"/>
        </w:rPr>
        <w:t>浦口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  <w:lang w:eastAsia="zh-CN"/>
        </w:rPr>
        <w:t>生态环境局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2025年</w:t>
      </w:r>
      <w:r>
        <w:rPr>
          <w:rFonts w:hint="eastAsia" w:eastAsia="方正仿宋_GBK" w:cs="方正仿宋_GBK"/>
          <w:iCs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月政府采购意向公告如下：</w:t>
      </w:r>
    </w:p>
    <w:p w14:paraId="2EF12D10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</w:p>
    <w:tbl>
      <w:tblPr>
        <w:tblStyle w:val="17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51"/>
        <w:gridCol w:w="4947"/>
        <w:gridCol w:w="1532"/>
        <w:gridCol w:w="1595"/>
        <w:gridCol w:w="1718"/>
        <w:gridCol w:w="1528"/>
      </w:tblGrid>
      <w:tr w14:paraId="6F7E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26" w:type="dxa"/>
            <w:vAlign w:val="center"/>
          </w:tcPr>
          <w:p w14:paraId="42F3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1" w:type="dxa"/>
            <w:vAlign w:val="center"/>
          </w:tcPr>
          <w:p w14:paraId="4541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采购项目</w:t>
            </w:r>
          </w:p>
          <w:p w14:paraId="2EA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947" w:type="dxa"/>
            <w:vAlign w:val="center"/>
          </w:tcPr>
          <w:p w14:paraId="4B3B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532" w:type="dxa"/>
            <w:vAlign w:val="center"/>
          </w:tcPr>
          <w:p w14:paraId="1BAF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预算金额</w:t>
            </w:r>
          </w:p>
          <w:p w14:paraId="17B6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95" w:type="dxa"/>
            <w:vAlign w:val="center"/>
          </w:tcPr>
          <w:p w14:paraId="567A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预计采购</w:t>
            </w:r>
          </w:p>
          <w:p w14:paraId="1282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月份</w:t>
            </w:r>
          </w:p>
        </w:tc>
        <w:tc>
          <w:tcPr>
            <w:tcW w:w="1718" w:type="dxa"/>
            <w:vAlign w:val="center"/>
          </w:tcPr>
          <w:p w14:paraId="531D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是否专门面向中小企业采购</w:t>
            </w:r>
          </w:p>
        </w:tc>
        <w:tc>
          <w:tcPr>
            <w:tcW w:w="1528" w:type="dxa"/>
            <w:vAlign w:val="center"/>
          </w:tcPr>
          <w:p w14:paraId="1C80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是否采购节能产品、环境标志产品</w:t>
            </w:r>
          </w:p>
        </w:tc>
      </w:tr>
      <w:tr w14:paraId="20DF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826" w:type="dxa"/>
            <w:vAlign w:val="center"/>
          </w:tcPr>
          <w:p w14:paraId="1EAF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1" w:type="dxa"/>
            <w:vAlign w:val="center"/>
          </w:tcPr>
          <w:p w14:paraId="3B7A4853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2025年浦口区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无废城市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建设和危险废物规范化评估及新化学物质环境信息统计调查项目</w:t>
            </w:r>
          </w:p>
        </w:tc>
        <w:tc>
          <w:tcPr>
            <w:tcW w:w="4947" w:type="dxa"/>
            <w:vAlign w:val="center"/>
          </w:tcPr>
          <w:p w14:paraId="7553BEDF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依据部、省、市固体废物与化学品环境管理工作要点，以“无废城市”建设为统领，深入推进固体废物全过程环境监管，加强固体废物环境风险防控，提升危险废物规范化管理水平，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拟委托第三方专业技术单位开展2025年浦口区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无废城市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建设和危险废物规范化评估及新化学物质环境信息统计调查项目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532" w:type="dxa"/>
            <w:vAlign w:val="center"/>
          </w:tcPr>
          <w:p w14:paraId="2D44FD8D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17.1</w:t>
            </w:r>
          </w:p>
        </w:tc>
        <w:tc>
          <w:tcPr>
            <w:tcW w:w="1595" w:type="dxa"/>
            <w:vAlign w:val="center"/>
          </w:tcPr>
          <w:p w14:paraId="719FF1E9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2025.</w:t>
            </w: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18" w:type="dxa"/>
            <w:vAlign w:val="center"/>
          </w:tcPr>
          <w:p w14:paraId="32624F79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528" w:type="dxa"/>
            <w:vAlign w:val="center"/>
          </w:tcPr>
          <w:p w14:paraId="22D940BE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</w:tbl>
    <w:p w14:paraId="6E4A949F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64CB71A5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</w:pPr>
    </w:p>
    <w:p w14:paraId="1D555629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南京市</w:t>
      </w:r>
      <w:r>
        <w:rPr>
          <w:rFonts w:hint="eastAsia" w:ascii="Times New Roman" w:hAnsi="Times New Roman" w:eastAsia="仿宋"/>
          <w:color w:val="auto"/>
          <w:sz w:val="28"/>
          <w:szCs w:val="28"/>
          <w:lang w:val="en-US" w:eastAsia="zh-CN"/>
        </w:rPr>
        <w:t>浦口</w:t>
      </w: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生态环境局</w:t>
      </w:r>
    </w:p>
    <w:p w14:paraId="73DCA166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年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日</w:t>
      </w:r>
      <w:bookmarkEnd w:id="1"/>
      <w:bookmarkEnd w:id="2"/>
      <w:bookmarkEnd w:id="3"/>
      <w:bookmarkEnd w:id="4"/>
      <w:bookmarkEnd w:id="5"/>
    </w:p>
    <w:sectPr>
      <w:pgSz w:w="16838" w:h="11906" w:orient="landscape"/>
      <w:pgMar w:top="1587" w:right="1474" w:bottom="1474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TE1MDc1N2Q3OGIzYzJkNmZlZTkxZGZiMzQ4NmE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75A7D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0F5617C"/>
    <w:rsid w:val="00FA0764"/>
    <w:rsid w:val="0780099C"/>
    <w:rsid w:val="08A13C26"/>
    <w:rsid w:val="0C666B4F"/>
    <w:rsid w:val="0F47579A"/>
    <w:rsid w:val="0FAC57F1"/>
    <w:rsid w:val="13AC4857"/>
    <w:rsid w:val="161517B0"/>
    <w:rsid w:val="182014A2"/>
    <w:rsid w:val="1E570B78"/>
    <w:rsid w:val="217C6D52"/>
    <w:rsid w:val="21E5472C"/>
    <w:rsid w:val="25E32DB9"/>
    <w:rsid w:val="26D7485F"/>
    <w:rsid w:val="2727166C"/>
    <w:rsid w:val="2EEC569D"/>
    <w:rsid w:val="301F0B40"/>
    <w:rsid w:val="39461AFC"/>
    <w:rsid w:val="3B5F4B8B"/>
    <w:rsid w:val="3CED6733"/>
    <w:rsid w:val="41270465"/>
    <w:rsid w:val="41E83005"/>
    <w:rsid w:val="49E35145"/>
    <w:rsid w:val="53D54A74"/>
    <w:rsid w:val="5BF44F90"/>
    <w:rsid w:val="5F195496"/>
    <w:rsid w:val="5F665FE7"/>
    <w:rsid w:val="61B700D1"/>
    <w:rsid w:val="63C30EA2"/>
    <w:rsid w:val="67256946"/>
    <w:rsid w:val="674C51D6"/>
    <w:rsid w:val="68931321"/>
    <w:rsid w:val="6B945485"/>
    <w:rsid w:val="6ED45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325</Words>
  <Characters>351</Characters>
  <Lines>3</Lines>
  <Paragraphs>1</Paragraphs>
  <TotalTime>2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南浦星和</cp:lastModifiedBy>
  <cp:lastPrinted>2020-03-23T07:37:00Z</cp:lastPrinted>
  <dcterms:modified xsi:type="dcterms:W3CDTF">2025-11-02T14:53:51Z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2B2920C792124D09952EF5F24687A1F4_13</vt:lpwstr>
  </property>
  <property fmtid="{D5CDD505-2E9C-101B-9397-08002B2CF9AE}" pid="4" name="KSOTemplateDocerSaveRecord">
    <vt:lpwstr>eyJoZGlkIjoiY2I2NmRhZWFkMjEwNGU1MmJiNTM1NDk3ODVhYTI3M2EiLCJ1c2VySWQiOiIzNjI3NjQ5MzAifQ==</vt:lpwstr>
  </property>
</Properties>
</file>