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23B3E">
      <w:pPr>
        <w:rPr>
          <w:rFonts w:ascii="方正仿宋_GBK" w:eastAsia="方正仿宋_GBK"/>
          <w:sz w:val="32"/>
          <w:szCs w:val="32"/>
        </w:rPr>
      </w:pPr>
      <w:r>
        <w:rPr>
          <w:rFonts w:hint="eastAsia" w:ascii="方正仿宋_GBK" w:eastAsia="方正仿宋_GBK"/>
          <w:sz w:val="32"/>
          <w:szCs w:val="32"/>
        </w:rPr>
        <w:t>附件1：</w:t>
      </w:r>
    </w:p>
    <w:p w14:paraId="7982C56E">
      <w:pPr>
        <w:jc w:val="center"/>
        <w:rPr>
          <w:rFonts w:ascii="方正小标宋简体" w:eastAsia="方正小标宋简体"/>
        </w:rPr>
      </w:pPr>
      <w:r>
        <w:rPr>
          <w:rFonts w:hint="eastAsia" w:ascii="方正小标宋简体" w:eastAsia="方正小标宋简体"/>
          <w:sz w:val="32"/>
          <w:szCs w:val="32"/>
        </w:rPr>
        <w:t>南京市栖霞区环</w:t>
      </w:r>
      <w:bookmarkStart w:id="0" w:name="_GoBack"/>
      <w:bookmarkEnd w:id="0"/>
      <w:r>
        <w:rPr>
          <w:rFonts w:hint="eastAsia" w:ascii="方正小标宋简体" w:eastAsia="方正小标宋简体"/>
          <w:sz w:val="32"/>
          <w:szCs w:val="32"/>
        </w:rPr>
        <w:t>境监测质控服务项目响应书</w:t>
      </w:r>
    </w:p>
    <w:tbl>
      <w:tblPr>
        <w:tblStyle w:val="13"/>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6585"/>
      </w:tblGrid>
      <w:tr w14:paraId="052B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94" w:type="dxa"/>
            <w:vAlign w:val="center"/>
          </w:tcPr>
          <w:p w14:paraId="37FC42D8">
            <w:pPr>
              <w:jc w:val="center"/>
            </w:pPr>
            <w:r>
              <w:rPr>
                <w:rFonts w:hint="eastAsia"/>
              </w:rPr>
              <w:t>项目名称</w:t>
            </w:r>
          </w:p>
        </w:tc>
        <w:tc>
          <w:tcPr>
            <w:tcW w:w="6585" w:type="dxa"/>
            <w:vAlign w:val="center"/>
          </w:tcPr>
          <w:p w14:paraId="58B53A6F">
            <w:pPr>
              <w:jc w:val="center"/>
            </w:pPr>
            <w:r>
              <w:rPr>
                <w:rFonts w:hint="eastAsia"/>
              </w:rPr>
              <w:t>南京市栖霞区环境监测质控服务</w:t>
            </w:r>
          </w:p>
        </w:tc>
      </w:tr>
      <w:tr w14:paraId="07B5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94" w:type="dxa"/>
            <w:vAlign w:val="center"/>
          </w:tcPr>
          <w:p w14:paraId="0E3BC3D1">
            <w:pPr>
              <w:jc w:val="center"/>
            </w:pPr>
            <w:r>
              <w:rPr>
                <w:rFonts w:hint="eastAsia"/>
              </w:rPr>
              <w:t>项目预算</w:t>
            </w:r>
          </w:p>
        </w:tc>
        <w:tc>
          <w:tcPr>
            <w:tcW w:w="6585" w:type="dxa"/>
            <w:vAlign w:val="center"/>
          </w:tcPr>
          <w:p w14:paraId="2AADED14">
            <w:pPr>
              <w:jc w:val="center"/>
            </w:pPr>
            <w:r>
              <w:rPr>
                <w:rFonts w:hint="eastAsia"/>
              </w:rPr>
              <w:t>最高限价20万元</w:t>
            </w:r>
          </w:p>
        </w:tc>
      </w:tr>
      <w:tr w14:paraId="2BCF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94" w:type="dxa"/>
            <w:vAlign w:val="center"/>
          </w:tcPr>
          <w:p w14:paraId="3A0845A9">
            <w:pPr>
              <w:jc w:val="center"/>
            </w:pPr>
            <w:r>
              <w:rPr>
                <w:rFonts w:hint="eastAsia"/>
              </w:rPr>
              <w:t>服务期限</w:t>
            </w:r>
          </w:p>
        </w:tc>
        <w:tc>
          <w:tcPr>
            <w:tcW w:w="6585" w:type="dxa"/>
            <w:vAlign w:val="center"/>
          </w:tcPr>
          <w:p w14:paraId="159F1D2F">
            <w:pPr>
              <w:jc w:val="center"/>
            </w:pPr>
            <w:r>
              <w:rPr>
                <w:rFonts w:hint="eastAsia"/>
              </w:rPr>
              <w:t>自合同签订之日起至2026年12月底</w:t>
            </w:r>
          </w:p>
        </w:tc>
      </w:tr>
      <w:tr w14:paraId="1F4F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4" w:hRule="atLeast"/>
        </w:trPr>
        <w:tc>
          <w:tcPr>
            <w:tcW w:w="1794" w:type="dxa"/>
            <w:vAlign w:val="center"/>
          </w:tcPr>
          <w:p w14:paraId="4615A66E">
            <w:pPr>
              <w:jc w:val="center"/>
            </w:pPr>
            <w:r>
              <w:rPr>
                <w:rFonts w:hint="eastAsia"/>
              </w:rPr>
              <w:t>采购需求</w:t>
            </w:r>
          </w:p>
        </w:tc>
        <w:tc>
          <w:tcPr>
            <w:tcW w:w="6585" w:type="dxa"/>
          </w:tcPr>
          <w:p w14:paraId="7A981114">
            <w:r>
              <w:rPr>
                <w:rFonts w:hint="eastAsia"/>
              </w:rPr>
              <w:t>采购需求须包含（但不限）以下内容：</w:t>
            </w:r>
          </w:p>
          <w:p w14:paraId="370C0490">
            <w:r>
              <w:rPr>
                <w:rFonts w:hint="eastAsia"/>
              </w:rPr>
              <w:t>一、提升甲方环境质量体系运行管理能力</w:t>
            </w:r>
          </w:p>
          <w:p w14:paraId="3C2C63A9">
            <w:pPr>
              <w:pStyle w:val="8"/>
            </w:pPr>
            <w:r>
              <w:rPr>
                <w:rFonts w:hint="eastAsia" w:asciiTheme="minorHAnsi" w:hAnsiTheme="minorHAnsi"/>
              </w:rPr>
              <w:t>1、</w:t>
            </w:r>
            <w:r>
              <w:rPr>
                <w:rFonts w:hint="eastAsia"/>
              </w:rPr>
              <w:t>通过培训和交流的方式对甲方实验室质量管理体系运行进行业务指导，对体系运行发现的问题提出整改建议。</w:t>
            </w:r>
          </w:p>
          <w:p w14:paraId="69007B80">
            <w:r>
              <w:rPr>
                <w:rFonts w:hint="eastAsia"/>
              </w:rPr>
              <w:t>2、指导甲方相关整改工作，主要包括对上级单位质量检查发现问题的整改工作进行技术指导，确保整改措施合理、有效。</w:t>
            </w:r>
          </w:p>
          <w:p w14:paraId="769F982C">
            <w:pPr>
              <w:rPr>
                <w:highlight w:val="yellow"/>
              </w:rPr>
            </w:pPr>
            <w:r>
              <w:rPr>
                <w:rFonts w:hint="eastAsia"/>
              </w:rPr>
              <w:t>3、根据中心能力提升需求，组织相关专家到实验室、监测项目监测现场开展业务指导，一年不少于4次；</w:t>
            </w:r>
            <w:r>
              <w:rPr>
                <w:rFonts w:hint="eastAsia"/>
                <w:highlight w:val="none"/>
                <w:lang w:val="en-US" w:eastAsia="zh-CN"/>
              </w:rPr>
              <w:t>相关专家</w:t>
            </w:r>
            <w:r>
              <w:rPr>
                <w:rFonts w:hint="eastAsia"/>
                <w:highlight w:val="none"/>
              </w:rPr>
              <w:t>要求</w:t>
            </w:r>
            <w:r>
              <w:rPr>
                <w:rFonts w:hint="eastAsia"/>
                <w:highlight w:val="none"/>
                <w:lang w:val="en-US" w:eastAsia="zh-CN"/>
              </w:rPr>
              <w:t>具有副高及以上职称，从事环境监测工作年限不少于20年</w:t>
            </w:r>
            <w:r>
              <w:rPr>
                <w:rFonts w:hint="eastAsia"/>
                <w:highlight w:val="none"/>
              </w:rPr>
              <w:t>。</w:t>
            </w:r>
          </w:p>
          <w:p w14:paraId="5D685477">
            <w:r>
              <w:rPr>
                <w:rFonts w:hint="eastAsia"/>
              </w:rPr>
              <w:t>二、开展第三方检测机构质控检查</w:t>
            </w:r>
          </w:p>
          <w:p w14:paraId="45C33D24">
            <w:r>
              <w:rPr>
                <w:rFonts w:hint="eastAsia"/>
              </w:rPr>
              <w:t>1、组织对承担南京市栖霞生态环境局环境质量和污染源监测服务项目的第三方检测机构执法监测项目现场监测规范性核查，一年不少于7次，检查人员要求为行业内具备丰富经验的专家。</w:t>
            </w:r>
          </w:p>
          <w:p w14:paraId="1C4EF4F0">
            <w:pPr>
              <w:rPr>
                <w:rFonts w:hint="eastAsia"/>
              </w:rPr>
            </w:pPr>
            <w:r>
              <w:rPr>
                <w:rFonts w:hint="eastAsia"/>
              </w:rPr>
              <w:t>2、组织对承担南京市栖霞生态环境局环境质量和污染源监测服务项目的第三方检测机构质量体系运行情况及实验室分析规范性核查，一年不少于4次，检查人员要求为行业内具备丰富经验的专家。</w:t>
            </w:r>
          </w:p>
          <w:p w14:paraId="3895953E">
            <w:pPr>
              <w:rPr>
                <w:rFonts w:hint="eastAsia"/>
                <w:lang w:eastAsia="zh-CN"/>
              </w:rPr>
            </w:pPr>
            <w:r>
              <w:rPr>
                <w:rFonts w:hint="eastAsia"/>
                <w:lang w:eastAsia="zh-CN"/>
              </w:rPr>
              <w:t>三、争议数据审核</w:t>
            </w:r>
          </w:p>
          <w:p w14:paraId="6885E72A">
            <w:r>
              <w:rPr>
                <w:rFonts w:hint="eastAsia"/>
              </w:rPr>
              <w:t>出现争议数据或争议报告时，组织有关专家对有异议的监测数据和监测报告进行审核，一年不少于30次。</w:t>
            </w:r>
          </w:p>
          <w:p w14:paraId="52B6EE02">
            <w:r>
              <w:rPr>
                <w:rFonts w:hint="eastAsia"/>
                <w:lang w:eastAsia="zh-CN"/>
              </w:rPr>
              <w:t>四</w:t>
            </w:r>
            <w:r>
              <w:rPr>
                <w:rFonts w:hint="eastAsia"/>
              </w:rPr>
              <w:t>、供应商资格要求</w:t>
            </w:r>
          </w:p>
          <w:p w14:paraId="4399C364">
            <w:r>
              <w:rPr>
                <w:rFonts w:hint="eastAsia"/>
              </w:rPr>
              <w:t>1.满足《中华人民共和国政府采购法》第二十二条规定；</w:t>
            </w:r>
          </w:p>
          <w:p w14:paraId="53ACD0EA">
            <w:r>
              <w:rPr>
                <w:rFonts w:hint="eastAsia"/>
              </w:rPr>
              <w:t>2.供应商应为中国大陆境内合法注册的企业或其他组织；</w:t>
            </w:r>
          </w:p>
          <w:p w14:paraId="337DF4B2">
            <w:r>
              <w:rPr>
                <w:rFonts w:hint="eastAsia"/>
              </w:rPr>
              <w:t>3.未被“信用中国”网站列入失信被执行人、重大税收违法案件当事人名单、政府采购严重违法失信行为记录名单；</w:t>
            </w:r>
          </w:p>
          <w:p w14:paraId="3041794F">
            <w:r>
              <w:rPr>
                <w:rFonts w:hint="eastAsia"/>
              </w:rPr>
              <w:t>4.授权委托人、项目负责人应为供应商本单位在职员工；</w:t>
            </w:r>
          </w:p>
          <w:p w14:paraId="5EFFCB38">
            <w:r>
              <w:rPr>
                <w:rFonts w:hint="eastAsia"/>
              </w:rPr>
              <w:t>5.本项目不接受联合体报价。</w:t>
            </w:r>
          </w:p>
        </w:tc>
      </w:tr>
      <w:tr w14:paraId="2913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94" w:type="dxa"/>
            <w:vAlign w:val="center"/>
          </w:tcPr>
          <w:p w14:paraId="15CD0460">
            <w:pPr>
              <w:jc w:val="center"/>
            </w:pPr>
            <w:r>
              <w:rPr>
                <w:rFonts w:hint="eastAsia"/>
              </w:rPr>
              <w:t>中标原则</w:t>
            </w:r>
          </w:p>
        </w:tc>
        <w:tc>
          <w:tcPr>
            <w:tcW w:w="6585" w:type="dxa"/>
            <w:vAlign w:val="center"/>
          </w:tcPr>
          <w:p w14:paraId="2F6DD008">
            <w:r>
              <w:rPr>
                <w:rFonts w:hint="eastAsia"/>
              </w:rPr>
              <w:t>综合评分法</w:t>
            </w:r>
          </w:p>
        </w:tc>
      </w:tr>
      <w:tr w14:paraId="6A6B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94" w:type="dxa"/>
            <w:vAlign w:val="center"/>
          </w:tcPr>
          <w:p w14:paraId="780ED1A7">
            <w:pPr>
              <w:jc w:val="center"/>
            </w:pPr>
            <w:r>
              <w:rPr>
                <w:rFonts w:hint="eastAsia"/>
              </w:rPr>
              <w:t>备  注</w:t>
            </w:r>
          </w:p>
        </w:tc>
        <w:tc>
          <w:tcPr>
            <w:tcW w:w="6585" w:type="dxa"/>
            <w:vAlign w:val="center"/>
          </w:tcPr>
          <w:p w14:paraId="15C103CF"/>
        </w:tc>
      </w:tr>
    </w:tbl>
    <w:p w14:paraId="502F2C15">
      <w:pPr>
        <w:sectPr>
          <w:pgSz w:w="11906" w:h="16838"/>
          <w:pgMar w:top="1803" w:right="1800" w:bottom="1803" w:left="1800" w:header="851" w:footer="992" w:gutter="0"/>
          <w:cols w:space="425" w:num="1"/>
          <w:docGrid w:type="lines" w:linePitch="312" w:charSpace="0"/>
        </w:sectPr>
      </w:pPr>
    </w:p>
    <w:p w14:paraId="44904001">
      <w:pPr>
        <w:rPr>
          <w:rFonts w:ascii="方正仿宋_GBK" w:eastAsia="方正仿宋_GBK"/>
          <w:sz w:val="32"/>
          <w:szCs w:val="32"/>
        </w:rPr>
      </w:pPr>
      <w:r>
        <w:rPr>
          <w:rFonts w:hint="eastAsia" w:ascii="方正仿宋_GBK" w:eastAsia="方正仿宋_GBK"/>
          <w:sz w:val="32"/>
          <w:szCs w:val="32"/>
        </w:rPr>
        <w:t>附件2：</w:t>
      </w:r>
    </w:p>
    <w:p w14:paraId="7513E3DF">
      <w:pPr>
        <w:jc w:val="center"/>
        <w:rPr>
          <w:rFonts w:ascii="方正小标宋简体" w:eastAsia="方正小标宋简体"/>
        </w:rPr>
      </w:pPr>
      <w:r>
        <w:rPr>
          <w:rFonts w:hint="eastAsia" w:ascii="方正小标宋简体" w:eastAsia="方正小标宋简体"/>
          <w:sz w:val="32"/>
          <w:szCs w:val="32"/>
        </w:rPr>
        <w:t>评分办法</w:t>
      </w:r>
    </w:p>
    <w:tbl>
      <w:tblPr>
        <w:tblStyle w:val="12"/>
        <w:tblW w:w="101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20"/>
        <w:gridCol w:w="6640"/>
        <w:gridCol w:w="640"/>
        <w:gridCol w:w="1120"/>
      </w:tblGrid>
      <w:tr w14:paraId="2B68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0" w:type="dxa"/>
            <w:shd w:val="clear" w:color="auto" w:fill="FFFFFF" w:themeFill="background1"/>
            <w:vAlign w:val="center"/>
          </w:tcPr>
          <w:p w14:paraId="0E5416FC">
            <w:pPr>
              <w:jc w:val="center"/>
            </w:pPr>
            <w:r>
              <w:rPr>
                <w:rFonts w:hint="eastAsia"/>
              </w:rPr>
              <w:t>序号</w:t>
            </w:r>
          </w:p>
        </w:tc>
        <w:tc>
          <w:tcPr>
            <w:tcW w:w="1120" w:type="dxa"/>
            <w:shd w:val="clear" w:color="auto" w:fill="FFFFFF" w:themeFill="background1"/>
            <w:vAlign w:val="center"/>
          </w:tcPr>
          <w:p w14:paraId="31B82BD1">
            <w:pPr>
              <w:jc w:val="center"/>
            </w:pPr>
            <w:r>
              <w:rPr>
                <w:rFonts w:hint="eastAsia"/>
              </w:rPr>
              <w:t>评分因素</w:t>
            </w:r>
          </w:p>
        </w:tc>
        <w:tc>
          <w:tcPr>
            <w:tcW w:w="6640" w:type="dxa"/>
            <w:shd w:val="clear" w:color="auto" w:fill="FFFFFF" w:themeFill="background1"/>
            <w:vAlign w:val="center"/>
          </w:tcPr>
          <w:p w14:paraId="17A616E5">
            <w:pPr>
              <w:jc w:val="center"/>
            </w:pPr>
            <w:r>
              <w:rPr>
                <w:rFonts w:hint="eastAsia"/>
              </w:rPr>
              <w:t>评审标准</w:t>
            </w:r>
          </w:p>
        </w:tc>
        <w:tc>
          <w:tcPr>
            <w:tcW w:w="640" w:type="dxa"/>
            <w:shd w:val="clear" w:color="auto" w:fill="FFFFFF" w:themeFill="background1"/>
            <w:vAlign w:val="center"/>
          </w:tcPr>
          <w:p w14:paraId="174423A4">
            <w:pPr>
              <w:jc w:val="center"/>
            </w:pPr>
            <w:r>
              <w:rPr>
                <w:rFonts w:hint="eastAsia"/>
              </w:rPr>
              <w:t>分值</w:t>
            </w:r>
          </w:p>
        </w:tc>
        <w:tc>
          <w:tcPr>
            <w:tcW w:w="1120" w:type="dxa"/>
            <w:shd w:val="clear" w:color="auto" w:fill="FFFFFF" w:themeFill="background1"/>
            <w:vAlign w:val="center"/>
          </w:tcPr>
          <w:p w14:paraId="6DE5B4CB">
            <w:pPr>
              <w:jc w:val="center"/>
            </w:pPr>
            <w:r>
              <w:rPr>
                <w:rFonts w:hint="eastAsia"/>
              </w:rPr>
              <w:t>分值类型</w:t>
            </w:r>
          </w:p>
        </w:tc>
      </w:tr>
      <w:tr w14:paraId="4B02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40" w:type="dxa"/>
            <w:shd w:val="clear" w:color="auto" w:fill="auto"/>
            <w:vAlign w:val="center"/>
          </w:tcPr>
          <w:p w14:paraId="7709CC3E">
            <w:pPr>
              <w:jc w:val="center"/>
            </w:pPr>
            <w:r>
              <w:rPr>
                <w:rFonts w:hint="eastAsia"/>
              </w:rPr>
              <w:t>1</w:t>
            </w:r>
          </w:p>
        </w:tc>
        <w:tc>
          <w:tcPr>
            <w:tcW w:w="1120" w:type="dxa"/>
            <w:shd w:val="clear" w:color="auto" w:fill="auto"/>
            <w:vAlign w:val="center"/>
          </w:tcPr>
          <w:p w14:paraId="5E29ED14">
            <w:pPr>
              <w:jc w:val="center"/>
            </w:pPr>
            <w:r>
              <w:rPr>
                <w:rFonts w:hint="eastAsia"/>
              </w:rPr>
              <w:t>价格</w:t>
            </w:r>
          </w:p>
        </w:tc>
        <w:tc>
          <w:tcPr>
            <w:tcW w:w="6640" w:type="dxa"/>
            <w:shd w:val="clear" w:color="auto" w:fill="auto"/>
            <w:vAlign w:val="center"/>
          </w:tcPr>
          <w:p w14:paraId="176A6BF5">
            <w:r>
              <w:rPr>
                <w:rFonts w:hint="eastAsia"/>
              </w:rPr>
              <w:t>采用低价优先法计算，即满足采购需求且报价最低的供应商最终报价为评审基准价，其价格分为满分20分，其它供应商的价格分统一按照以下公式计算：报价得分=(评审基准价/最终报价)×20分，小数点保留2位(采取四舍五入)。</w:t>
            </w:r>
          </w:p>
        </w:tc>
        <w:tc>
          <w:tcPr>
            <w:tcW w:w="640" w:type="dxa"/>
            <w:shd w:val="clear" w:color="auto" w:fill="auto"/>
            <w:vAlign w:val="center"/>
          </w:tcPr>
          <w:p w14:paraId="7B3A1C57">
            <w:pPr>
              <w:jc w:val="center"/>
            </w:pPr>
            <w:r>
              <w:rPr>
                <w:rFonts w:hint="eastAsia"/>
              </w:rPr>
              <w:t>20</w:t>
            </w:r>
          </w:p>
        </w:tc>
        <w:tc>
          <w:tcPr>
            <w:tcW w:w="1120" w:type="dxa"/>
            <w:shd w:val="clear" w:color="auto" w:fill="auto"/>
            <w:vAlign w:val="center"/>
          </w:tcPr>
          <w:p w14:paraId="414E8490">
            <w:pPr>
              <w:jc w:val="center"/>
            </w:pPr>
            <w:r>
              <w:rPr>
                <w:rFonts w:hint="eastAsia"/>
              </w:rPr>
              <w:t>价格分</w:t>
            </w:r>
          </w:p>
        </w:tc>
      </w:tr>
      <w:tr w14:paraId="7A3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40" w:type="dxa"/>
            <w:shd w:val="clear" w:color="auto" w:fill="auto"/>
            <w:vAlign w:val="center"/>
          </w:tcPr>
          <w:p w14:paraId="6829AEFA">
            <w:pPr>
              <w:jc w:val="center"/>
            </w:pPr>
            <w:r>
              <w:rPr>
                <w:rFonts w:hint="eastAsia"/>
              </w:rPr>
              <w:t>2</w:t>
            </w:r>
          </w:p>
        </w:tc>
        <w:tc>
          <w:tcPr>
            <w:tcW w:w="1120" w:type="dxa"/>
            <w:shd w:val="clear" w:color="auto" w:fill="auto"/>
            <w:vAlign w:val="center"/>
          </w:tcPr>
          <w:p w14:paraId="67DE6729">
            <w:pPr>
              <w:jc w:val="center"/>
            </w:pPr>
            <w:r>
              <w:rPr>
                <w:rFonts w:hint="eastAsia"/>
              </w:rPr>
              <w:t>技术服务方案</w:t>
            </w:r>
          </w:p>
          <w:p w14:paraId="1B1D1078">
            <w:pPr>
              <w:jc w:val="center"/>
            </w:pPr>
          </w:p>
        </w:tc>
        <w:tc>
          <w:tcPr>
            <w:tcW w:w="6640" w:type="dxa"/>
            <w:shd w:val="clear" w:color="auto" w:fill="auto"/>
            <w:vAlign w:val="center"/>
          </w:tcPr>
          <w:p w14:paraId="6BE76586">
            <w:r>
              <w:rPr>
                <w:rFonts w:hint="eastAsia"/>
              </w:rPr>
              <w:t>1、技术路线 （10分）</w:t>
            </w:r>
          </w:p>
          <w:p w14:paraId="433F4B5D">
            <w:r>
              <w:rPr>
                <w:rFonts w:hint="eastAsia"/>
              </w:rPr>
              <w:t>技术路线全面、完善、科学、合理、可行得10分；较全面、较合理、较可行得7分；基本全面、基本可行得4分；不太可行得1分；否则不得分。</w:t>
            </w:r>
          </w:p>
          <w:p w14:paraId="709959B8">
            <w:r>
              <w:rPr>
                <w:rFonts w:hint="eastAsia"/>
              </w:rPr>
              <w:t>2、项目实施方案 （10分）</w:t>
            </w:r>
          </w:p>
          <w:p w14:paraId="7A189453">
            <w:r>
              <w:rPr>
                <w:rFonts w:hint="eastAsia"/>
              </w:rPr>
              <w:t>方案全面、完善、科学、合理、可行得10分；较全面、较合理、较可行得7分；基本全面、基本可行得4分；不太可行得1分；否则不得分。</w:t>
            </w:r>
          </w:p>
          <w:p w14:paraId="3EF8BFA1">
            <w:r>
              <w:rPr>
                <w:rFonts w:hint="eastAsia"/>
              </w:rPr>
              <w:t>3、工作进度安排（10分）</w:t>
            </w:r>
          </w:p>
          <w:p w14:paraId="2261FA5F">
            <w:r>
              <w:rPr>
                <w:rFonts w:hint="eastAsia"/>
              </w:rPr>
              <w:t>进度安排科学、合理、可行得10分；较全面、较合理、较可行得7分；基本全面、基本可行得4分；不太可行得1分；否则不得分。</w:t>
            </w:r>
          </w:p>
          <w:p w14:paraId="29A081F9">
            <w:r>
              <w:rPr>
                <w:rFonts w:hint="eastAsia"/>
              </w:rPr>
              <w:t>4、质量保障措施 （10分）</w:t>
            </w:r>
          </w:p>
          <w:p w14:paraId="00A100B5">
            <w:r>
              <w:rPr>
                <w:rFonts w:hint="eastAsia"/>
              </w:rPr>
              <w:t>措施科学、合理、可行得10分；较全面、较合理、较可行得7分；基本全面、基本可行得4分；不太可行得1分；否则不得分。</w:t>
            </w:r>
          </w:p>
        </w:tc>
        <w:tc>
          <w:tcPr>
            <w:tcW w:w="640" w:type="dxa"/>
            <w:shd w:val="clear" w:color="auto" w:fill="auto"/>
            <w:vAlign w:val="center"/>
          </w:tcPr>
          <w:p w14:paraId="21DD1823">
            <w:pPr>
              <w:jc w:val="center"/>
            </w:pPr>
            <w:r>
              <w:rPr>
                <w:rFonts w:hint="eastAsia"/>
              </w:rPr>
              <w:t>40</w:t>
            </w:r>
          </w:p>
        </w:tc>
        <w:tc>
          <w:tcPr>
            <w:tcW w:w="1120" w:type="dxa"/>
            <w:shd w:val="clear" w:color="auto" w:fill="auto"/>
            <w:vAlign w:val="center"/>
          </w:tcPr>
          <w:p w14:paraId="78465EE9">
            <w:pPr>
              <w:jc w:val="center"/>
            </w:pPr>
            <w:r>
              <w:rPr>
                <w:rFonts w:hint="eastAsia"/>
              </w:rPr>
              <w:t>主观分</w:t>
            </w:r>
          </w:p>
        </w:tc>
      </w:tr>
      <w:tr w14:paraId="3E32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640" w:type="dxa"/>
            <w:shd w:val="clear" w:color="auto" w:fill="auto"/>
            <w:vAlign w:val="center"/>
          </w:tcPr>
          <w:p w14:paraId="05CCCDF8">
            <w:pPr>
              <w:jc w:val="center"/>
            </w:pPr>
            <w:r>
              <w:rPr>
                <w:rFonts w:hint="eastAsia"/>
              </w:rPr>
              <w:t>3</w:t>
            </w:r>
          </w:p>
        </w:tc>
        <w:tc>
          <w:tcPr>
            <w:tcW w:w="1120" w:type="dxa"/>
            <w:shd w:val="clear" w:color="auto" w:fill="auto"/>
            <w:vAlign w:val="center"/>
          </w:tcPr>
          <w:p w14:paraId="0E000129">
            <w:pPr>
              <w:jc w:val="center"/>
            </w:pPr>
            <w:r>
              <w:rPr>
                <w:rFonts w:hint="eastAsia"/>
              </w:rPr>
              <w:t>响应单位综合能力</w:t>
            </w:r>
          </w:p>
        </w:tc>
        <w:tc>
          <w:tcPr>
            <w:tcW w:w="6640" w:type="dxa"/>
            <w:shd w:val="clear" w:color="auto" w:fill="auto"/>
            <w:vAlign w:val="center"/>
          </w:tcPr>
          <w:p w14:paraId="77806E25">
            <w:r>
              <w:rPr>
                <w:rFonts w:hint="eastAsia"/>
              </w:rPr>
              <w:t>1、针对本项目的人员配备（</w:t>
            </w:r>
            <w:r>
              <w:t>2</w:t>
            </w:r>
            <w:r>
              <w:rPr>
                <w:rFonts w:hint="eastAsia"/>
              </w:rPr>
              <w:t>0分）</w:t>
            </w:r>
          </w:p>
          <w:p w14:paraId="33D50DEB">
            <w:r>
              <w:rPr>
                <w:rFonts w:hint="eastAsia"/>
              </w:rPr>
              <w:t>配备的技术人员具有国家级实验室资质认定评审员每人得3分，具有省级实验室资质认定评审员的每人得2分，最高12分。提供评审员证书复印件，原件备查。</w:t>
            </w:r>
          </w:p>
          <w:p w14:paraId="24086841">
            <w:r>
              <w:rPr>
                <w:rFonts w:hint="eastAsia"/>
              </w:rPr>
              <w:t>配备的技术人员具备环保类专业技术高级职称的，每人得</w:t>
            </w:r>
            <w:r>
              <w:rPr>
                <w:rFonts w:hint="eastAsia"/>
                <w:lang w:val="en-US" w:eastAsia="zh-CN"/>
              </w:rPr>
              <w:t>2</w:t>
            </w:r>
            <w:r>
              <w:rPr>
                <w:rFonts w:hint="eastAsia"/>
              </w:rPr>
              <w:t>分，最高得8分。提供职称证书及社保证明复印件，原件备查。</w:t>
            </w:r>
          </w:p>
          <w:p w14:paraId="180C186D">
            <w:r>
              <w:rPr>
                <w:rFonts w:hint="eastAsia"/>
              </w:rPr>
              <w:t>2、针对本项目的实验室资质（8分）</w:t>
            </w:r>
          </w:p>
          <w:p w14:paraId="2AD46A7F">
            <w:r>
              <w:rPr>
                <w:rFonts w:hint="eastAsia"/>
              </w:rPr>
              <w:t xml:space="preserve">具备CNAS证书得4分；实验室被认定国家环保部重点实验室得4分；提供有效证明材料。                            </w:t>
            </w:r>
          </w:p>
          <w:p w14:paraId="72C04FCB">
            <w:r>
              <w:rPr>
                <w:rFonts w:hint="eastAsia"/>
              </w:rPr>
              <w:t>3、类似业绩（12分）</w:t>
            </w:r>
          </w:p>
          <w:p w14:paraId="6DC64894">
            <w:r>
              <w:rPr>
                <w:rFonts w:hint="eastAsia"/>
              </w:rPr>
              <w:t>2023年以来承担过环境监测质控服务项目工作，每个案例3分，最高12分。提供项目合同或其他有效证明材料复印件。</w:t>
            </w:r>
          </w:p>
          <w:p w14:paraId="5E294F12">
            <w:r>
              <w:rPr>
                <w:rFonts w:hint="eastAsia"/>
              </w:rPr>
              <w:t xml:space="preserve"> </w:t>
            </w:r>
          </w:p>
        </w:tc>
        <w:tc>
          <w:tcPr>
            <w:tcW w:w="640" w:type="dxa"/>
            <w:shd w:val="clear" w:color="auto" w:fill="auto"/>
            <w:vAlign w:val="center"/>
          </w:tcPr>
          <w:p w14:paraId="3670828E">
            <w:pPr>
              <w:jc w:val="center"/>
            </w:pPr>
            <w:r>
              <w:rPr>
                <w:rFonts w:hint="eastAsia"/>
              </w:rPr>
              <w:t>40</w:t>
            </w:r>
          </w:p>
        </w:tc>
        <w:tc>
          <w:tcPr>
            <w:tcW w:w="1120" w:type="dxa"/>
            <w:shd w:val="clear" w:color="auto" w:fill="auto"/>
            <w:vAlign w:val="center"/>
          </w:tcPr>
          <w:p w14:paraId="54FA8B2A">
            <w:pPr>
              <w:jc w:val="center"/>
            </w:pPr>
            <w:r>
              <w:rPr>
                <w:rFonts w:hint="eastAsia"/>
              </w:rPr>
              <w:t>客观分</w:t>
            </w:r>
          </w:p>
        </w:tc>
      </w:tr>
      <w:tr w14:paraId="4BA5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0" w:type="dxa"/>
            <w:shd w:val="clear" w:color="auto" w:fill="auto"/>
            <w:vAlign w:val="center"/>
          </w:tcPr>
          <w:p w14:paraId="140F1B2F">
            <w:pPr>
              <w:jc w:val="center"/>
            </w:pPr>
          </w:p>
        </w:tc>
        <w:tc>
          <w:tcPr>
            <w:tcW w:w="1120" w:type="dxa"/>
            <w:shd w:val="clear" w:color="auto" w:fill="auto"/>
            <w:vAlign w:val="center"/>
          </w:tcPr>
          <w:p w14:paraId="7D0563B7">
            <w:pPr>
              <w:jc w:val="center"/>
            </w:pPr>
            <w:r>
              <w:rPr>
                <w:rFonts w:hint="eastAsia"/>
              </w:rPr>
              <w:t>总分</w:t>
            </w:r>
          </w:p>
        </w:tc>
        <w:tc>
          <w:tcPr>
            <w:tcW w:w="6640" w:type="dxa"/>
            <w:shd w:val="clear" w:color="auto" w:fill="auto"/>
            <w:vAlign w:val="center"/>
          </w:tcPr>
          <w:p w14:paraId="2D2DC20F">
            <w:pPr>
              <w:jc w:val="center"/>
            </w:pPr>
          </w:p>
        </w:tc>
        <w:tc>
          <w:tcPr>
            <w:tcW w:w="640" w:type="dxa"/>
            <w:shd w:val="clear" w:color="auto" w:fill="auto"/>
            <w:vAlign w:val="center"/>
          </w:tcPr>
          <w:p w14:paraId="50AC3632">
            <w:pPr>
              <w:jc w:val="center"/>
            </w:pPr>
            <w:r>
              <w:rPr>
                <w:rFonts w:hint="eastAsia"/>
              </w:rPr>
              <w:t>100</w:t>
            </w:r>
          </w:p>
        </w:tc>
        <w:tc>
          <w:tcPr>
            <w:tcW w:w="1120" w:type="dxa"/>
            <w:shd w:val="clear" w:color="auto" w:fill="auto"/>
            <w:vAlign w:val="bottom"/>
          </w:tcPr>
          <w:p w14:paraId="7F26FC8A">
            <w:pPr>
              <w:jc w:val="center"/>
            </w:pPr>
          </w:p>
        </w:tc>
      </w:tr>
    </w:tbl>
    <w:p w14:paraId="43E923AC"/>
    <w:sectPr>
      <w:pgSz w:w="11906" w:h="16838"/>
      <w:pgMar w:top="1157" w:right="1236" w:bottom="1157" w:left="123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2509722-9BC9-4276-8FD2-ED57ECCDE89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2DCC1AD-B549-403B-AF76-E94BBC0ADE9F}"/>
  </w:font>
  <w:font w:name="方正仿宋_GBK">
    <w:panose1 w:val="03000509000000000000"/>
    <w:charset w:val="86"/>
    <w:family w:val="script"/>
    <w:pitch w:val="default"/>
    <w:sig w:usb0="00000001" w:usb1="080E0000" w:usb2="00000000" w:usb3="00000000" w:csb0="00040000" w:csb1="00000000"/>
    <w:embedRegular r:id="rId3" w:fontKey="{25C12AD3-9AA3-40DC-8421-FE449C13E9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WFhYjBiN2Y0NDZkMDhlMzNlNzYxNzBhMjczMGYifQ=="/>
  </w:docVars>
  <w:rsids>
    <w:rsidRoot w:val="26003A03"/>
    <w:rsid w:val="00220FFF"/>
    <w:rsid w:val="00235DC8"/>
    <w:rsid w:val="00246C79"/>
    <w:rsid w:val="002A0BCB"/>
    <w:rsid w:val="003F18BD"/>
    <w:rsid w:val="00416B31"/>
    <w:rsid w:val="00484684"/>
    <w:rsid w:val="004C56A3"/>
    <w:rsid w:val="00522C12"/>
    <w:rsid w:val="00547AC5"/>
    <w:rsid w:val="005C7554"/>
    <w:rsid w:val="00642B64"/>
    <w:rsid w:val="006C5B4F"/>
    <w:rsid w:val="007B1940"/>
    <w:rsid w:val="008A0081"/>
    <w:rsid w:val="009E5A71"/>
    <w:rsid w:val="00A57E91"/>
    <w:rsid w:val="00AC6E83"/>
    <w:rsid w:val="00BF73FA"/>
    <w:rsid w:val="00C40B31"/>
    <w:rsid w:val="00C72898"/>
    <w:rsid w:val="00CA5CE9"/>
    <w:rsid w:val="00D71182"/>
    <w:rsid w:val="00D9012D"/>
    <w:rsid w:val="00DC712D"/>
    <w:rsid w:val="00E95786"/>
    <w:rsid w:val="00EB7E60"/>
    <w:rsid w:val="00F86EB3"/>
    <w:rsid w:val="01474EA6"/>
    <w:rsid w:val="03653EFA"/>
    <w:rsid w:val="05FE4192"/>
    <w:rsid w:val="07ED2710"/>
    <w:rsid w:val="093361FF"/>
    <w:rsid w:val="09964990"/>
    <w:rsid w:val="09AD638D"/>
    <w:rsid w:val="09B47989"/>
    <w:rsid w:val="09D04097"/>
    <w:rsid w:val="0A073F5D"/>
    <w:rsid w:val="0C090D57"/>
    <w:rsid w:val="0CAD5BD8"/>
    <w:rsid w:val="0EDB6B5B"/>
    <w:rsid w:val="0FCC4A13"/>
    <w:rsid w:val="11494E5B"/>
    <w:rsid w:val="1184614B"/>
    <w:rsid w:val="12FD3C8D"/>
    <w:rsid w:val="1554537C"/>
    <w:rsid w:val="15D869FE"/>
    <w:rsid w:val="17031BCB"/>
    <w:rsid w:val="1831173C"/>
    <w:rsid w:val="18B515D2"/>
    <w:rsid w:val="1B4322BE"/>
    <w:rsid w:val="1B7F469B"/>
    <w:rsid w:val="1B9607C6"/>
    <w:rsid w:val="1BFF2CF9"/>
    <w:rsid w:val="1D725739"/>
    <w:rsid w:val="1D9A7B3F"/>
    <w:rsid w:val="1FDB07DC"/>
    <w:rsid w:val="20607ACB"/>
    <w:rsid w:val="21B568E3"/>
    <w:rsid w:val="22533CBE"/>
    <w:rsid w:val="244432AC"/>
    <w:rsid w:val="250F3737"/>
    <w:rsid w:val="258607FC"/>
    <w:rsid w:val="25873D4C"/>
    <w:rsid w:val="25E816AF"/>
    <w:rsid w:val="26003A03"/>
    <w:rsid w:val="267C4F33"/>
    <w:rsid w:val="26FA337A"/>
    <w:rsid w:val="276F21F2"/>
    <w:rsid w:val="2BD40774"/>
    <w:rsid w:val="2D297497"/>
    <w:rsid w:val="2F416D1A"/>
    <w:rsid w:val="301062D9"/>
    <w:rsid w:val="303A20E7"/>
    <w:rsid w:val="322C2354"/>
    <w:rsid w:val="33AD1C6A"/>
    <w:rsid w:val="33E74334"/>
    <w:rsid w:val="33F014B2"/>
    <w:rsid w:val="351D1B5A"/>
    <w:rsid w:val="357240D1"/>
    <w:rsid w:val="36961E98"/>
    <w:rsid w:val="38653178"/>
    <w:rsid w:val="3BB32D4D"/>
    <w:rsid w:val="3BC66F24"/>
    <w:rsid w:val="3BD038FF"/>
    <w:rsid w:val="3E2A35B8"/>
    <w:rsid w:val="3EB0460D"/>
    <w:rsid w:val="3EB76FF8"/>
    <w:rsid w:val="3F0264C5"/>
    <w:rsid w:val="3F9F6F85"/>
    <w:rsid w:val="42EA174A"/>
    <w:rsid w:val="43410E67"/>
    <w:rsid w:val="438A6EA7"/>
    <w:rsid w:val="443C3213"/>
    <w:rsid w:val="44FF7003"/>
    <w:rsid w:val="455E1F7C"/>
    <w:rsid w:val="4AF5326A"/>
    <w:rsid w:val="4AFD2237"/>
    <w:rsid w:val="4B196C67"/>
    <w:rsid w:val="4C6C31D0"/>
    <w:rsid w:val="51BA4630"/>
    <w:rsid w:val="52D53E26"/>
    <w:rsid w:val="536E2951"/>
    <w:rsid w:val="555823D1"/>
    <w:rsid w:val="58ED2F90"/>
    <w:rsid w:val="58FE79A2"/>
    <w:rsid w:val="5D1407F2"/>
    <w:rsid w:val="5E6C3504"/>
    <w:rsid w:val="5E8812BA"/>
    <w:rsid w:val="5ECE3876"/>
    <w:rsid w:val="602D281F"/>
    <w:rsid w:val="611B04DE"/>
    <w:rsid w:val="63073253"/>
    <w:rsid w:val="63C95BFC"/>
    <w:rsid w:val="6461518D"/>
    <w:rsid w:val="64873F89"/>
    <w:rsid w:val="64D550CB"/>
    <w:rsid w:val="654839FF"/>
    <w:rsid w:val="67F15B09"/>
    <w:rsid w:val="69B53FB1"/>
    <w:rsid w:val="6AB133CD"/>
    <w:rsid w:val="6AF01018"/>
    <w:rsid w:val="6C657A78"/>
    <w:rsid w:val="6F681152"/>
    <w:rsid w:val="713A4D9B"/>
    <w:rsid w:val="735F6D3B"/>
    <w:rsid w:val="74E26E5B"/>
    <w:rsid w:val="761D53B8"/>
    <w:rsid w:val="76D747E6"/>
    <w:rsid w:val="78F148D9"/>
    <w:rsid w:val="7B917CAE"/>
    <w:rsid w:val="7F392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rPr>
  </w:style>
  <w:style w:type="paragraph" w:styleId="4">
    <w:name w:val="heading 9"/>
    <w:basedOn w:val="1"/>
    <w:next w:val="1"/>
    <w:qFormat/>
    <w:uiPriority w:val="0"/>
    <w:pPr>
      <w:widowControl/>
      <w:wordWrap w:val="0"/>
      <w:overflowPunct w:val="0"/>
      <w:adjustRightInd w:val="0"/>
      <w:spacing w:line="360" w:lineRule="auto"/>
      <w:jc w:val="left"/>
      <w:textAlignment w:val="baseline"/>
      <w:outlineLvl w:val="8"/>
    </w:pPr>
    <w:rPr>
      <w:rFonts w:ascii="微软雅黑" w:hAnsi="微软雅黑" w:eastAsia="微软雅黑" w:cs="Times New Roman"/>
      <w:bCs/>
      <w:kern w:val="0"/>
      <w:sz w:val="18"/>
      <w:szCs w:val="1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textAlignment w:val="baseline"/>
    </w:pPr>
    <w:rPr>
      <w:szCs w:val="20"/>
    </w:rPr>
  </w:style>
  <w:style w:type="paragraph" w:styleId="6">
    <w:name w:val="annotation text"/>
    <w:basedOn w:val="1"/>
    <w:qFormat/>
    <w:uiPriority w:val="0"/>
    <w:pPr>
      <w:jc w:val="left"/>
    </w:pPr>
  </w:style>
  <w:style w:type="paragraph" w:styleId="7">
    <w:name w:val="Body Text"/>
    <w:basedOn w:val="1"/>
    <w:link w:val="20"/>
    <w:qFormat/>
    <w:uiPriority w:val="0"/>
    <w:rPr>
      <w:rFonts w:ascii="仿宋_GB2312" w:hAnsi="宋体" w:eastAsia="仿宋_GB2312"/>
      <w:kern w:val="0"/>
      <w:sz w:val="24"/>
    </w:rPr>
  </w:style>
  <w:style w:type="paragraph" w:styleId="8">
    <w:name w:val="Plain Text"/>
    <w:basedOn w:val="1"/>
    <w:qFormat/>
    <w:uiPriority w:val="0"/>
    <w:rPr>
      <w:rFonts w:ascii="宋体" w:hAnsi="Courier New"/>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0"/>
    <w:qFormat/>
    <w:uiPriority w:val="0"/>
    <w:rPr>
      <w:kern w:val="2"/>
      <w:sz w:val="18"/>
      <w:szCs w:val="18"/>
    </w:rPr>
  </w:style>
  <w:style w:type="character" w:customStyle="1" w:styleId="16">
    <w:name w:val="页脚 字符"/>
    <w:basedOn w:val="14"/>
    <w:link w:val="9"/>
    <w:qFormat/>
    <w:uiPriority w:val="0"/>
    <w:rPr>
      <w:kern w:val="2"/>
      <w:sz w:val="18"/>
      <w:szCs w:val="18"/>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
    <w:name w:val="首行缩进"/>
    <w:basedOn w:val="1"/>
    <w:qFormat/>
    <w:uiPriority w:val="0"/>
    <w:pPr>
      <w:spacing w:line="360" w:lineRule="auto"/>
      <w:ind w:firstLine="480" w:firstLineChars="200"/>
      <w:jc w:val="left"/>
    </w:pPr>
    <w:rPr>
      <w:rFonts w:ascii="宋体" w:hAnsi="宋体"/>
      <w:sz w:val="24"/>
    </w:rPr>
  </w:style>
  <w:style w:type="paragraph" w:styleId="19">
    <w:name w:val="List Paragraph"/>
    <w:basedOn w:val="1"/>
    <w:qFormat/>
    <w:uiPriority w:val="99"/>
    <w:pPr>
      <w:ind w:firstLine="420" w:firstLineChars="200"/>
    </w:pPr>
  </w:style>
  <w:style w:type="character" w:customStyle="1" w:styleId="20">
    <w:name w:val="正文文本 字符"/>
    <w:basedOn w:val="14"/>
    <w:link w:val="7"/>
    <w:qFormat/>
    <w:uiPriority w:val="0"/>
    <w:rPr>
      <w:rFonts w:ascii="仿宋_GB2312" w:hAnsi="宋体" w:eastAsia="仿宋_GB2312" w:cstheme="minorBid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1566</Words>
  <Characters>1633</Characters>
  <Lines>12</Lines>
  <Paragraphs>3</Paragraphs>
  <TotalTime>33</TotalTime>
  <ScaleCrop>false</ScaleCrop>
  <LinksUpToDate>false</LinksUpToDate>
  <CharactersWithSpaces>1701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2024-01-04T02:40:00Z</dcterms:created>
  <dc:creator>九寨清流</dc:creator>
  <cp:lastModifiedBy>小小</cp:lastModifiedBy>
  <cp:lastPrinted>2025-05-07T06:12:00Z</cp:lastPrinted>
  <dcterms:modified xsi:type="dcterms:W3CDTF">2025-10-20T03:33:55Z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9787ACDB12264E1BA0C331A436E7CE20_13</vt:lpwstr>
  </property>
  <property fmtid="{D5CDD505-2E9C-101B-9397-08002B2CF9AE}" pid="4" name="KSOTemplateDocerSaveRecord">
    <vt:lpwstr>eyJoZGlkIjoiZWExODM2ZWMwMDUwNzQ5MjNkMTRjMTYwYmFjMDhiNjEiLCJ1c2VySWQiOiIzNDk5ODQ3MDcifQ==</vt:lpwstr>
  </property>
</Properties>
</file>