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360" w:lineRule="auto"/>
        <w:rPr>
          <w:rFonts w:ascii="宋体" w:hAnsi="宋体" w:eastAsia="宋体"/>
          <w:bCs/>
          <w:snapToGrid w:val="0"/>
          <w:sz w:val="21"/>
          <w:szCs w:val="21"/>
          <w:lang w:eastAsia="zh-CN"/>
        </w:rPr>
      </w:pPr>
      <w:bookmarkStart w:id="0" w:name="_GoBack"/>
      <w:bookmarkEnd w:id="0"/>
      <w:r>
        <w:rPr>
          <w:rFonts w:hint="eastAsia" w:ascii="宋体" w:hAnsi="宋体" w:eastAsia="宋体"/>
          <w:bCs/>
          <w:snapToGrid w:val="0"/>
          <w:sz w:val="21"/>
          <w:szCs w:val="21"/>
          <w:lang w:eastAsia="zh-CN"/>
        </w:rPr>
        <w:t>评分规则</w:t>
      </w:r>
    </w:p>
    <w:tbl>
      <w:tblPr>
        <w:tblStyle w:val="10"/>
        <w:tblW w:w="8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1056"/>
        <w:gridCol w:w="6099"/>
        <w:gridCol w:w="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74" w:type="dxa"/>
            <w:shd w:val="clear" w:color="auto" w:fill="FFFFFF"/>
            <w:vAlign w:val="center"/>
          </w:tcPr>
          <w:p>
            <w:pPr>
              <w:snapToGrid w:val="0"/>
              <w:spacing w:line="360" w:lineRule="exact"/>
              <w:jc w:val="center"/>
              <w:rPr>
                <w:rFonts w:ascii="宋体" w:hAnsi="宋体"/>
                <w:b/>
                <w:bCs/>
                <w:szCs w:val="21"/>
              </w:rPr>
            </w:pPr>
            <w:r>
              <w:rPr>
                <w:rFonts w:hint="eastAsia" w:ascii="宋体" w:hAnsi="宋体" w:eastAsia="宋体"/>
                <w:b/>
                <w:bCs/>
                <w:kern w:val="0"/>
                <w:szCs w:val="21"/>
              </w:rPr>
              <w:t>序号</w:t>
            </w:r>
          </w:p>
        </w:tc>
        <w:tc>
          <w:tcPr>
            <w:tcW w:w="1056" w:type="dxa"/>
            <w:tcBorders>
              <w:bottom w:val="single" w:color="auto" w:sz="4" w:space="0"/>
            </w:tcBorders>
            <w:shd w:val="clear" w:color="auto" w:fill="FFFFFF"/>
            <w:vAlign w:val="center"/>
          </w:tcPr>
          <w:p>
            <w:pPr>
              <w:snapToGrid w:val="0"/>
              <w:spacing w:line="360" w:lineRule="exact"/>
              <w:jc w:val="center"/>
              <w:rPr>
                <w:rFonts w:ascii="宋体" w:hAnsi="宋体" w:eastAsia="宋体"/>
                <w:b/>
                <w:bCs/>
                <w:kern w:val="0"/>
                <w:szCs w:val="21"/>
              </w:rPr>
            </w:pPr>
            <w:r>
              <w:rPr>
                <w:rFonts w:hint="eastAsia" w:ascii="宋体" w:hAnsi="宋体" w:eastAsia="宋体"/>
                <w:b/>
                <w:bCs/>
                <w:kern w:val="0"/>
                <w:szCs w:val="21"/>
              </w:rPr>
              <w:t>评审</w:t>
            </w:r>
          </w:p>
          <w:p>
            <w:pPr>
              <w:snapToGrid w:val="0"/>
              <w:spacing w:line="360" w:lineRule="exact"/>
              <w:jc w:val="center"/>
              <w:rPr>
                <w:rFonts w:ascii="宋体" w:hAnsi="宋体"/>
                <w:b/>
                <w:bCs/>
                <w:szCs w:val="21"/>
              </w:rPr>
            </w:pPr>
            <w:r>
              <w:rPr>
                <w:rFonts w:hint="eastAsia" w:ascii="宋体" w:hAnsi="宋体" w:eastAsia="宋体"/>
                <w:b/>
                <w:bCs/>
                <w:kern w:val="0"/>
                <w:szCs w:val="21"/>
              </w:rPr>
              <w:t>项目</w:t>
            </w:r>
          </w:p>
        </w:tc>
        <w:tc>
          <w:tcPr>
            <w:tcW w:w="6099" w:type="dxa"/>
            <w:tcBorders>
              <w:bottom w:val="single" w:color="auto" w:sz="4" w:space="0"/>
            </w:tcBorders>
            <w:shd w:val="clear" w:color="auto" w:fill="FFFFFF"/>
            <w:vAlign w:val="center"/>
          </w:tcPr>
          <w:p>
            <w:pPr>
              <w:snapToGrid w:val="0"/>
              <w:spacing w:line="360" w:lineRule="exact"/>
              <w:jc w:val="center"/>
              <w:rPr>
                <w:rFonts w:ascii="宋体" w:hAnsi="宋体"/>
                <w:b/>
                <w:bCs/>
                <w:szCs w:val="21"/>
              </w:rPr>
            </w:pPr>
            <w:r>
              <w:rPr>
                <w:rFonts w:hint="eastAsia" w:ascii="宋体" w:hAnsi="宋体" w:eastAsia="宋体"/>
                <w:b/>
                <w:bCs/>
                <w:kern w:val="0"/>
                <w:szCs w:val="21"/>
              </w:rPr>
              <w:t>评审标准</w:t>
            </w:r>
          </w:p>
        </w:tc>
        <w:tc>
          <w:tcPr>
            <w:tcW w:w="641" w:type="dxa"/>
            <w:tcBorders>
              <w:bottom w:val="single" w:color="auto" w:sz="4" w:space="0"/>
            </w:tcBorders>
            <w:shd w:val="clear" w:color="auto" w:fill="FFFFFF"/>
            <w:vAlign w:val="center"/>
          </w:tcPr>
          <w:p>
            <w:pPr>
              <w:snapToGrid w:val="0"/>
              <w:spacing w:line="360" w:lineRule="exact"/>
              <w:jc w:val="center"/>
              <w:rPr>
                <w:rFonts w:ascii="宋体" w:hAnsi="宋体"/>
                <w:b/>
                <w:bCs/>
                <w:szCs w:val="21"/>
              </w:rPr>
            </w:pPr>
            <w:r>
              <w:rPr>
                <w:rFonts w:hint="eastAsia" w:ascii="宋体" w:hAnsi="宋体" w:eastAsia="宋体"/>
                <w:b/>
                <w:bCs/>
                <w:kern w:val="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jc w:val="center"/>
        </w:trPr>
        <w:tc>
          <w:tcPr>
            <w:tcW w:w="774" w:type="dxa"/>
            <w:tcBorders>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kern w:val="0"/>
                <w:szCs w:val="21"/>
              </w:rPr>
              <w:t>1</w:t>
            </w:r>
          </w:p>
        </w:tc>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kern w:val="0"/>
                <w:szCs w:val="21"/>
              </w:rPr>
              <w:t>价格</w:t>
            </w:r>
          </w:p>
        </w:tc>
        <w:tc>
          <w:tcPr>
            <w:tcW w:w="6099" w:type="dxa"/>
            <w:tcBorders>
              <w:top w:val="single" w:color="auto" w:sz="4" w:space="0"/>
              <w:left w:val="single" w:color="auto" w:sz="4" w:space="0"/>
              <w:bottom w:val="single" w:color="auto" w:sz="4" w:space="0"/>
              <w:right w:val="single" w:color="auto" w:sz="4" w:space="0"/>
            </w:tcBorders>
          </w:tcPr>
          <w:p>
            <w:pPr>
              <w:topLinePunct/>
              <w:snapToGrid w:val="0"/>
              <w:spacing w:line="360" w:lineRule="exact"/>
              <w:rPr>
                <w:rFonts w:ascii="宋体" w:hAnsi="宋体"/>
                <w:bCs/>
                <w:szCs w:val="21"/>
              </w:rPr>
            </w:pPr>
            <w:r>
              <w:rPr>
                <w:rFonts w:hint="eastAsia" w:ascii="宋体" w:hAnsi="宋体" w:eastAsia="宋体"/>
                <w:bCs/>
                <w:kern w:val="0"/>
                <w:szCs w:val="21"/>
              </w:rPr>
              <w:t>满足要求且最低的为评审基准价,其价格为满分20分,其他价格分按照下列公式计算,小数点保留2位：报价得分=(评审基准价/最终报价)×20</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kern w:val="0"/>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74" w:type="dxa"/>
            <w:vMerge w:val="restart"/>
            <w:tcBorders>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szCs w:val="21"/>
              </w:rPr>
              <w:t>2</w:t>
            </w:r>
          </w:p>
        </w:tc>
        <w:tc>
          <w:tcPr>
            <w:tcW w:w="1056"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szCs w:val="21"/>
              </w:rPr>
              <w:t>业绩经验</w:t>
            </w:r>
          </w:p>
        </w:tc>
        <w:tc>
          <w:tcPr>
            <w:tcW w:w="6099" w:type="dxa"/>
            <w:tcBorders>
              <w:top w:val="single" w:color="auto" w:sz="4" w:space="0"/>
              <w:left w:val="single" w:color="auto" w:sz="4" w:space="0"/>
              <w:bottom w:val="single" w:color="auto" w:sz="4" w:space="0"/>
              <w:right w:val="single" w:color="auto" w:sz="4" w:space="0"/>
            </w:tcBorders>
            <w:vAlign w:val="center"/>
          </w:tcPr>
          <w:p>
            <w:pPr>
              <w:topLinePunct/>
              <w:snapToGrid w:val="0"/>
              <w:spacing w:line="360" w:lineRule="exact"/>
              <w:rPr>
                <w:rFonts w:ascii="宋体" w:hAnsi="宋体" w:eastAsia="宋体"/>
                <w:bCs/>
                <w:kern w:val="0"/>
                <w:szCs w:val="21"/>
              </w:rPr>
            </w:pPr>
            <w:r>
              <w:rPr>
                <w:rFonts w:hint="eastAsia" w:ascii="宋体" w:hAnsi="宋体" w:eastAsia="宋体"/>
                <w:bCs/>
                <w:kern w:val="0"/>
                <w:szCs w:val="21"/>
              </w:rPr>
              <w:t>供应商自2022年1月1日以来具有类似</w:t>
            </w:r>
            <w:r>
              <w:rPr>
                <w:rFonts w:ascii="宋体" w:hAnsi="宋体" w:eastAsia="宋体"/>
                <w:bCs/>
                <w:kern w:val="0"/>
                <w:szCs w:val="21"/>
              </w:rPr>
              <w:t>建设工程竣工结算审计</w:t>
            </w:r>
            <w:r>
              <w:rPr>
                <w:rFonts w:hint="eastAsia" w:ascii="宋体" w:hAnsi="宋体" w:eastAsia="宋体"/>
                <w:bCs/>
                <w:kern w:val="0"/>
                <w:szCs w:val="21"/>
              </w:rPr>
              <w:t>的业绩，每有1个得2分，满分6分。</w:t>
            </w:r>
          </w:p>
          <w:p>
            <w:pPr>
              <w:topLinePunct/>
              <w:snapToGrid w:val="0"/>
              <w:spacing w:line="360" w:lineRule="exact"/>
              <w:rPr>
                <w:rFonts w:ascii="宋体" w:hAnsi="宋体"/>
                <w:bCs/>
                <w:szCs w:val="21"/>
              </w:rPr>
            </w:pPr>
            <w:r>
              <w:rPr>
                <w:rFonts w:hint="eastAsia" w:ascii="宋体" w:hAnsi="宋体" w:eastAsia="宋体"/>
                <w:bCs/>
                <w:kern w:val="0"/>
                <w:szCs w:val="21"/>
              </w:rPr>
              <w:t>注：业绩需提供能体现服务内容的合同或文件等证明材料复印件。</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eastAsia="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eastAsia="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topLinePunct/>
              <w:snapToGrid w:val="0"/>
              <w:spacing w:line="360" w:lineRule="exact"/>
              <w:rPr>
                <w:rFonts w:ascii="宋体" w:hAnsi="宋体" w:eastAsia="宋体"/>
                <w:bCs/>
                <w:kern w:val="0"/>
                <w:szCs w:val="21"/>
              </w:rPr>
            </w:pPr>
            <w:r>
              <w:rPr>
                <w:rFonts w:hint="eastAsia" w:ascii="宋体" w:hAnsi="宋体" w:eastAsia="宋体"/>
                <w:bCs/>
                <w:kern w:val="0"/>
                <w:szCs w:val="21"/>
              </w:rPr>
              <w:t>供应商自2022年1月1日以来具有类似财务审计相关项目的业绩，每有1个得2分，满分6分。</w:t>
            </w:r>
          </w:p>
          <w:p>
            <w:pPr>
              <w:topLinePunct/>
              <w:snapToGrid w:val="0"/>
              <w:spacing w:line="360" w:lineRule="exact"/>
              <w:rPr>
                <w:rFonts w:ascii="宋体" w:hAnsi="宋体" w:eastAsia="宋体"/>
                <w:bCs/>
                <w:kern w:val="0"/>
                <w:szCs w:val="21"/>
              </w:rPr>
            </w:pPr>
            <w:r>
              <w:rPr>
                <w:rFonts w:hint="eastAsia" w:ascii="宋体" w:hAnsi="宋体" w:eastAsia="宋体"/>
                <w:bCs/>
                <w:kern w:val="0"/>
                <w:szCs w:val="21"/>
              </w:rPr>
              <w:t>注：业绩需提供能体现服务内容的合同或文件等证明材料复印件。</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bCs/>
                <w:kern w:val="0"/>
                <w:szCs w:val="21"/>
              </w:rPr>
            </w:pPr>
            <w:r>
              <w:rPr>
                <w:rFonts w:hint="eastAsia" w:ascii="宋体" w:hAnsi="宋体" w:eastAsia="宋体"/>
                <w:bCs/>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restart"/>
            <w:tcBorders>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szCs w:val="21"/>
              </w:rPr>
              <w:t>4</w:t>
            </w:r>
          </w:p>
        </w:tc>
        <w:tc>
          <w:tcPr>
            <w:tcW w:w="1056"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bCs/>
                <w:szCs w:val="21"/>
              </w:rPr>
            </w:pPr>
            <w:r>
              <w:rPr>
                <w:rFonts w:hint="eastAsia" w:ascii="宋体" w:hAnsi="宋体" w:eastAsia="宋体"/>
                <w:bCs/>
                <w:szCs w:val="21"/>
              </w:rPr>
              <w:t>服务方案</w:t>
            </w: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仿宋"/>
                <w:szCs w:val="21"/>
              </w:rPr>
            </w:pPr>
            <w:r>
              <w:rPr>
                <w:rFonts w:hint="eastAsia" w:ascii="宋体" w:hAnsi="宋体" w:eastAsia="宋体" w:cs="宋体"/>
                <w:szCs w:val="21"/>
              </w:rPr>
              <w:t>（</w:t>
            </w:r>
            <w:r>
              <w:rPr>
                <w:rFonts w:hint="eastAsia" w:ascii="宋体" w:hAnsi="宋体" w:cs="仿宋"/>
                <w:szCs w:val="21"/>
              </w:rPr>
              <w:t>1</w:t>
            </w:r>
            <w:r>
              <w:rPr>
                <w:rFonts w:hint="eastAsia" w:ascii="宋体" w:hAnsi="宋体" w:eastAsia="宋体" w:cs="宋体"/>
                <w:szCs w:val="21"/>
              </w:rPr>
              <w:t>）</w:t>
            </w:r>
            <w:r>
              <w:rPr>
                <w:rFonts w:ascii="宋体" w:hAnsi="宋体" w:eastAsia="宋体" w:cs="宋体"/>
                <w:szCs w:val="21"/>
              </w:rPr>
              <w:t>本项目理解</w:t>
            </w:r>
            <w:r>
              <w:rPr>
                <w:rFonts w:hint="eastAsia" w:ascii="宋体" w:hAnsi="宋体" w:eastAsia="宋体" w:cs="宋体"/>
                <w:szCs w:val="21"/>
              </w:rPr>
              <w:t>（包括</w:t>
            </w:r>
            <w:r>
              <w:rPr>
                <w:rFonts w:ascii="宋体" w:hAnsi="宋体" w:eastAsia="宋体" w:cs="宋体"/>
                <w:szCs w:val="21"/>
              </w:rPr>
              <w:t>是否准确、思路是否清晰、规划内容是否全面、是否具有相应深度</w:t>
            </w:r>
            <w:r>
              <w:rPr>
                <w:rFonts w:hint="eastAsia" w:ascii="宋体" w:hAnsi="宋体" w:eastAsia="宋体" w:cs="宋体"/>
                <w:szCs w:val="21"/>
              </w:rPr>
              <w:t>）：</w:t>
            </w:r>
          </w:p>
          <w:p>
            <w:pPr>
              <w:widowControl/>
              <w:topLinePunct/>
              <w:adjustRightInd w:val="0"/>
              <w:snapToGrid w:val="0"/>
              <w:spacing w:line="360" w:lineRule="exact"/>
              <w:rPr>
                <w:rFonts w:ascii="宋体" w:hAnsi="宋体" w:cs="仿宋"/>
                <w:szCs w:val="21"/>
              </w:rPr>
            </w:pPr>
            <w:r>
              <w:rPr>
                <w:rFonts w:ascii="宋体" w:hAnsi="宋体" w:eastAsia="宋体" w:cs="宋体"/>
                <w:szCs w:val="21"/>
              </w:rPr>
              <w:t>理解准确、思路清晰、规划全面</w:t>
            </w:r>
            <w:r>
              <w:rPr>
                <w:rFonts w:hint="eastAsia" w:ascii="宋体" w:hAnsi="宋体" w:eastAsia="宋体" w:cs="宋体"/>
                <w:szCs w:val="21"/>
              </w:rPr>
              <w:t>的得</w:t>
            </w:r>
            <w:r>
              <w:rPr>
                <w:rFonts w:ascii="宋体" w:hAnsi="宋体" w:cs="仿宋"/>
                <w:szCs w:val="21"/>
              </w:rPr>
              <w:t>8</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ascii="宋体" w:hAnsi="宋体" w:eastAsia="宋体" w:cs="宋体"/>
                <w:szCs w:val="21"/>
              </w:rPr>
              <w:t>理解较准确、思路较清晰、规划较全面</w:t>
            </w:r>
            <w:r>
              <w:rPr>
                <w:rFonts w:hint="eastAsia" w:ascii="宋体" w:hAnsi="宋体" w:eastAsia="宋体" w:cs="宋体"/>
                <w:szCs w:val="21"/>
              </w:rPr>
              <w:t>的得</w:t>
            </w:r>
            <w:r>
              <w:rPr>
                <w:rFonts w:ascii="宋体" w:hAnsi="宋体" w:cs="仿宋"/>
                <w:szCs w:val="21"/>
              </w:rPr>
              <w:t>6</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ascii="宋体" w:hAnsi="宋体" w:eastAsia="宋体" w:cs="宋体"/>
                <w:szCs w:val="21"/>
              </w:rPr>
              <w:t>理解不够准确、思路不够清晰、规划不够全面</w:t>
            </w:r>
            <w:r>
              <w:rPr>
                <w:rFonts w:hint="eastAsia" w:ascii="宋体" w:hAnsi="宋体" w:eastAsia="宋体" w:cs="宋体"/>
                <w:szCs w:val="21"/>
              </w:rPr>
              <w:t>的得</w:t>
            </w:r>
            <w:r>
              <w:rPr>
                <w:rFonts w:ascii="宋体" w:hAnsi="宋体" w:cs="仿宋"/>
                <w:szCs w:val="21"/>
              </w:rPr>
              <w:t>4</w:t>
            </w:r>
            <w:r>
              <w:rPr>
                <w:rFonts w:hint="eastAsia" w:ascii="宋体" w:hAnsi="宋体" w:eastAsia="宋体" w:cs="宋体"/>
                <w:szCs w:val="21"/>
              </w:rPr>
              <w:t>分；</w:t>
            </w:r>
          </w:p>
          <w:p>
            <w:pPr>
              <w:snapToGrid w:val="0"/>
              <w:spacing w:line="360" w:lineRule="exact"/>
              <w:rPr>
                <w:rFonts w:ascii="宋体" w:hAnsi="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r>
              <w:rPr>
                <w:rFonts w:ascii="宋体" w:hAnsi="宋体"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w:t>
            </w:r>
            <w:r>
              <w:rPr>
                <w:rFonts w:hint="eastAsia" w:ascii="宋体" w:hAnsi="宋体" w:cs="仿宋"/>
                <w:szCs w:val="21"/>
              </w:rPr>
              <w:t>2</w:t>
            </w:r>
            <w:r>
              <w:rPr>
                <w:rFonts w:hint="eastAsia" w:ascii="宋体" w:hAnsi="宋体" w:eastAsia="宋体" w:cs="宋体"/>
                <w:szCs w:val="21"/>
              </w:rPr>
              <w:t>）</w:t>
            </w:r>
            <w:r>
              <w:rPr>
                <w:rFonts w:ascii="宋体" w:hAnsi="宋体" w:eastAsia="宋体" w:cs="宋体"/>
                <w:szCs w:val="21"/>
              </w:rPr>
              <w:t>审计实施方案的内容、方法和措施（包括审计目标明确、审计内容和重点详实、审计组织和分工合理）</w:t>
            </w:r>
            <w:r>
              <w:rPr>
                <w:rFonts w:hint="eastAsia" w:ascii="宋体" w:hAnsi="宋体" w:eastAsia="宋体" w:cs="宋体"/>
                <w:szCs w:val="21"/>
              </w:rPr>
              <w:t>：</w:t>
            </w:r>
          </w:p>
          <w:p>
            <w:pPr>
              <w:widowControl/>
              <w:topLinePunct/>
              <w:adjustRightInd w:val="0"/>
              <w:snapToGrid w:val="0"/>
              <w:spacing w:line="360" w:lineRule="exact"/>
              <w:rPr>
                <w:rFonts w:ascii="宋体" w:hAnsi="宋体" w:cs="仿宋"/>
                <w:szCs w:val="21"/>
              </w:rPr>
            </w:pPr>
            <w:r>
              <w:rPr>
                <w:rFonts w:ascii="宋体" w:hAnsi="宋体" w:eastAsia="宋体" w:cs="宋体"/>
                <w:szCs w:val="21"/>
              </w:rPr>
              <w:t>内容明确、重点详实、分工合理</w:t>
            </w:r>
            <w:r>
              <w:rPr>
                <w:rFonts w:hint="eastAsia" w:ascii="宋体" w:hAnsi="宋体" w:eastAsia="宋体" w:cs="宋体"/>
                <w:szCs w:val="21"/>
              </w:rPr>
              <w:t>的得</w:t>
            </w:r>
            <w:r>
              <w:rPr>
                <w:rFonts w:ascii="宋体" w:hAnsi="宋体" w:cs="仿宋"/>
                <w:szCs w:val="21"/>
              </w:rPr>
              <w:t>8</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ascii="宋体" w:hAnsi="宋体" w:eastAsia="宋体" w:cs="宋体"/>
                <w:szCs w:val="21"/>
              </w:rPr>
              <w:t>内容较明确、重点较详实、分工较合理</w:t>
            </w:r>
            <w:r>
              <w:rPr>
                <w:rFonts w:hint="eastAsia" w:ascii="宋体" w:hAnsi="宋体" w:eastAsia="宋体" w:cs="宋体"/>
                <w:szCs w:val="21"/>
              </w:rPr>
              <w:t>的得</w:t>
            </w:r>
            <w:r>
              <w:rPr>
                <w:rFonts w:ascii="宋体" w:hAnsi="宋体" w:cs="仿宋"/>
                <w:szCs w:val="21"/>
              </w:rPr>
              <w:t>6</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ascii="宋体" w:hAnsi="宋体" w:eastAsia="宋体" w:cs="宋体"/>
                <w:szCs w:val="21"/>
              </w:rPr>
              <w:t>内容不够明确、重点不够详实、分工不够合理</w:t>
            </w:r>
            <w:r>
              <w:rPr>
                <w:rFonts w:hint="eastAsia" w:ascii="宋体" w:hAnsi="宋体" w:eastAsia="宋体" w:cs="宋体"/>
                <w:szCs w:val="21"/>
              </w:rPr>
              <w:t>的得</w:t>
            </w:r>
            <w:r>
              <w:rPr>
                <w:rFonts w:ascii="宋体" w:hAnsi="宋体" w:cs="仿宋"/>
                <w:szCs w:val="21"/>
              </w:rPr>
              <w:t>4</w:t>
            </w:r>
            <w:r>
              <w:rPr>
                <w:rFonts w:hint="eastAsia" w:ascii="宋体" w:hAnsi="宋体" w:eastAsia="宋体" w:cs="宋体"/>
                <w:szCs w:val="21"/>
              </w:rPr>
              <w:t>分；</w:t>
            </w:r>
          </w:p>
          <w:p>
            <w:pPr>
              <w:snapToGrid w:val="0"/>
              <w:spacing w:line="360" w:lineRule="exact"/>
              <w:rPr>
                <w:rFonts w:ascii="宋体" w:hAnsi="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r>
              <w:rPr>
                <w:rFonts w:ascii="宋体" w:hAnsi="宋体"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cs="宋体"/>
                <w:szCs w:val="21"/>
              </w:rPr>
              <w:t>（</w:t>
            </w:r>
            <w:r>
              <w:rPr>
                <w:rFonts w:hint="eastAsia" w:ascii="宋体" w:hAnsi="宋体" w:cs="仿宋"/>
                <w:szCs w:val="21"/>
              </w:rPr>
              <w:t>3</w:t>
            </w:r>
            <w:r>
              <w:rPr>
                <w:rFonts w:hint="eastAsia" w:ascii="宋体" w:hAnsi="宋体" w:eastAsia="宋体" w:cs="宋体"/>
                <w:szCs w:val="21"/>
              </w:rPr>
              <w:t>）</w:t>
            </w:r>
            <w:r>
              <w:rPr>
                <w:rFonts w:ascii="宋体" w:hAnsi="宋体" w:eastAsia="宋体"/>
                <w:snapToGrid w:val="0"/>
                <w:kern w:val="0"/>
                <w:szCs w:val="21"/>
              </w:rPr>
              <w:t>进度实施计划与进度保障方案</w:t>
            </w:r>
            <w:r>
              <w:rPr>
                <w:rFonts w:hint="eastAsia" w:ascii="宋体" w:hAnsi="宋体" w:eastAsia="宋体"/>
                <w:snapToGrid w:val="0"/>
                <w:kern w:val="0"/>
                <w:szCs w:val="21"/>
              </w:rPr>
              <w:t>：</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方案科学合理、完整、切实可行者，得8分；</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方案基本完整但合理性及可行性稍有欠缺者，得6分；</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方案不完整且合理性及可行性有较大欠缺者，得4分；</w:t>
            </w:r>
          </w:p>
          <w:p>
            <w:pPr>
              <w:snapToGrid w:val="0"/>
              <w:spacing w:line="360" w:lineRule="exact"/>
              <w:rPr>
                <w:rFonts w:ascii="宋体" w:hAnsi="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ascii="宋体" w:hAnsi="宋体"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仿宋"/>
                <w:szCs w:val="21"/>
              </w:rPr>
            </w:pPr>
            <w:r>
              <w:rPr>
                <w:rFonts w:hint="eastAsia" w:ascii="宋体" w:hAnsi="宋体" w:eastAsia="宋体" w:cs="宋体"/>
                <w:szCs w:val="21"/>
              </w:rPr>
              <w:t>（</w:t>
            </w:r>
            <w:r>
              <w:rPr>
                <w:rFonts w:hint="eastAsia" w:ascii="宋体" w:hAnsi="宋体" w:cs="仿宋"/>
                <w:szCs w:val="21"/>
              </w:rPr>
              <w:t>4</w:t>
            </w:r>
            <w:r>
              <w:rPr>
                <w:rFonts w:hint="eastAsia" w:ascii="宋体" w:hAnsi="宋体" w:eastAsia="宋体" w:cs="宋体"/>
                <w:szCs w:val="21"/>
              </w:rPr>
              <w:t>）</w:t>
            </w:r>
            <w:r>
              <w:rPr>
                <w:rFonts w:ascii="宋体" w:hAnsi="宋体" w:eastAsia="宋体" w:cs="宋体"/>
                <w:szCs w:val="21"/>
              </w:rPr>
              <w:t>审计质量控制方法和措施的方案、先进的信息化管理方案</w:t>
            </w:r>
            <w:r>
              <w:rPr>
                <w:rFonts w:hint="eastAsia" w:ascii="宋体" w:hAnsi="宋体" w:eastAsia="宋体" w:cs="宋体"/>
                <w:szCs w:val="21"/>
              </w:rPr>
              <w:t>：</w:t>
            </w:r>
          </w:p>
          <w:p>
            <w:pPr>
              <w:widowControl/>
              <w:topLinePunct/>
              <w:adjustRightInd w:val="0"/>
              <w:snapToGrid w:val="0"/>
              <w:spacing w:line="360" w:lineRule="exact"/>
              <w:rPr>
                <w:rFonts w:ascii="宋体" w:hAnsi="宋体" w:cs="仿宋"/>
                <w:szCs w:val="21"/>
              </w:rPr>
            </w:pPr>
            <w:r>
              <w:rPr>
                <w:rFonts w:hint="eastAsia" w:ascii="宋体" w:hAnsi="宋体" w:eastAsia="宋体" w:cs="宋体"/>
                <w:szCs w:val="21"/>
              </w:rPr>
              <w:t>科学合理、全面详实、</w:t>
            </w:r>
            <w:r>
              <w:rPr>
                <w:rFonts w:ascii="宋体" w:hAnsi="宋体" w:eastAsia="宋体" w:cs="宋体"/>
                <w:szCs w:val="21"/>
              </w:rPr>
              <w:t>针对性强</w:t>
            </w:r>
            <w:r>
              <w:rPr>
                <w:rFonts w:hint="eastAsia" w:ascii="宋体" w:hAnsi="宋体" w:eastAsia="宋体" w:cs="宋体"/>
                <w:szCs w:val="21"/>
              </w:rPr>
              <w:t>的得</w:t>
            </w:r>
            <w:r>
              <w:rPr>
                <w:rFonts w:ascii="宋体" w:hAnsi="宋体" w:cs="仿宋"/>
                <w:szCs w:val="21"/>
              </w:rPr>
              <w:t>8</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hint="eastAsia" w:ascii="宋体" w:hAnsi="宋体" w:eastAsia="宋体" w:cs="宋体"/>
                <w:szCs w:val="21"/>
              </w:rPr>
              <w:t>较科学合理、较全面详实、</w:t>
            </w:r>
            <w:r>
              <w:rPr>
                <w:rFonts w:ascii="宋体" w:hAnsi="宋体" w:eastAsia="宋体" w:cs="宋体"/>
                <w:szCs w:val="21"/>
              </w:rPr>
              <w:t>针对性</w:t>
            </w:r>
            <w:r>
              <w:rPr>
                <w:rFonts w:hint="eastAsia" w:ascii="宋体" w:hAnsi="宋体" w:eastAsia="宋体" w:cs="宋体"/>
                <w:szCs w:val="21"/>
              </w:rPr>
              <w:t>一般的得</w:t>
            </w:r>
            <w:r>
              <w:rPr>
                <w:rFonts w:ascii="宋体" w:hAnsi="宋体" w:cs="仿宋"/>
                <w:szCs w:val="21"/>
              </w:rPr>
              <w:t>6</w:t>
            </w:r>
            <w:r>
              <w:rPr>
                <w:rFonts w:hint="eastAsia" w:ascii="宋体" w:hAnsi="宋体" w:eastAsia="宋体" w:cs="宋体"/>
                <w:szCs w:val="21"/>
              </w:rPr>
              <w:t>分；</w:t>
            </w:r>
          </w:p>
          <w:p>
            <w:pPr>
              <w:widowControl/>
              <w:topLinePunct/>
              <w:adjustRightInd w:val="0"/>
              <w:snapToGrid w:val="0"/>
              <w:spacing w:line="360" w:lineRule="exact"/>
              <w:rPr>
                <w:rFonts w:ascii="宋体" w:hAnsi="宋体" w:cs="仿宋"/>
                <w:szCs w:val="21"/>
              </w:rPr>
            </w:pPr>
            <w:r>
              <w:rPr>
                <w:rFonts w:hint="eastAsia" w:ascii="宋体" w:hAnsi="宋体" w:eastAsia="宋体" w:cs="宋体"/>
                <w:szCs w:val="21"/>
              </w:rPr>
              <w:t>不够科学合理、不够全面详实、</w:t>
            </w:r>
            <w:r>
              <w:rPr>
                <w:rFonts w:ascii="宋体" w:hAnsi="宋体" w:eastAsia="宋体" w:cs="宋体"/>
                <w:szCs w:val="21"/>
              </w:rPr>
              <w:t>针对性</w:t>
            </w:r>
            <w:r>
              <w:rPr>
                <w:rFonts w:hint="eastAsia" w:ascii="宋体" w:hAnsi="宋体" w:eastAsia="宋体" w:cs="宋体"/>
                <w:szCs w:val="21"/>
              </w:rPr>
              <w:t>不够强的得</w:t>
            </w:r>
            <w:r>
              <w:rPr>
                <w:rFonts w:ascii="宋体" w:hAnsi="宋体" w:cs="仿宋"/>
                <w:szCs w:val="21"/>
              </w:rPr>
              <w:t>4</w:t>
            </w:r>
            <w:r>
              <w:rPr>
                <w:rFonts w:hint="eastAsia" w:ascii="宋体" w:hAnsi="宋体" w:eastAsia="宋体" w:cs="宋体"/>
                <w:szCs w:val="21"/>
              </w:rPr>
              <w:t>分；</w:t>
            </w:r>
          </w:p>
          <w:p>
            <w:pPr>
              <w:snapToGrid w:val="0"/>
              <w:spacing w:line="360" w:lineRule="exact"/>
              <w:rPr>
                <w:rFonts w:ascii="宋体" w:hAnsi="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ascii="宋体" w:hAnsi="宋体"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cs="宋体"/>
                <w:szCs w:val="21"/>
              </w:rPr>
              <w:t>（5）</w:t>
            </w:r>
            <w:r>
              <w:rPr>
                <w:rFonts w:ascii="宋体" w:hAnsi="宋体" w:eastAsia="宋体"/>
                <w:snapToGrid w:val="0"/>
                <w:kern w:val="0"/>
                <w:szCs w:val="21"/>
              </w:rPr>
              <w:t>项目的重点、难点，提供的服务措施及建议等</w:t>
            </w:r>
            <w:r>
              <w:rPr>
                <w:rFonts w:hint="eastAsia" w:ascii="宋体" w:hAnsi="宋体" w:eastAsia="宋体"/>
                <w:snapToGrid w:val="0"/>
                <w:kern w:val="0"/>
                <w:szCs w:val="21"/>
              </w:rPr>
              <w:t>方案：</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措施及建议科学合理、完整、切实可行者，得8分；</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措施及建议基本完整但合理性及可行性稍有欠缺者，得6分；</w:t>
            </w:r>
          </w:p>
          <w:p>
            <w:pPr>
              <w:widowControl/>
              <w:topLinePunct/>
              <w:adjustRightInd w:val="0"/>
              <w:snapToGrid w:val="0"/>
              <w:spacing w:line="360" w:lineRule="exact"/>
              <w:rPr>
                <w:rFonts w:ascii="宋体" w:hAnsi="宋体" w:eastAsia="宋体"/>
                <w:snapToGrid w:val="0"/>
                <w:kern w:val="0"/>
                <w:szCs w:val="21"/>
              </w:rPr>
            </w:pPr>
            <w:r>
              <w:rPr>
                <w:rFonts w:hint="eastAsia" w:ascii="宋体" w:hAnsi="宋体" w:eastAsia="宋体"/>
                <w:snapToGrid w:val="0"/>
                <w:kern w:val="0"/>
                <w:szCs w:val="21"/>
              </w:rPr>
              <w:t>措施及建议不完整且合理性及可行性有较大欠缺者，得4分；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未提供方案的不得分</w:t>
            </w:r>
            <w:r>
              <w:rPr>
                <w:rFonts w:hint="eastAsia" w:ascii="宋体" w:hAnsi="宋体" w:eastAsia="宋体"/>
                <w:snapToGrid w:val="0"/>
                <w:kern w:val="0"/>
                <w:szCs w:val="21"/>
              </w:rPr>
              <w:t>。</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cs="宋体"/>
                <w:snapToGrid w:val="0"/>
                <w:kern w:val="0"/>
                <w:szCs w:val="21"/>
              </w:rPr>
            </w:pPr>
            <w:r>
              <w:rPr>
                <w:rFonts w:hint="eastAsia" w:ascii="宋体" w:hAnsi="宋体" w:eastAsia="等线"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w:t>
            </w:r>
            <w:r>
              <w:rPr>
                <w:rFonts w:ascii="宋体" w:hAnsi="宋体" w:eastAsia="宋体" w:cs="宋体"/>
                <w:szCs w:val="21"/>
              </w:rPr>
              <w:t>6</w:t>
            </w:r>
            <w:r>
              <w:rPr>
                <w:rFonts w:hint="eastAsia" w:ascii="宋体" w:hAnsi="宋体" w:eastAsia="宋体" w:cs="宋体"/>
                <w:szCs w:val="21"/>
              </w:rPr>
              <w:t>）人员实施方案（包括不限于人员职责、分工，对项目的熟悉程度等）：</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人员充足，职责明确，分工合理，具有一定经验的得8分；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人员基本满足要求，具有清晰的分工，基本满足要求的得6分；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人员配备简单，分工明确，未具备足够的项目经验的得4分；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cs="宋体"/>
                <w:snapToGrid w:val="0"/>
                <w:kern w:val="0"/>
                <w:szCs w:val="21"/>
              </w:rPr>
            </w:pPr>
            <w:r>
              <w:rPr>
                <w:rFonts w:hint="eastAsia" w:ascii="宋体" w:hAnsi="宋体" w:eastAsia="等线"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bCs/>
                <w:szCs w:val="21"/>
              </w:rPr>
            </w:pPr>
          </w:p>
        </w:tc>
        <w:tc>
          <w:tcPr>
            <w:tcW w:w="1056"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bCs/>
                <w:szCs w:val="21"/>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（7）</w:t>
            </w:r>
            <w:r>
              <w:rPr>
                <w:rFonts w:ascii="宋体" w:hAnsi="宋体" w:eastAsia="宋体" w:cs="宋体"/>
                <w:szCs w:val="21"/>
              </w:rPr>
              <w:t>廉洁从审的制度、管理办法、管理措施</w:t>
            </w:r>
            <w:r>
              <w:rPr>
                <w:rFonts w:hint="eastAsia" w:ascii="宋体" w:hAnsi="宋体" w:eastAsia="宋体" w:cs="宋体"/>
                <w:szCs w:val="21"/>
              </w:rPr>
              <w:t>：</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方案详尽，有针对性，科学合理的得8分；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方案基本完整，内容符合要求的得6分；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方案简单，培训内容缺乏针对性的得4分；</w:t>
            </w:r>
          </w:p>
          <w:p>
            <w:pPr>
              <w:widowControl/>
              <w:topLinePunct/>
              <w:adjustRightInd w:val="0"/>
              <w:snapToGrid w:val="0"/>
              <w:spacing w:line="360" w:lineRule="exact"/>
              <w:rPr>
                <w:rFonts w:ascii="宋体" w:hAnsi="宋体" w:eastAsia="宋体" w:cs="宋体"/>
                <w:szCs w:val="21"/>
              </w:rPr>
            </w:pPr>
            <w:r>
              <w:rPr>
                <w:rFonts w:hint="eastAsia" w:ascii="宋体" w:hAnsi="宋体" w:eastAsia="宋体" w:cs="宋体"/>
                <w:szCs w:val="21"/>
              </w:rPr>
              <w:t>未提供方案的不得分。</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cs="宋体"/>
                <w:snapToGrid w:val="0"/>
                <w:kern w:val="0"/>
                <w:szCs w:val="21"/>
              </w:rPr>
            </w:pPr>
            <w:r>
              <w:rPr>
                <w:rFonts w:hint="eastAsia" w:ascii="宋体" w:hAnsi="宋体" w:eastAsia="等线" w:cs="宋体"/>
                <w:snapToGrid w:val="0"/>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774" w:type="dxa"/>
            <w:vMerge w:val="restart"/>
            <w:tcBorders>
              <w:right w:val="single" w:color="auto" w:sz="4" w:space="0"/>
            </w:tcBorders>
            <w:vAlign w:val="center"/>
          </w:tcPr>
          <w:p>
            <w:pPr>
              <w:snapToGrid w:val="0"/>
              <w:spacing w:line="360" w:lineRule="exact"/>
              <w:jc w:val="center"/>
              <w:rPr>
                <w:rFonts w:ascii="宋体" w:hAnsi="宋体" w:eastAsia="宋体"/>
                <w:bCs/>
                <w:kern w:val="0"/>
                <w:szCs w:val="21"/>
              </w:rPr>
            </w:pPr>
            <w:r>
              <w:rPr>
                <w:rFonts w:hint="eastAsia" w:ascii="宋体" w:hAnsi="宋体" w:eastAsia="宋体"/>
                <w:bCs/>
                <w:kern w:val="0"/>
                <w:szCs w:val="21"/>
              </w:rPr>
              <w:t>5</w:t>
            </w:r>
          </w:p>
        </w:tc>
        <w:tc>
          <w:tcPr>
            <w:tcW w:w="1056"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eastAsia="宋体" w:cs="宋体"/>
              </w:rPr>
            </w:pPr>
            <w:r>
              <w:rPr>
                <w:rFonts w:hint="eastAsia" w:ascii="宋体" w:hAnsi="宋体" w:eastAsia="宋体" w:cs="宋体"/>
              </w:rPr>
              <w:t>拟投入本项目人员情况</w:t>
            </w: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宋体"/>
              </w:rPr>
            </w:pPr>
            <w:r>
              <w:rPr>
                <w:rFonts w:hint="eastAsia" w:ascii="宋体" w:hAnsi="宋体" w:eastAsia="宋体" w:cs="宋体"/>
              </w:rPr>
              <w:t>（1）项目负责人</w:t>
            </w:r>
          </w:p>
          <w:p>
            <w:pPr>
              <w:topLinePunct/>
              <w:adjustRightInd w:val="0"/>
              <w:snapToGrid w:val="0"/>
              <w:spacing w:line="360" w:lineRule="exact"/>
              <w:rPr>
                <w:rFonts w:ascii="宋体" w:hAnsi="宋体" w:eastAsia="宋体" w:cs="宋体"/>
              </w:rPr>
            </w:pPr>
            <w:r>
              <w:rPr>
                <w:rFonts w:ascii="宋体" w:hAnsi="宋体" w:eastAsia="宋体" w:cs="宋体"/>
              </w:rPr>
              <w:t>原国家注册造价工程师或国家注册一级造价师执业资格</w:t>
            </w:r>
            <w:r>
              <w:rPr>
                <w:rFonts w:hint="eastAsia" w:ascii="宋体" w:hAnsi="宋体" w:eastAsia="宋体" w:cs="宋体"/>
              </w:rPr>
              <w:t>的得1分；</w:t>
            </w:r>
          </w:p>
          <w:p>
            <w:pPr>
              <w:topLinePunct/>
              <w:adjustRightInd w:val="0"/>
              <w:snapToGrid w:val="0"/>
              <w:spacing w:line="360" w:lineRule="exact"/>
              <w:rPr>
                <w:rFonts w:ascii="宋体" w:hAnsi="宋体" w:eastAsia="宋体" w:cs="宋体"/>
              </w:rPr>
            </w:pPr>
            <w:r>
              <w:rPr>
                <w:rFonts w:ascii="宋体" w:hAnsi="宋体" w:eastAsia="宋体" w:cs="宋体"/>
              </w:rPr>
              <w:t>中国注册会计师执业资格</w:t>
            </w:r>
            <w:r>
              <w:rPr>
                <w:rFonts w:hint="eastAsia" w:ascii="宋体" w:hAnsi="宋体" w:eastAsia="宋体" w:cs="宋体"/>
              </w:rPr>
              <w:t>的得1分</w:t>
            </w:r>
          </w:p>
          <w:p>
            <w:pPr>
              <w:topLinePunct/>
              <w:adjustRightInd w:val="0"/>
              <w:snapToGrid w:val="0"/>
              <w:spacing w:line="360" w:lineRule="exact"/>
              <w:rPr>
                <w:rFonts w:ascii="宋体" w:hAnsi="宋体" w:eastAsia="宋体" w:cs="宋体"/>
              </w:rPr>
            </w:pPr>
            <w:r>
              <w:rPr>
                <w:rFonts w:ascii="宋体" w:hAnsi="宋体" w:eastAsia="宋体" w:cs="宋体"/>
              </w:rPr>
              <w:t>高级工程师</w:t>
            </w:r>
            <w:r>
              <w:rPr>
                <w:rFonts w:hint="eastAsia" w:ascii="宋体" w:hAnsi="宋体" w:eastAsia="宋体" w:cs="宋体"/>
              </w:rPr>
              <w:t>或者高级经济师</w:t>
            </w:r>
            <w:r>
              <w:rPr>
                <w:rFonts w:ascii="宋体" w:hAnsi="宋体" w:eastAsia="宋体" w:cs="宋体"/>
              </w:rPr>
              <w:t>及以上职称</w:t>
            </w:r>
            <w:r>
              <w:rPr>
                <w:rFonts w:hint="eastAsia" w:ascii="宋体" w:hAnsi="宋体" w:eastAsia="宋体" w:cs="宋体"/>
              </w:rPr>
              <w:t>的得2分；</w:t>
            </w:r>
          </w:p>
          <w:p>
            <w:pPr>
              <w:widowControl/>
              <w:topLinePunct/>
              <w:adjustRightInd w:val="0"/>
              <w:snapToGrid w:val="0"/>
              <w:spacing w:line="360" w:lineRule="exact"/>
              <w:rPr>
                <w:rFonts w:ascii="宋体" w:hAnsi="宋体" w:eastAsia="宋体" w:cs="宋体"/>
              </w:rPr>
            </w:pPr>
            <w:r>
              <w:rPr>
                <w:rFonts w:hint="eastAsia" w:ascii="宋体" w:hAnsi="宋体" w:eastAsia="宋体" w:cs="宋体"/>
              </w:rPr>
              <w:t>提供人员证书及近6个月任意一月供应商为其缴纳的社保证明。</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kern w:val="0"/>
                <w:szCs w:val="21"/>
              </w:rPr>
            </w:pPr>
            <w:r>
              <w:rPr>
                <w:rFonts w:hint="eastAsia" w:ascii="宋体" w:hAnsi="宋体" w:eastAsia="等线"/>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774" w:type="dxa"/>
            <w:vMerge w:val="continue"/>
            <w:tcBorders>
              <w:right w:val="single" w:color="auto" w:sz="4" w:space="0"/>
            </w:tcBorders>
            <w:vAlign w:val="center"/>
          </w:tcPr>
          <w:p>
            <w:pPr>
              <w:snapToGrid w:val="0"/>
              <w:spacing w:line="360" w:lineRule="exact"/>
              <w:jc w:val="center"/>
              <w:rPr>
                <w:rFonts w:ascii="宋体" w:hAnsi="宋体" w:eastAsia="宋体"/>
                <w:bCs/>
                <w:kern w:val="0"/>
                <w:szCs w:val="21"/>
              </w:rPr>
            </w:pPr>
          </w:p>
        </w:tc>
        <w:tc>
          <w:tcPr>
            <w:tcW w:w="1056" w:type="dxa"/>
            <w:vMerge w:val="continue"/>
            <w:tcBorders>
              <w:left w:val="single" w:color="auto" w:sz="4" w:space="0"/>
              <w:right w:val="single" w:color="auto" w:sz="4" w:space="0"/>
            </w:tcBorders>
            <w:vAlign w:val="center"/>
          </w:tcPr>
          <w:p>
            <w:pPr>
              <w:snapToGrid w:val="0"/>
              <w:spacing w:line="360" w:lineRule="exact"/>
              <w:jc w:val="center"/>
              <w:rPr>
                <w:rFonts w:ascii="宋体" w:hAnsi="宋体" w:eastAsia="宋体" w:cs="宋体"/>
              </w:rPr>
            </w:pPr>
          </w:p>
        </w:tc>
        <w:tc>
          <w:tcPr>
            <w:tcW w:w="6099" w:type="dxa"/>
            <w:tcBorders>
              <w:top w:val="single" w:color="auto" w:sz="4" w:space="0"/>
              <w:left w:val="single" w:color="auto" w:sz="4" w:space="0"/>
              <w:bottom w:val="single" w:color="auto" w:sz="4" w:space="0"/>
              <w:right w:val="single" w:color="auto" w:sz="4" w:space="0"/>
            </w:tcBorders>
            <w:vAlign w:val="center"/>
          </w:tcPr>
          <w:p>
            <w:pPr>
              <w:widowControl/>
              <w:topLinePunct/>
              <w:adjustRightInd w:val="0"/>
              <w:snapToGrid w:val="0"/>
              <w:spacing w:line="360" w:lineRule="exact"/>
              <w:rPr>
                <w:rFonts w:ascii="宋体" w:hAnsi="宋体" w:eastAsia="宋体" w:cs="宋体"/>
              </w:rPr>
            </w:pPr>
            <w:r>
              <w:rPr>
                <w:rFonts w:ascii="宋体" w:hAnsi="宋体" w:eastAsia="宋体" w:cs="宋体"/>
              </w:rPr>
              <w:t>（2）项目组成员（除项目负责人外）</w:t>
            </w:r>
          </w:p>
          <w:p>
            <w:pPr>
              <w:widowControl/>
              <w:topLinePunct/>
              <w:adjustRightInd w:val="0"/>
              <w:snapToGrid w:val="0"/>
              <w:spacing w:line="360" w:lineRule="exact"/>
              <w:rPr>
                <w:rFonts w:ascii="宋体" w:hAnsi="宋体" w:eastAsia="宋体" w:cs="宋体"/>
              </w:rPr>
            </w:pPr>
            <w:r>
              <w:rPr>
                <w:rFonts w:ascii="宋体" w:hAnsi="宋体" w:eastAsia="宋体" w:cs="宋体"/>
              </w:rPr>
              <w:t>具有原国家注册造价工程师或国家注册一级造价师执业资格的每有一个得1分，具有中国注册会计师执业资格的每有一个得1分，满分得</w:t>
            </w:r>
            <w:r>
              <w:rPr>
                <w:rFonts w:hint="eastAsia" w:ascii="宋体" w:hAnsi="宋体" w:eastAsia="宋体" w:cs="宋体"/>
              </w:rPr>
              <w:t>4</w:t>
            </w:r>
            <w:r>
              <w:rPr>
                <w:rFonts w:ascii="宋体" w:hAnsi="宋体" w:eastAsia="宋体" w:cs="宋体"/>
              </w:rPr>
              <w:t>分（同时具备两个执业证书的，仅算1人）；</w:t>
            </w:r>
          </w:p>
          <w:p>
            <w:pPr>
              <w:widowControl/>
              <w:topLinePunct/>
              <w:adjustRightInd w:val="0"/>
              <w:snapToGrid w:val="0"/>
              <w:spacing w:line="360" w:lineRule="exact"/>
              <w:rPr>
                <w:rFonts w:ascii="宋体" w:hAnsi="宋体" w:eastAsia="宋体" w:cs="宋体"/>
              </w:rPr>
            </w:pPr>
            <w:r>
              <w:rPr>
                <w:rFonts w:ascii="宋体" w:hAnsi="宋体" w:eastAsia="宋体" w:cs="宋体"/>
              </w:rPr>
              <w:t>以上投入项目组人员（不含项目负责人）中同时具备高级及以上职称，每提供一人得1分，最高得</w:t>
            </w:r>
            <w:r>
              <w:rPr>
                <w:rFonts w:hint="eastAsia" w:ascii="宋体" w:hAnsi="宋体" w:eastAsia="宋体" w:cs="宋体"/>
              </w:rPr>
              <w:t>4</w:t>
            </w:r>
            <w:r>
              <w:rPr>
                <w:rFonts w:ascii="宋体" w:hAnsi="宋体" w:eastAsia="宋体" w:cs="宋体"/>
              </w:rPr>
              <w:t>分。</w:t>
            </w:r>
          </w:p>
          <w:p>
            <w:pPr>
              <w:widowControl/>
              <w:topLinePunct/>
              <w:adjustRightInd w:val="0"/>
              <w:snapToGrid w:val="0"/>
              <w:spacing w:line="360" w:lineRule="exact"/>
              <w:rPr>
                <w:rFonts w:ascii="宋体" w:hAnsi="宋体" w:eastAsia="宋体" w:cs="宋体"/>
              </w:rPr>
            </w:pPr>
            <w:r>
              <w:rPr>
                <w:rFonts w:ascii="宋体" w:hAnsi="宋体" w:eastAsia="宋体" w:cs="宋体"/>
              </w:rPr>
              <w:t>提供人员证书及近6个月任意一</w:t>
            </w:r>
            <w:r>
              <w:rPr>
                <w:rFonts w:hint="eastAsia" w:ascii="宋体" w:hAnsi="宋体" w:eastAsia="宋体" w:cs="宋体"/>
              </w:rPr>
              <w:t>月</w:t>
            </w:r>
            <w:r>
              <w:rPr>
                <w:rFonts w:ascii="宋体" w:hAnsi="宋体" w:eastAsia="宋体" w:cs="宋体"/>
              </w:rPr>
              <w:t>供应商为其缴纳的社保证明。</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kern w:val="0"/>
                <w:szCs w:val="21"/>
              </w:rPr>
            </w:pPr>
            <w:r>
              <w:rPr>
                <w:rFonts w:hint="eastAsia" w:ascii="宋体" w:hAnsi="宋体" w:eastAsia="等线"/>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929" w:type="dxa"/>
            <w:gridSpan w:val="3"/>
            <w:tcBorders>
              <w:right w:val="single" w:color="auto" w:sz="4" w:space="0"/>
            </w:tcBorders>
            <w:vAlign w:val="center"/>
          </w:tcPr>
          <w:p>
            <w:pPr>
              <w:pStyle w:val="13"/>
              <w:ind w:firstLine="0" w:firstLineChars="0"/>
              <w:jc w:val="center"/>
              <w:rPr>
                <w:rFonts w:ascii="宋体" w:hAnsi="宋体" w:eastAsia="宋体" w:cs="宋体"/>
                <w:sz w:val="21"/>
              </w:rPr>
            </w:pPr>
            <w:r>
              <w:rPr>
                <w:rFonts w:hint="eastAsia" w:ascii="宋体" w:hAnsi="宋体" w:eastAsia="宋体" w:cs="宋体"/>
                <w:sz w:val="21"/>
              </w:rPr>
              <w:t>合计</w:t>
            </w:r>
          </w:p>
        </w:tc>
        <w:tc>
          <w:tcPr>
            <w:tcW w:w="6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等线"/>
                <w:szCs w:val="21"/>
              </w:rPr>
            </w:pPr>
            <w:r>
              <w:rPr>
                <w:rFonts w:hint="eastAsia" w:ascii="宋体" w:hAnsi="宋体" w:eastAsia="等线"/>
                <w:szCs w:val="21"/>
              </w:rPr>
              <w:t>100</w:t>
            </w:r>
          </w:p>
        </w:tc>
      </w:tr>
    </w:tbl>
    <w:p>
      <w:pPr>
        <w:pStyle w:val="4"/>
        <w:adjustRightInd w:val="0"/>
        <w:snapToGrid w:val="0"/>
        <w:spacing w:line="360" w:lineRule="auto"/>
        <w:rPr>
          <w:rFonts w:ascii="宋体" w:hAnsi="宋体" w:eastAsia="宋体" w:cs="仿宋_GB2312"/>
          <w:b/>
          <w:bCs/>
          <w:snapToGrid w:val="0"/>
          <w:sz w:val="21"/>
          <w:lang w:val="zh-TW"/>
        </w:rPr>
      </w:pPr>
      <w:r>
        <w:rPr>
          <w:rFonts w:hint="eastAsia" w:ascii="宋体" w:hAnsi="宋体" w:eastAsia="宋体"/>
          <w:b/>
          <w:snapToGrid w:val="0"/>
          <w:sz w:val="21"/>
        </w:rPr>
        <w:t>备注：</w:t>
      </w:r>
      <w:r>
        <w:rPr>
          <w:rFonts w:hint="eastAsia" w:ascii="宋体" w:hAnsi="宋体" w:eastAsia="宋体" w:cs="仿宋_GB2312"/>
          <w:b/>
          <w:bCs/>
          <w:snapToGrid w:val="0"/>
          <w:sz w:val="21"/>
          <w:lang w:val="zh-TW"/>
        </w:rPr>
        <w:t>供应商必须逐条响应上述所有评审细则,并在</w:t>
      </w:r>
      <w:r>
        <w:rPr>
          <w:rFonts w:hint="eastAsia" w:ascii="宋体" w:hAnsi="宋体" w:eastAsia="宋体" w:cs="仿宋_GB2312"/>
          <w:b/>
          <w:bCs/>
          <w:snapToGrid w:val="0"/>
          <w:sz w:val="21"/>
          <w:lang w:val="zh-TW" w:eastAsia="zh-CN"/>
        </w:rPr>
        <w:t>报价</w:t>
      </w:r>
      <w:r>
        <w:rPr>
          <w:rFonts w:hint="eastAsia" w:ascii="宋体" w:hAnsi="宋体" w:eastAsia="宋体" w:cs="仿宋_GB2312"/>
          <w:b/>
          <w:bCs/>
          <w:snapToGrid w:val="0"/>
          <w:sz w:val="21"/>
          <w:lang w:val="zh-TW"/>
        </w:rPr>
        <w:t>文件中提供有效证明材料及列明索引、页码,否则</w:t>
      </w:r>
      <w:r>
        <w:rPr>
          <w:rFonts w:hint="eastAsia" w:ascii="宋体" w:hAnsi="宋体" w:eastAsia="宋体" w:cs="仿宋_GB2312"/>
          <w:b/>
          <w:bCs/>
          <w:snapToGrid w:val="0"/>
          <w:sz w:val="21"/>
          <w:lang w:val="zh-TW" w:eastAsia="zh-CN"/>
        </w:rPr>
        <w:t>会影响</w:t>
      </w:r>
      <w:r>
        <w:rPr>
          <w:rFonts w:hint="eastAsia" w:ascii="宋体" w:hAnsi="宋体" w:eastAsia="宋体" w:cs="仿宋_GB2312"/>
          <w:b/>
          <w:bCs/>
          <w:snapToGrid w:val="0"/>
          <w:sz w:val="21"/>
          <w:lang w:val="zh-TW"/>
        </w:rPr>
        <w:t>得分。</w:t>
      </w:r>
    </w:p>
    <w:p>
      <w:pPr>
        <w:pStyle w:val="8"/>
        <w:shd w:val="clear" w:color="auto" w:fill="FFFFFF"/>
        <w:spacing w:before="0" w:beforeAutospacing="0" w:after="0" w:afterAutospacing="0"/>
        <w:ind w:firstLine="480"/>
        <w:rPr>
          <w:rFonts w:ascii="方正仿宋_GBK" w:eastAsia="方正仿宋_GBK"/>
          <w:color w:val="111111"/>
          <w:sz w:val="32"/>
          <w:szCs w:val="32"/>
          <w:lang w:eastAsia="zh-TW"/>
        </w:rPr>
      </w:pPr>
    </w:p>
    <w:p/>
    <w:sectPr>
      <w:pgSz w:w="11906" w:h="16838"/>
      <w:pgMar w:top="1701"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仿宋S"/>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汉仪仿宋S"/>
    <w:panose1 w:val="00000000000000000000"/>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仿宋S">
    <w:panose1 w:val="00020600040101000101"/>
    <w:charset w:val="86"/>
    <w:family w:val="auto"/>
    <w:pitch w:val="default"/>
    <w:sig w:usb0="A00002BF" w:usb1="38CF7CFA" w:usb2="00000016" w:usb3="00000000" w:csb0="0004009F"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5A"/>
    <w:rsid w:val="00064F66"/>
    <w:rsid w:val="001724F0"/>
    <w:rsid w:val="00264A92"/>
    <w:rsid w:val="003708BE"/>
    <w:rsid w:val="003A7F75"/>
    <w:rsid w:val="003C153F"/>
    <w:rsid w:val="0041193E"/>
    <w:rsid w:val="00484680"/>
    <w:rsid w:val="00496F59"/>
    <w:rsid w:val="004E4BD1"/>
    <w:rsid w:val="00685EAC"/>
    <w:rsid w:val="00687BF9"/>
    <w:rsid w:val="00745CF1"/>
    <w:rsid w:val="0083411E"/>
    <w:rsid w:val="0093026E"/>
    <w:rsid w:val="0096763D"/>
    <w:rsid w:val="00A06F09"/>
    <w:rsid w:val="00A24231"/>
    <w:rsid w:val="00A63165"/>
    <w:rsid w:val="00C74390"/>
    <w:rsid w:val="00CA485A"/>
    <w:rsid w:val="00D378E7"/>
    <w:rsid w:val="00D506EE"/>
    <w:rsid w:val="00DB4B3D"/>
    <w:rsid w:val="00DE6DC4"/>
    <w:rsid w:val="DFFFC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jc w:val="center"/>
      <w:outlineLvl w:val="0"/>
    </w:pPr>
    <w:rPr>
      <w:rFonts w:ascii="等线 Light" w:hAnsi="华文中宋" w:eastAsia="等线 Light" w:cs="Times New Roman"/>
      <w:b/>
      <w:kern w:val="0"/>
      <w:sz w:val="28"/>
      <w:szCs w:val="20"/>
      <w:lang w:val="zh-CN"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unhideWhenUsed/>
    <w:qFormat/>
    <w:uiPriority w:val="99"/>
    <w:pPr>
      <w:spacing w:after="120"/>
    </w:pPr>
  </w:style>
  <w:style w:type="paragraph" w:styleId="4">
    <w:name w:val="Plain Text"/>
    <w:basedOn w:val="1"/>
    <w:link w:val="17"/>
    <w:unhideWhenUsed/>
    <w:qFormat/>
    <w:uiPriority w:val="0"/>
    <w:rPr>
      <w:rFonts w:ascii="Courier New" w:hAnsi="Cambria" w:eastAsia="Courier New" w:cs="Times New Roman"/>
      <w:kern w:val="0"/>
      <w:sz w:val="20"/>
      <w:szCs w:val="21"/>
      <w:lang w:val="zh-CN" w:eastAsia="zh-CN"/>
    </w:rPr>
  </w:style>
  <w:style w:type="paragraph" w:styleId="5">
    <w:name w:val="Balloon Text"/>
    <w:basedOn w:val="1"/>
    <w:link w:val="20"/>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3"/>
    <w:link w:val="19"/>
    <w:semiHidden/>
    <w:unhideWhenUsed/>
    <w:qFormat/>
    <w:uiPriority w:val="99"/>
    <w:pPr>
      <w:ind w:firstLine="420" w:firstLineChars="100"/>
    </w:pPr>
  </w:style>
  <w:style w:type="character" w:customStyle="1" w:styleId="12">
    <w:name w:val="标题 1 Char"/>
    <w:basedOn w:val="11"/>
    <w:qFormat/>
    <w:uiPriority w:val="9"/>
    <w:rPr>
      <w:b/>
      <w:bCs/>
      <w:kern w:val="44"/>
      <w:sz w:val="44"/>
      <w:szCs w:val="44"/>
    </w:rPr>
  </w:style>
  <w:style w:type="paragraph" w:customStyle="1" w:styleId="13">
    <w:name w:val="_Style 6"/>
    <w:basedOn w:val="3"/>
    <w:next w:val="9"/>
    <w:link w:val="14"/>
    <w:unhideWhenUsed/>
    <w:qFormat/>
    <w:uiPriority w:val="0"/>
    <w:pPr>
      <w:ind w:firstLine="420" w:firstLineChars="100"/>
    </w:pPr>
    <w:rPr>
      <w:rFonts w:ascii="华文中宋" w:hAnsi="华文中宋" w:eastAsia="Courier New" w:cs="华文中宋"/>
      <w:sz w:val="24"/>
      <w:szCs w:val="20"/>
    </w:rPr>
  </w:style>
  <w:style w:type="character" w:customStyle="1" w:styleId="14">
    <w:name w:val="正文文本首行缩进 字符"/>
    <w:link w:val="13"/>
    <w:semiHidden/>
    <w:qFormat/>
    <w:uiPriority w:val="0"/>
    <w:rPr>
      <w:rFonts w:ascii="华文中宋" w:hAnsi="华文中宋" w:eastAsia="Courier New" w:cs="华文中宋"/>
      <w:sz w:val="24"/>
      <w:szCs w:val="20"/>
    </w:rPr>
  </w:style>
  <w:style w:type="character" w:customStyle="1" w:styleId="15">
    <w:name w:val="标题 1 Char1"/>
    <w:link w:val="2"/>
    <w:qFormat/>
    <w:uiPriority w:val="0"/>
    <w:rPr>
      <w:rFonts w:ascii="等线 Light" w:hAnsi="华文中宋" w:eastAsia="等线 Light" w:cs="Times New Roman"/>
      <w:b/>
      <w:kern w:val="0"/>
      <w:sz w:val="28"/>
      <w:szCs w:val="20"/>
      <w:lang w:val="zh-CN" w:eastAsia="zh-CN"/>
    </w:rPr>
  </w:style>
  <w:style w:type="character" w:customStyle="1" w:styleId="16">
    <w:name w:val="纯文本 Char"/>
    <w:basedOn w:val="11"/>
    <w:semiHidden/>
    <w:qFormat/>
    <w:uiPriority w:val="99"/>
    <w:rPr>
      <w:rFonts w:ascii="宋体" w:hAnsi="Courier New" w:eastAsia="宋体" w:cs="Courier New"/>
      <w:szCs w:val="21"/>
    </w:rPr>
  </w:style>
  <w:style w:type="character" w:customStyle="1" w:styleId="17">
    <w:name w:val="纯文本 Char1"/>
    <w:link w:val="4"/>
    <w:qFormat/>
    <w:locked/>
    <w:uiPriority w:val="0"/>
    <w:rPr>
      <w:rFonts w:ascii="Courier New" w:hAnsi="Cambria" w:eastAsia="Courier New" w:cs="Times New Roman"/>
      <w:kern w:val="0"/>
      <w:sz w:val="20"/>
      <w:szCs w:val="21"/>
      <w:lang w:val="zh-CN" w:eastAsia="zh-CN"/>
    </w:rPr>
  </w:style>
  <w:style w:type="character" w:customStyle="1" w:styleId="18">
    <w:name w:val="正文文本 Char"/>
    <w:basedOn w:val="11"/>
    <w:link w:val="3"/>
    <w:semiHidden/>
    <w:qFormat/>
    <w:uiPriority w:val="99"/>
  </w:style>
  <w:style w:type="character" w:customStyle="1" w:styleId="19">
    <w:name w:val="正文首行缩进 Char"/>
    <w:basedOn w:val="18"/>
    <w:link w:val="9"/>
    <w:semiHidden/>
    <w:qFormat/>
    <w:uiPriority w:val="99"/>
  </w:style>
  <w:style w:type="character" w:customStyle="1" w:styleId="20">
    <w:name w:val="批注框文本 Char"/>
    <w:basedOn w:val="11"/>
    <w:link w:val="5"/>
    <w:semiHidden/>
    <w:qFormat/>
    <w:uiPriority w:val="99"/>
    <w:rPr>
      <w:sz w:val="18"/>
      <w:szCs w:val="18"/>
    </w:rPr>
  </w:style>
  <w:style w:type="character" w:customStyle="1" w:styleId="21">
    <w:name w:val="页眉 Char"/>
    <w:basedOn w:val="11"/>
    <w:link w:val="7"/>
    <w:qFormat/>
    <w:uiPriority w:val="99"/>
    <w:rPr>
      <w:sz w:val="18"/>
      <w:szCs w:val="18"/>
    </w:rPr>
  </w:style>
  <w:style w:type="character" w:customStyle="1" w:styleId="22">
    <w:name w:val="页脚 Char"/>
    <w:basedOn w:val="11"/>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421</Words>
  <Characters>2406</Characters>
  <Lines>20</Lines>
  <Paragraphs>5</Paragraphs>
  <TotalTime>275</TotalTime>
  <ScaleCrop>false</ScaleCrop>
  <LinksUpToDate>false</LinksUpToDate>
  <CharactersWithSpaces>2822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2025-08-26T10:42:00Z</dcterms:created>
  <dc:creator>Windows 用户</dc:creator>
  <cp:lastModifiedBy>casic</cp:lastModifiedBy>
  <cp:lastPrinted>2025-08-27T09:06:00Z</cp:lastPrinted>
  <dcterms:modified xsi:type="dcterms:W3CDTF">2025-08-28T09:12:52Z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